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030" w14:textId="77777777" w:rsidR="006E17B5" w:rsidRPr="00A14D10" w:rsidRDefault="006E17B5" w:rsidP="004C5162">
      <w:pPr>
        <w:jc w:val="center"/>
        <w:rPr>
          <w:rFonts w:ascii="Times New Roman" w:eastAsia="Times New Roman" w:hAnsi="Times New Roman" w:cs="Times New Roman"/>
          <w:b/>
          <w:sz w:val="24"/>
          <w:szCs w:val="24"/>
        </w:rPr>
      </w:pPr>
      <w:r w:rsidRPr="00A14D10">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30AFD17A" wp14:editId="740FD0E7">
            <wp:simplePos x="0" y="0"/>
            <wp:positionH relativeFrom="column">
              <wp:posOffset>1767385</wp:posOffset>
            </wp:positionH>
            <wp:positionV relativeFrom="paragraph">
              <wp:posOffset>-484496</wp:posOffset>
            </wp:positionV>
            <wp:extent cx="2482789" cy="962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 ST COE logo.jpg"/>
                    <pic:cNvPicPr/>
                  </pic:nvPicPr>
                  <pic:blipFill>
                    <a:blip r:embed="rId8">
                      <a:extLst>
                        <a:ext uri="{28A0092B-C50C-407E-A947-70E740481C1C}">
                          <a14:useLocalDpi xmlns:a14="http://schemas.microsoft.com/office/drawing/2010/main" val="0"/>
                        </a:ext>
                      </a:extLst>
                    </a:blip>
                    <a:stretch>
                      <a:fillRect/>
                    </a:stretch>
                  </pic:blipFill>
                  <pic:spPr>
                    <a:xfrm>
                      <a:off x="0" y="0"/>
                      <a:ext cx="2501177" cy="969294"/>
                    </a:xfrm>
                    <a:prstGeom prst="rect">
                      <a:avLst/>
                    </a:prstGeom>
                  </pic:spPr>
                </pic:pic>
              </a:graphicData>
            </a:graphic>
            <wp14:sizeRelH relativeFrom="margin">
              <wp14:pctWidth>0</wp14:pctWidth>
            </wp14:sizeRelH>
            <wp14:sizeRelV relativeFrom="margin">
              <wp14:pctHeight>0</wp14:pctHeight>
            </wp14:sizeRelV>
          </wp:anchor>
        </w:drawing>
      </w:r>
    </w:p>
    <w:p w14:paraId="2DD96954" w14:textId="77777777" w:rsidR="006E17B5" w:rsidRPr="00A14D10" w:rsidRDefault="006E17B5" w:rsidP="004C5162">
      <w:pPr>
        <w:jc w:val="center"/>
        <w:rPr>
          <w:rFonts w:ascii="Times New Roman" w:eastAsia="Times New Roman" w:hAnsi="Times New Roman" w:cs="Times New Roman"/>
          <w:b/>
          <w:sz w:val="24"/>
          <w:szCs w:val="24"/>
        </w:rPr>
      </w:pPr>
    </w:p>
    <w:p w14:paraId="08AA97D5" w14:textId="77777777" w:rsidR="006E17B5" w:rsidRPr="00A14D10" w:rsidRDefault="006E17B5" w:rsidP="004C5162">
      <w:pPr>
        <w:jc w:val="center"/>
        <w:rPr>
          <w:rFonts w:ascii="Times New Roman" w:eastAsia="Times New Roman" w:hAnsi="Times New Roman" w:cs="Times New Roman"/>
          <w:b/>
          <w:sz w:val="24"/>
          <w:szCs w:val="24"/>
        </w:rPr>
      </w:pPr>
    </w:p>
    <w:p w14:paraId="138F7177" w14:textId="77777777" w:rsidR="00E50535" w:rsidRPr="00A14D10" w:rsidRDefault="00E50535" w:rsidP="004C5162">
      <w:pPr>
        <w:jc w:val="center"/>
        <w:rPr>
          <w:rFonts w:ascii="Times New Roman" w:eastAsia="Times New Roman" w:hAnsi="Times New Roman" w:cs="Times New Roman"/>
          <w:b/>
          <w:sz w:val="24"/>
          <w:szCs w:val="24"/>
        </w:rPr>
      </w:pPr>
      <w:r w:rsidRPr="00A14D10">
        <w:rPr>
          <w:rFonts w:ascii="Times New Roman" w:eastAsia="Times New Roman" w:hAnsi="Times New Roman" w:cs="Times New Roman"/>
          <w:b/>
          <w:sz w:val="24"/>
          <w:szCs w:val="24"/>
        </w:rPr>
        <w:t>Boilerplate Language for the</w:t>
      </w:r>
      <w:r w:rsidR="00B62466" w:rsidRPr="00A14D10">
        <w:rPr>
          <w:rFonts w:ascii="Times New Roman" w:eastAsia="Times New Roman" w:hAnsi="Times New Roman" w:cs="Times New Roman"/>
          <w:b/>
          <w:sz w:val="24"/>
          <w:szCs w:val="24"/>
        </w:rPr>
        <w:t xml:space="preserve"> </w:t>
      </w:r>
      <w:r w:rsidRPr="00A14D10">
        <w:rPr>
          <w:rFonts w:ascii="Times New Roman" w:eastAsia="Times New Roman" w:hAnsi="Times New Roman" w:cs="Times New Roman"/>
          <w:b/>
          <w:sz w:val="24"/>
          <w:szCs w:val="24"/>
        </w:rPr>
        <w:t>College of Education</w:t>
      </w:r>
    </w:p>
    <w:p w14:paraId="3AD95D9D" w14:textId="77777777" w:rsidR="00DB2B82" w:rsidRPr="00A14D10" w:rsidRDefault="00DB2B82" w:rsidP="00DB2B82">
      <w:pPr>
        <w:rPr>
          <w:rFonts w:ascii="Times New Roman" w:eastAsia="Times New Roman" w:hAnsi="Times New Roman" w:cs="Times New Roman"/>
          <w:i/>
          <w:sz w:val="24"/>
          <w:szCs w:val="24"/>
        </w:rPr>
      </w:pPr>
    </w:p>
    <w:p w14:paraId="114B9E2C" w14:textId="70A1004B" w:rsidR="00212623" w:rsidRPr="00A14D10" w:rsidRDefault="006E17B5" w:rsidP="00BF0EAD">
      <w:pPr>
        <w:rPr>
          <w:rFonts w:ascii="Times New Roman" w:eastAsia="Times New Roman" w:hAnsi="Times New Roman" w:cs="Times New Roman"/>
          <w:i/>
          <w:sz w:val="24"/>
          <w:szCs w:val="24"/>
        </w:rPr>
      </w:pPr>
      <w:r w:rsidRPr="00A14D10">
        <w:rPr>
          <w:rFonts w:ascii="Times New Roman" w:eastAsia="Times New Roman" w:hAnsi="Times New Roman" w:cs="Times New Roman"/>
          <w:i/>
          <w:sz w:val="24"/>
          <w:szCs w:val="24"/>
        </w:rPr>
        <w:t xml:space="preserve">This language </w:t>
      </w:r>
      <w:r w:rsidR="00523754" w:rsidRPr="00A14D10">
        <w:rPr>
          <w:rFonts w:ascii="Times New Roman" w:eastAsia="Times New Roman" w:hAnsi="Times New Roman" w:cs="Times New Roman"/>
          <w:i/>
          <w:sz w:val="24"/>
          <w:szCs w:val="24"/>
        </w:rPr>
        <w:t>is</w:t>
      </w:r>
      <w:r w:rsidRPr="00A14D10">
        <w:rPr>
          <w:rFonts w:ascii="Times New Roman" w:eastAsia="Times New Roman" w:hAnsi="Times New Roman" w:cs="Times New Roman"/>
          <w:i/>
          <w:sz w:val="24"/>
          <w:szCs w:val="24"/>
        </w:rPr>
        <w:t xml:space="preserve"> updated </w:t>
      </w:r>
      <w:r w:rsidR="00B93042" w:rsidRPr="00A14D10">
        <w:rPr>
          <w:rFonts w:ascii="Times New Roman" w:eastAsia="Times New Roman" w:hAnsi="Times New Roman" w:cs="Times New Roman"/>
          <w:i/>
          <w:sz w:val="24"/>
          <w:szCs w:val="24"/>
        </w:rPr>
        <w:t>annually.</w:t>
      </w:r>
      <w:r w:rsidR="00DB2B82" w:rsidRPr="00A14D10">
        <w:rPr>
          <w:rFonts w:ascii="Times New Roman" w:eastAsia="Times New Roman" w:hAnsi="Times New Roman" w:cs="Times New Roman"/>
          <w:i/>
          <w:sz w:val="24"/>
          <w:szCs w:val="24"/>
        </w:rPr>
        <w:t xml:space="preserve"> </w:t>
      </w:r>
      <w:r w:rsidR="0076344C" w:rsidRPr="00A14D10">
        <w:rPr>
          <w:rFonts w:ascii="Times New Roman" w:eastAsia="Times New Roman" w:hAnsi="Times New Roman" w:cs="Times New Roman"/>
          <w:i/>
          <w:sz w:val="24"/>
          <w:szCs w:val="24"/>
        </w:rPr>
        <w:t xml:space="preserve">If you have </w:t>
      </w:r>
      <w:r w:rsidR="002A43F4" w:rsidRPr="00A14D10">
        <w:rPr>
          <w:rFonts w:ascii="Times New Roman" w:eastAsia="Times New Roman" w:hAnsi="Times New Roman" w:cs="Times New Roman"/>
          <w:i/>
          <w:sz w:val="24"/>
          <w:szCs w:val="24"/>
        </w:rPr>
        <w:t>quest</w:t>
      </w:r>
      <w:r w:rsidR="00212623" w:rsidRPr="00A14D10">
        <w:rPr>
          <w:rFonts w:ascii="Times New Roman" w:eastAsia="Times New Roman" w:hAnsi="Times New Roman" w:cs="Times New Roman"/>
          <w:i/>
          <w:sz w:val="24"/>
          <w:szCs w:val="24"/>
        </w:rPr>
        <w:t>ions or suggested improvements,</w:t>
      </w:r>
      <w:r w:rsidR="00BF0EAD" w:rsidRPr="00A14D10">
        <w:rPr>
          <w:rFonts w:ascii="Times New Roman" w:eastAsia="Times New Roman" w:hAnsi="Times New Roman" w:cs="Times New Roman"/>
          <w:i/>
          <w:sz w:val="24"/>
          <w:szCs w:val="24"/>
        </w:rPr>
        <w:t xml:space="preserve"> </w:t>
      </w:r>
      <w:r w:rsidR="00212623" w:rsidRPr="00A14D10">
        <w:rPr>
          <w:rFonts w:ascii="Times New Roman" w:eastAsia="Times New Roman" w:hAnsi="Times New Roman" w:cs="Times New Roman"/>
          <w:i/>
          <w:sz w:val="24"/>
          <w:szCs w:val="24"/>
        </w:rPr>
        <w:t xml:space="preserve">please contact COE’s </w:t>
      </w:r>
      <w:r w:rsidR="00B93042" w:rsidRPr="00A14D10">
        <w:rPr>
          <w:rFonts w:ascii="Times New Roman" w:eastAsia="Times New Roman" w:hAnsi="Times New Roman" w:cs="Times New Roman"/>
          <w:i/>
          <w:sz w:val="24"/>
          <w:szCs w:val="24"/>
        </w:rPr>
        <w:t>Research Coordinator for Proposal Development, mhutchins@txstate.edu</w:t>
      </w:r>
      <w:r w:rsidR="00B777F1" w:rsidRPr="00A14D10">
        <w:rPr>
          <w:rFonts w:ascii="Times New Roman" w:eastAsia="Times New Roman" w:hAnsi="Times New Roman" w:cs="Times New Roman"/>
          <w:i/>
          <w:sz w:val="24"/>
          <w:szCs w:val="24"/>
        </w:rPr>
        <w:t>.</w:t>
      </w:r>
    </w:p>
    <w:p w14:paraId="429D6CC9" w14:textId="77777777" w:rsidR="00DB2B82" w:rsidRPr="00A14D10" w:rsidRDefault="00DB2B82" w:rsidP="00DE3817">
      <w:pPr>
        <w:tabs>
          <w:tab w:val="left" w:pos="630"/>
        </w:tabs>
        <w:rPr>
          <w:rFonts w:ascii="Times New Roman" w:hAnsi="Times New Roman" w:cs="Times New Roman"/>
          <w:sz w:val="24"/>
          <w:szCs w:val="24"/>
        </w:rPr>
      </w:pPr>
    </w:p>
    <w:p w14:paraId="40C34B8D" w14:textId="482B0394" w:rsidR="008F6751" w:rsidRPr="00A14D10" w:rsidRDefault="00DB2B82">
      <w:pPr>
        <w:rPr>
          <w:rFonts w:ascii="Times New Roman" w:hAnsi="Times New Roman" w:cs="Times New Roman"/>
          <w:b/>
          <w:sz w:val="24"/>
          <w:szCs w:val="24"/>
        </w:rPr>
      </w:pPr>
      <w:r w:rsidRPr="00A14D10">
        <w:rPr>
          <w:rFonts w:ascii="Times New Roman" w:hAnsi="Times New Roman" w:cs="Times New Roman"/>
          <w:b/>
          <w:sz w:val="24"/>
          <w:szCs w:val="24"/>
          <w:u w:val="single"/>
        </w:rPr>
        <w:t xml:space="preserve">College of Education </w:t>
      </w:r>
      <w:r w:rsidR="00762B8F" w:rsidRPr="00A14D10">
        <w:rPr>
          <w:rFonts w:ascii="Times New Roman" w:hAnsi="Times New Roman" w:cs="Times New Roman"/>
          <w:b/>
          <w:sz w:val="24"/>
          <w:szCs w:val="24"/>
          <w:u w:val="single"/>
        </w:rPr>
        <w:t>Overview</w:t>
      </w:r>
    </w:p>
    <w:p w14:paraId="3B5A4849" w14:textId="76C06A06" w:rsidR="00D21755" w:rsidRDefault="006D3BD1" w:rsidP="009C5125">
      <w:pPr>
        <w:autoSpaceDE w:val="0"/>
        <w:autoSpaceDN w:val="0"/>
        <w:adjustRightInd w:val="0"/>
        <w:rPr>
          <w:rFonts w:ascii="Times New Roman" w:hAnsi="Times New Roman" w:cs="Times New Roman"/>
          <w:sz w:val="24"/>
          <w:szCs w:val="24"/>
        </w:rPr>
      </w:pPr>
      <w:r w:rsidRPr="00A14D10">
        <w:rPr>
          <w:rFonts w:ascii="Times New Roman" w:hAnsi="Times New Roman" w:cs="Times New Roman"/>
          <w:sz w:val="24"/>
          <w:szCs w:val="24"/>
        </w:rPr>
        <w:t>Texas State University’s College of Education</w:t>
      </w:r>
      <w:r w:rsidR="00B05C3D">
        <w:rPr>
          <w:rFonts w:ascii="Times New Roman" w:hAnsi="Times New Roman" w:cs="Times New Roman"/>
          <w:sz w:val="24"/>
          <w:szCs w:val="24"/>
        </w:rPr>
        <w:t xml:space="preserve"> (COE)</w:t>
      </w:r>
      <w:r w:rsidR="00440422" w:rsidRPr="00A14D10">
        <w:rPr>
          <w:rFonts w:ascii="Times New Roman" w:hAnsi="Times New Roman" w:cs="Times New Roman"/>
          <w:sz w:val="24"/>
          <w:szCs w:val="24"/>
        </w:rPr>
        <w:t xml:space="preserve"> is a premier professional school, dedicated to enhancing human potential for all through excellent teaching, </w:t>
      </w:r>
      <w:r w:rsidR="00A1571C" w:rsidRPr="00A14D10">
        <w:rPr>
          <w:rFonts w:ascii="Times New Roman" w:hAnsi="Times New Roman" w:cs="Times New Roman"/>
          <w:sz w:val="24"/>
          <w:szCs w:val="24"/>
        </w:rPr>
        <w:t>cutting-edge</w:t>
      </w:r>
      <w:r w:rsidR="00E01E76" w:rsidRPr="00A14D10">
        <w:rPr>
          <w:rFonts w:ascii="Times New Roman" w:hAnsi="Times New Roman" w:cs="Times New Roman"/>
          <w:sz w:val="24"/>
          <w:szCs w:val="24"/>
        </w:rPr>
        <w:t xml:space="preserve"> research</w:t>
      </w:r>
      <w:r w:rsidR="00440422" w:rsidRPr="00A14D10">
        <w:rPr>
          <w:rFonts w:ascii="Times New Roman" w:hAnsi="Times New Roman" w:cs="Times New Roman"/>
          <w:sz w:val="24"/>
          <w:szCs w:val="24"/>
        </w:rPr>
        <w:t>, and community engagement.</w:t>
      </w:r>
      <w:r w:rsidR="00A14D10">
        <w:rPr>
          <w:rFonts w:ascii="Times New Roman" w:hAnsi="Times New Roman" w:cs="Times New Roman"/>
          <w:sz w:val="24"/>
          <w:szCs w:val="24"/>
        </w:rPr>
        <w:t xml:space="preserve"> The C</w:t>
      </w:r>
      <w:r w:rsidR="00A14D10" w:rsidRPr="00A14D10">
        <w:rPr>
          <w:rFonts w:ascii="Times New Roman" w:hAnsi="Times New Roman" w:cs="Times New Roman"/>
          <w:sz w:val="24"/>
          <w:szCs w:val="24"/>
        </w:rPr>
        <w:t xml:space="preserve">ollege continues the foundational and inspirational work that </w:t>
      </w:r>
      <w:r w:rsidR="00A14D10">
        <w:rPr>
          <w:rFonts w:ascii="Times New Roman" w:hAnsi="Times New Roman" w:cs="Times New Roman"/>
          <w:sz w:val="24"/>
          <w:szCs w:val="24"/>
        </w:rPr>
        <w:t>the U</w:t>
      </w:r>
      <w:r w:rsidR="00A14D10" w:rsidRPr="00A14D10">
        <w:rPr>
          <w:rFonts w:ascii="Times New Roman" w:hAnsi="Times New Roman" w:cs="Times New Roman"/>
          <w:sz w:val="24"/>
          <w:szCs w:val="24"/>
        </w:rPr>
        <w:t>niversity began in 1899 of preparing exceptional teachers for the schools and communities of Texas, while also preparing candidates for a wide range of professional roles in PK-12 schools, higher education</w:t>
      </w:r>
      <w:r w:rsidR="00C041C2">
        <w:rPr>
          <w:rFonts w:ascii="Times New Roman" w:hAnsi="Times New Roman" w:cs="Times New Roman"/>
          <w:sz w:val="24"/>
          <w:szCs w:val="24"/>
        </w:rPr>
        <w:t xml:space="preserve">, adult learning, </w:t>
      </w:r>
      <w:r w:rsidR="00A14D10" w:rsidRPr="00A14D10">
        <w:rPr>
          <w:rFonts w:ascii="Times New Roman" w:hAnsi="Times New Roman" w:cs="Times New Roman"/>
          <w:sz w:val="24"/>
          <w:szCs w:val="24"/>
        </w:rPr>
        <w:t>and health and wellness fields.</w:t>
      </w:r>
      <w:r w:rsidR="00A14D10">
        <w:rPr>
          <w:rFonts w:ascii="Times New Roman" w:hAnsi="Times New Roman" w:cs="Times New Roman"/>
          <w:sz w:val="24"/>
          <w:szCs w:val="24"/>
        </w:rPr>
        <w:t xml:space="preserve"> </w:t>
      </w:r>
      <w:r w:rsidR="00623D22">
        <w:rPr>
          <w:rFonts w:ascii="Times New Roman" w:hAnsi="Times New Roman" w:cs="Times New Roman"/>
          <w:sz w:val="24"/>
          <w:szCs w:val="24"/>
        </w:rPr>
        <w:t>COE offers undergraduate, master’s</w:t>
      </w:r>
      <w:r w:rsidR="00B05C3D">
        <w:rPr>
          <w:rFonts w:ascii="Times New Roman" w:hAnsi="Times New Roman" w:cs="Times New Roman"/>
          <w:sz w:val="24"/>
          <w:szCs w:val="24"/>
        </w:rPr>
        <w:t>,</w:t>
      </w:r>
      <w:r w:rsidR="00623D22">
        <w:rPr>
          <w:rFonts w:ascii="Times New Roman" w:hAnsi="Times New Roman" w:cs="Times New Roman"/>
          <w:sz w:val="24"/>
          <w:szCs w:val="24"/>
        </w:rPr>
        <w:t xml:space="preserve"> and doctoral programs</w:t>
      </w:r>
      <w:r w:rsidR="00B05C3D">
        <w:rPr>
          <w:rFonts w:ascii="Times New Roman" w:hAnsi="Times New Roman" w:cs="Times New Roman"/>
          <w:sz w:val="24"/>
          <w:szCs w:val="24"/>
        </w:rPr>
        <w:t xml:space="preserve"> through its three</w:t>
      </w:r>
      <w:r w:rsidR="00623D22">
        <w:rPr>
          <w:rFonts w:ascii="Times New Roman" w:hAnsi="Times New Roman" w:cs="Times New Roman"/>
          <w:sz w:val="24"/>
          <w:szCs w:val="24"/>
        </w:rPr>
        <w:t xml:space="preserve"> departments</w:t>
      </w:r>
      <w:r w:rsidR="00D21755">
        <w:rPr>
          <w:rFonts w:ascii="Times New Roman" w:hAnsi="Times New Roman" w:cs="Times New Roman"/>
          <w:sz w:val="24"/>
          <w:szCs w:val="24"/>
        </w:rPr>
        <w:t>,</w:t>
      </w:r>
      <w:r w:rsidR="00623D22">
        <w:rPr>
          <w:rFonts w:ascii="Times New Roman" w:hAnsi="Times New Roman" w:cs="Times New Roman"/>
          <w:sz w:val="24"/>
          <w:szCs w:val="24"/>
        </w:rPr>
        <w:t xml:space="preserve"> </w:t>
      </w:r>
      <w:r w:rsidR="00B05C3D">
        <w:rPr>
          <w:rFonts w:ascii="Times New Roman" w:hAnsi="Times New Roman" w:cs="Times New Roman"/>
          <w:sz w:val="24"/>
          <w:szCs w:val="24"/>
        </w:rPr>
        <w:t>two</w:t>
      </w:r>
      <w:r w:rsidR="00623D22">
        <w:rPr>
          <w:rFonts w:ascii="Times New Roman" w:hAnsi="Times New Roman" w:cs="Times New Roman"/>
          <w:sz w:val="24"/>
          <w:szCs w:val="24"/>
        </w:rPr>
        <w:t xml:space="preserve"> college</w:t>
      </w:r>
      <w:r w:rsidR="00D21755">
        <w:rPr>
          <w:rFonts w:ascii="Times New Roman" w:hAnsi="Times New Roman" w:cs="Times New Roman"/>
          <w:sz w:val="24"/>
          <w:szCs w:val="24"/>
        </w:rPr>
        <w:t>-level centers, and educator preparation office</w:t>
      </w:r>
      <w:r w:rsidR="00623D22">
        <w:rPr>
          <w:rFonts w:ascii="Times New Roman" w:hAnsi="Times New Roman" w:cs="Times New Roman"/>
          <w:sz w:val="24"/>
          <w:szCs w:val="24"/>
        </w:rPr>
        <w:t>. These programs are supported by o</w:t>
      </w:r>
      <w:r w:rsidR="009C5125">
        <w:rPr>
          <w:rFonts w:ascii="Times New Roman" w:hAnsi="Times New Roman" w:cs="Times New Roman"/>
          <w:sz w:val="24"/>
          <w:szCs w:val="24"/>
        </w:rPr>
        <w:t>ver 170 full-time faculty and 45 full-time staff</w:t>
      </w:r>
      <w:r w:rsidR="00623D22">
        <w:rPr>
          <w:rFonts w:ascii="Times New Roman" w:hAnsi="Times New Roman" w:cs="Times New Roman"/>
          <w:sz w:val="24"/>
          <w:szCs w:val="24"/>
        </w:rPr>
        <w:t>.</w:t>
      </w:r>
      <w:r w:rsidR="00D21755">
        <w:rPr>
          <w:rFonts w:ascii="Times New Roman" w:hAnsi="Times New Roman" w:cs="Times New Roman"/>
          <w:sz w:val="24"/>
          <w:szCs w:val="24"/>
        </w:rPr>
        <w:t xml:space="preserve"> </w:t>
      </w:r>
      <w:r w:rsidR="00D21755" w:rsidRPr="00A14D10">
        <w:rPr>
          <w:rFonts w:ascii="Times New Roman" w:hAnsi="Times New Roman" w:cs="Times New Roman"/>
          <w:sz w:val="24"/>
          <w:szCs w:val="24"/>
        </w:rPr>
        <w:t>The College offers four doctoral degrees: Ph.D. in Adult, Professional, and Community Education; Ph.D. in School Improvement; and the first Ph.D. and one of the few Ed.D. degrees in the nation in Developmental Education.</w:t>
      </w:r>
    </w:p>
    <w:p w14:paraId="6A0C0C7E" w14:textId="77777777" w:rsidR="00CD493D" w:rsidRDefault="00CD493D" w:rsidP="009C5125">
      <w:pPr>
        <w:autoSpaceDE w:val="0"/>
        <w:autoSpaceDN w:val="0"/>
        <w:adjustRightInd w:val="0"/>
        <w:rPr>
          <w:rFonts w:ascii="Times New Roman" w:hAnsi="Times New Roman" w:cs="Times New Roman"/>
          <w:sz w:val="24"/>
          <w:szCs w:val="24"/>
        </w:rPr>
      </w:pPr>
    </w:p>
    <w:p w14:paraId="139408BA" w14:textId="70E4033D" w:rsidR="009C5125" w:rsidRDefault="00D21755" w:rsidP="009C51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2011, </w:t>
      </w:r>
      <w:r w:rsidR="001A5C3B">
        <w:rPr>
          <w:rFonts w:ascii="Times New Roman" w:hAnsi="Times New Roman" w:cs="Times New Roman"/>
          <w:sz w:val="24"/>
          <w:szCs w:val="24"/>
        </w:rPr>
        <w:t>Texas State University was designated as a Hispanic-Serving Institute (HS</w:t>
      </w:r>
      <w:r>
        <w:rPr>
          <w:rFonts w:ascii="Times New Roman" w:hAnsi="Times New Roman" w:cs="Times New Roman"/>
          <w:sz w:val="24"/>
          <w:szCs w:val="24"/>
        </w:rPr>
        <w:t>I</w:t>
      </w:r>
      <w:r w:rsidR="001A5C3B">
        <w:rPr>
          <w:rFonts w:ascii="Times New Roman" w:hAnsi="Times New Roman" w:cs="Times New Roman"/>
          <w:sz w:val="24"/>
          <w:szCs w:val="24"/>
        </w:rPr>
        <w:t xml:space="preserve">) by the U.S. Department of Education. </w:t>
      </w:r>
      <w:r>
        <w:rPr>
          <w:rFonts w:ascii="Times New Roman" w:hAnsi="Times New Roman" w:cs="Times New Roman"/>
          <w:sz w:val="24"/>
          <w:szCs w:val="24"/>
        </w:rPr>
        <w:t xml:space="preserve">The College of Education reflects the </w:t>
      </w:r>
      <w:r w:rsidR="006217B6">
        <w:rPr>
          <w:rFonts w:ascii="Times New Roman" w:hAnsi="Times New Roman" w:cs="Times New Roman"/>
          <w:sz w:val="24"/>
          <w:szCs w:val="24"/>
        </w:rPr>
        <w:t xml:space="preserve">ethnic </w:t>
      </w:r>
      <w:r>
        <w:rPr>
          <w:rFonts w:ascii="Times New Roman" w:hAnsi="Times New Roman" w:cs="Times New Roman"/>
          <w:sz w:val="24"/>
          <w:szCs w:val="24"/>
        </w:rPr>
        <w:t xml:space="preserve">diversity of the Texas community, </w:t>
      </w:r>
      <w:r w:rsidR="001A5C3B">
        <w:rPr>
          <w:rFonts w:ascii="Times New Roman" w:hAnsi="Times New Roman" w:cs="Times New Roman"/>
          <w:sz w:val="24"/>
          <w:szCs w:val="24"/>
        </w:rPr>
        <w:t xml:space="preserve">40% of students enrolled in the College </w:t>
      </w:r>
      <w:r>
        <w:rPr>
          <w:rFonts w:ascii="Times New Roman" w:hAnsi="Times New Roman" w:cs="Times New Roman"/>
          <w:sz w:val="24"/>
          <w:szCs w:val="24"/>
        </w:rPr>
        <w:t xml:space="preserve">identify as </w:t>
      </w:r>
      <w:r w:rsidR="001A5C3B">
        <w:rPr>
          <w:rFonts w:ascii="Times New Roman" w:hAnsi="Times New Roman" w:cs="Times New Roman"/>
          <w:sz w:val="24"/>
          <w:szCs w:val="24"/>
        </w:rPr>
        <w:t>Hispanic/Latinx</w:t>
      </w:r>
      <w:r>
        <w:rPr>
          <w:rFonts w:ascii="Times New Roman" w:hAnsi="Times New Roman" w:cs="Times New Roman"/>
          <w:sz w:val="24"/>
          <w:szCs w:val="24"/>
        </w:rPr>
        <w:t>,</w:t>
      </w:r>
      <w:r w:rsidR="00623D22">
        <w:rPr>
          <w:rFonts w:ascii="Times New Roman" w:hAnsi="Times New Roman" w:cs="Times New Roman"/>
          <w:sz w:val="24"/>
          <w:szCs w:val="24"/>
        </w:rPr>
        <w:t xml:space="preserve"> </w:t>
      </w:r>
      <w:r w:rsidR="006217B6">
        <w:rPr>
          <w:rFonts w:ascii="Times New Roman" w:hAnsi="Times New Roman" w:cs="Times New Roman"/>
          <w:sz w:val="24"/>
          <w:szCs w:val="24"/>
        </w:rPr>
        <w:t>43% White/ non-Hispanic, 12% Black, and 2% Asian.</w:t>
      </w:r>
    </w:p>
    <w:p w14:paraId="7701C257" w14:textId="311F8D2E" w:rsidR="00A14D10" w:rsidRPr="00A14D10" w:rsidRDefault="00A14D10" w:rsidP="00A14D10">
      <w:pPr>
        <w:autoSpaceDE w:val="0"/>
        <w:autoSpaceDN w:val="0"/>
        <w:adjustRightInd w:val="0"/>
        <w:rPr>
          <w:rFonts w:ascii="Times New Roman" w:hAnsi="Times New Roman" w:cs="Times New Roman"/>
          <w:sz w:val="24"/>
          <w:szCs w:val="24"/>
        </w:rPr>
      </w:pPr>
    </w:p>
    <w:p w14:paraId="298F0663" w14:textId="3AC53756" w:rsidR="00BF0EAD" w:rsidRPr="00A14D10" w:rsidRDefault="00BF0EAD" w:rsidP="008F6EDE">
      <w:pPr>
        <w:autoSpaceDE w:val="0"/>
        <w:autoSpaceDN w:val="0"/>
        <w:adjustRightInd w:val="0"/>
        <w:rPr>
          <w:rFonts w:ascii="Times New Roman" w:hAnsi="Times New Roman" w:cs="Times New Roman"/>
          <w:b/>
          <w:bCs/>
          <w:sz w:val="24"/>
          <w:szCs w:val="24"/>
          <w:u w:val="single"/>
        </w:rPr>
      </w:pPr>
      <w:r w:rsidRPr="00A14D10">
        <w:rPr>
          <w:rFonts w:ascii="Times New Roman" w:hAnsi="Times New Roman" w:cs="Times New Roman"/>
          <w:b/>
          <w:bCs/>
          <w:sz w:val="24"/>
          <w:szCs w:val="24"/>
          <w:u w:val="single"/>
        </w:rPr>
        <w:t>Enrollment</w:t>
      </w:r>
    </w:p>
    <w:p w14:paraId="1C85301A" w14:textId="7721CD27" w:rsidR="00DE3817" w:rsidRPr="00A14D10" w:rsidRDefault="00DE3817" w:rsidP="008F6EDE">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766"/>
        <w:gridCol w:w="1684"/>
        <w:gridCol w:w="2043"/>
        <w:gridCol w:w="1857"/>
      </w:tblGrid>
      <w:tr w:rsidR="00F40C83" w:rsidRPr="00A14D10" w14:paraId="502664F0" w14:textId="53C8AFB9" w:rsidTr="00B34BBF">
        <w:trPr>
          <w:jc w:val="center"/>
        </w:trPr>
        <w:tc>
          <w:tcPr>
            <w:tcW w:w="3766" w:type="dxa"/>
            <w:vAlign w:val="center"/>
          </w:tcPr>
          <w:p w14:paraId="3C931FB3" w14:textId="7F17AE16" w:rsidR="00F40C83" w:rsidRPr="00A14D10" w:rsidRDefault="00F40C83" w:rsidP="00EA7169">
            <w:pPr>
              <w:jc w:val="center"/>
              <w:rPr>
                <w:rFonts w:ascii="Times New Roman" w:hAnsi="Times New Roman" w:cs="Times New Roman"/>
                <w:sz w:val="24"/>
                <w:szCs w:val="24"/>
              </w:rPr>
            </w:pPr>
            <w:r w:rsidRPr="00A14D10">
              <w:rPr>
                <w:rFonts w:ascii="Times New Roman" w:hAnsi="Times New Roman" w:cs="Times New Roman"/>
                <w:sz w:val="24"/>
                <w:szCs w:val="24"/>
              </w:rPr>
              <w:t>FALL 20</w:t>
            </w:r>
            <w:r w:rsidR="00371012" w:rsidRPr="00A14D10">
              <w:rPr>
                <w:rFonts w:ascii="Times New Roman" w:hAnsi="Times New Roman" w:cs="Times New Roman"/>
                <w:sz w:val="24"/>
                <w:szCs w:val="24"/>
              </w:rPr>
              <w:t>20</w:t>
            </w:r>
            <w:r w:rsidRPr="00A14D10">
              <w:rPr>
                <w:rFonts w:ascii="Times New Roman" w:hAnsi="Times New Roman" w:cs="Times New Roman"/>
                <w:sz w:val="24"/>
                <w:szCs w:val="24"/>
              </w:rPr>
              <w:t xml:space="preserve"> ENROLLMENT</w:t>
            </w:r>
          </w:p>
        </w:tc>
        <w:tc>
          <w:tcPr>
            <w:tcW w:w="1684" w:type="dxa"/>
            <w:vAlign w:val="center"/>
          </w:tcPr>
          <w:p w14:paraId="2A8E88EF" w14:textId="70983A9E" w:rsidR="00F40C83" w:rsidRPr="00A14D10" w:rsidRDefault="00F40C83" w:rsidP="00B34BBF">
            <w:pPr>
              <w:jc w:val="center"/>
              <w:rPr>
                <w:rFonts w:ascii="Times New Roman" w:hAnsi="Times New Roman" w:cs="Times New Roman"/>
                <w:sz w:val="24"/>
                <w:szCs w:val="24"/>
              </w:rPr>
            </w:pPr>
            <w:r w:rsidRPr="00A14D10">
              <w:rPr>
                <w:rFonts w:ascii="Times New Roman" w:hAnsi="Times New Roman" w:cs="Times New Roman"/>
                <w:sz w:val="24"/>
                <w:szCs w:val="24"/>
              </w:rPr>
              <w:t>Undergraduate</w:t>
            </w:r>
          </w:p>
        </w:tc>
        <w:tc>
          <w:tcPr>
            <w:tcW w:w="2043" w:type="dxa"/>
            <w:vAlign w:val="center"/>
          </w:tcPr>
          <w:p w14:paraId="4F782B6A" w14:textId="1BCFC99F" w:rsidR="00F40C83" w:rsidRPr="00A14D10" w:rsidRDefault="00F40C83" w:rsidP="00B34BBF">
            <w:pPr>
              <w:jc w:val="center"/>
              <w:rPr>
                <w:rFonts w:ascii="Times New Roman" w:hAnsi="Times New Roman" w:cs="Times New Roman"/>
                <w:sz w:val="24"/>
                <w:szCs w:val="24"/>
                <w:u w:val="single"/>
              </w:rPr>
            </w:pPr>
            <w:r w:rsidRPr="00A14D10">
              <w:rPr>
                <w:rFonts w:ascii="Times New Roman" w:hAnsi="Times New Roman" w:cs="Times New Roman"/>
                <w:sz w:val="24"/>
                <w:szCs w:val="24"/>
              </w:rPr>
              <w:t>Graduate and</w:t>
            </w:r>
            <w:r w:rsidR="00EA7169" w:rsidRPr="00A14D10">
              <w:rPr>
                <w:rFonts w:ascii="Times New Roman" w:hAnsi="Times New Roman" w:cs="Times New Roman"/>
                <w:sz w:val="24"/>
                <w:szCs w:val="24"/>
              </w:rPr>
              <w:br/>
            </w:r>
            <w:proofErr w:type="gramStart"/>
            <w:r w:rsidRPr="00A14D10">
              <w:rPr>
                <w:rFonts w:ascii="Times New Roman" w:hAnsi="Times New Roman" w:cs="Times New Roman"/>
                <w:sz w:val="24"/>
                <w:szCs w:val="24"/>
              </w:rPr>
              <w:t>Post-</w:t>
            </w:r>
            <w:proofErr w:type="spellStart"/>
            <w:r w:rsidRPr="00A14D10">
              <w:rPr>
                <w:rFonts w:ascii="Times New Roman" w:hAnsi="Times New Roman" w:cs="Times New Roman"/>
                <w:sz w:val="24"/>
                <w:szCs w:val="24"/>
              </w:rPr>
              <w:t>Bacc</w:t>
            </w:r>
            <w:proofErr w:type="spellEnd"/>
            <w:proofErr w:type="gramEnd"/>
          </w:p>
        </w:tc>
        <w:tc>
          <w:tcPr>
            <w:tcW w:w="1857" w:type="dxa"/>
            <w:vAlign w:val="center"/>
          </w:tcPr>
          <w:p w14:paraId="550A3841" w14:textId="1B0DBE68" w:rsidR="00F40C83" w:rsidRPr="00A14D10" w:rsidRDefault="00F40C83" w:rsidP="00B34BBF">
            <w:pPr>
              <w:jc w:val="center"/>
              <w:rPr>
                <w:rFonts w:ascii="Times New Roman" w:hAnsi="Times New Roman" w:cs="Times New Roman"/>
                <w:sz w:val="24"/>
                <w:szCs w:val="24"/>
              </w:rPr>
            </w:pPr>
            <w:r w:rsidRPr="00A14D10">
              <w:rPr>
                <w:rFonts w:ascii="Times New Roman" w:hAnsi="Times New Roman" w:cs="Times New Roman"/>
                <w:sz w:val="24"/>
                <w:szCs w:val="24"/>
              </w:rPr>
              <w:t>Doctoral</w:t>
            </w:r>
          </w:p>
        </w:tc>
      </w:tr>
      <w:tr w:rsidR="00F40C83" w:rsidRPr="00A14D10" w14:paraId="3E744076" w14:textId="041CEC9C" w:rsidTr="00F40C83">
        <w:trPr>
          <w:jc w:val="center"/>
        </w:trPr>
        <w:tc>
          <w:tcPr>
            <w:tcW w:w="3766" w:type="dxa"/>
            <w:vAlign w:val="center"/>
          </w:tcPr>
          <w:p w14:paraId="6BFB2673" w14:textId="77777777" w:rsidR="00F40C83" w:rsidRPr="00A14D10" w:rsidRDefault="00F40C83" w:rsidP="00AA3411">
            <w:pPr>
              <w:jc w:val="right"/>
              <w:rPr>
                <w:rFonts w:ascii="Times New Roman" w:hAnsi="Times New Roman" w:cs="Times New Roman"/>
                <w:sz w:val="24"/>
                <w:szCs w:val="24"/>
              </w:rPr>
            </w:pPr>
            <w:r w:rsidRPr="00A14D10">
              <w:rPr>
                <w:rFonts w:ascii="Times New Roman" w:hAnsi="Times New Roman" w:cs="Times New Roman"/>
                <w:sz w:val="24"/>
                <w:szCs w:val="24"/>
              </w:rPr>
              <w:t>Curriculum &amp; Instruction (C&amp;I)</w:t>
            </w:r>
          </w:p>
        </w:tc>
        <w:tc>
          <w:tcPr>
            <w:tcW w:w="1684" w:type="dxa"/>
            <w:vAlign w:val="bottom"/>
          </w:tcPr>
          <w:p w14:paraId="1CFEECC3" w14:textId="745532E3" w:rsidR="00F40C83" w:rsidRPr="00A14D10" w:rsidRDefault="00371012" w:rsidP="00EB04E1">
            <w:pPr>
              <w:ind w:right="315"/>
              <w:jc w:val="right"/>
              <w:rPr>
                <w:rFonts w:ascii="Times New Roman" w:hAnsi="Times New Roman" w:cs="Times New Roman"/>
                <w:sz w:val="24"/>
                <w:szCs w:val="24"/>
              </w:rPr>
            </w:pPr>
            <w:r w:rsidRPr="00A14D10">
              <w:rPr>
                <w:rFonts w:ascii="Times New Roman" w:hAnsi="Times New Roman" w:cs="Times New Roman"/>
                <w:sz w:val="24"/>
                <w:szCs w:val="24"/>
              </w:rPr>
              <w:t>1,531</w:t>
            </w:r>
          </w:p>
        </w:tc>
        <w:tc>
          <w:tcPr>
            <w:tcW w:w="2043" w:type="dxa"/>
            <w:vAlign w:val="bottom"/>
          </w:tcPr>
          <w:p w14:paraId="7ACDA65D" w14:textId="038E308B"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303</w:t>
            </w:r>
          </w:p>
        </w:tc>
        <w:tc>
          <w:tcPr>
            <w:tcW w:w="1857" w:type="dxa"/>
          </w:tcPr>
          <w:p w14:paraId="64ADCBBA" w14:textId="0660C768"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44</w:t>
            </w:r>
          </w:p>
        </w:tc>
      </w:tr>
      <w:tr w:rsidR="00F40C83" w:rsidRPr="00A14D10" w14:paraId="40A3C424" w14:textId="7A6D7B1A" w:rsidTr="00F40C83">
        <w:trPr>
          <w:jc w:val="center"/>
        </w:trPr>
        <w:tc>
          <w:tcPr>
            <w:tcW w:w="3766" w:type="dxa"/>
            <w:vAlign w:val="center"/>
          </w:tcPr>
          <w:p w14:paraId="0CD9C051" w14:textId="77777777" w:rsidR="00F40C83" w:rsidRPr="00A14D10" w:rsidRDefault="00F40C83" w:rsidP="00AA3411">
            <w:pPr>
              <w:jc w:val="right"/>
              <w:rPr>
                <w:rFonts w:ascii="Times New Roman" w:hAnsi="Times New Roman" w:cs="Times New Roman"/>
                <w:sz w:val="24"/>
                <w:szCs w:val="24"/>
              </w:rPr>
            </w:pPr>
            <w:r w:rsidRPr="00A14D10">
              <w:rPr>
                <w:rFonts w:ascii="Times New Roman" w:hAnsi="Times New Roman" w:cs="Times New Roman"/>
                <w:sz w:val="24"/>
                <w:szCs w:val="24"/>
              </w:rPr>
              <w:t>Counseling, Leadership, Adult Education,</w:t>
            </w:r>
          </w:p>
          <w:p w14:paraId="18B3A7EA" w14:textId="77777777" w:rsidR="00F40C83" w:rsidRPr="00A14D10" w:rsidRDefault="00F40C83" w:rsidP="00AA3411">
            <w:pPr>
              <w:jc w:val="right"/>
              <w:rPr>
                <w:rFonts w:ascii="Times New Roman" w:hAnsi="Times New Roman" w:cs="Times New Roman"/>
                <w:sz w:val="24"/>
                <w:szCs w:val="24"/>
              </w:rPr>
            </w:pPr>
            <w:r w:rsidRPr="00A14D10">
              <w:rPr>
                <w:rFonts w:ascii="Times New Roman" w:hAnsi="Times New Roman" w:cs="Times New Roman"/>
                <w:sz w:val="24"/>
                <w:szCs w:val="24"/>
              </w:rPr>
              <w:t>and School Psychology (CLAS)</w:t>
            </w:r>
          </w:p>
        </w:tc>
        <w:tc>
          <w:tcPr>
            <w:tcW w:w="1684" w:type="dxa"/>
            <w:vAlign w:val="bottom"/>
          </w:tcPr>
          <w:p w14:paraId="3F3D703C" w14:textId="30C379F1" w:rsidR="00F40C83" w:rsidRPr="00A14D10" w:rsidRDefault="001B5C4B" w:rsidP="00EB04E1">
            <w:pPr>
              <w:ind w:right="315"/>
              <w:jc w:val="right"/>
              <w:rPr>
                <w:rFonts w:ascii="Times New Roman" w:hAnsi="Times New Roman" w:cs="Times New Roman"/>
                <w:sz w:val="24"/>
                <w:szCs w:val="24"/>
              </w:rPr>
            </w:pPr>
            <w:r w:rsidRPr="00A14D10">
              <w:rPr>
                <w:rFonts w:ascii="Times New Roman" w:hAnsi="Times New Roman" w:cs="Times New Roman"/>
                <w:sz w:val="24"/>
                <w:szCs w:val="24"/>
              </w:rPr>
              <w:t>NA</w:t>
            </w:r>
          </w:p>
        </w:tc>
        <w:tc>
          <w:tcPr>
            <w:tcW w:w="2043" w:type="dxa"/>
            <w:vAlign w:val="bottom"/>
          </w:tcPr>
          <w:p w14:paraId="3307786D" w14:textId="49CE9203"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442</w:t>
            </w:r>
          </w:p>
        </w:tc>
        <w:tc>
          <w:tcPr>
            <w:tcW w:w="1857" w:type="dxa"/>
          </w:tcPr>
          <w:p w14:paraId="1BF59334" w14:textId="77777777" w:rsidR="00F7361C" w:rsidRPr="00A14D10" w:rsidRDefault="00F7361C" w:rsidP="00FE5F19">
            <w:pPr>
              <w:jc w:val="center"/>
              <w:rPr>
                <w:rFonts w:ascii="Times New Roman" w:hAnsi="Times New Roman" w:cs="Times New Roman"/>
                <w:sz w:val="24"/>
                <w:szCs w:val="24"/>
              </w:rPr>
            </w:pPr>
          </w:p>
          <w:p w14:paraId="6EEAC707" w14:textId="77777777" w:rsidR="00F7361C" w:rsidRPr="00A14D10" w:rsidRDefault="00F7361C" w:rsidP="00FE5F19">
            <w:pPr>
              <w:jc w:val="center"/>
              <w:rPr>
                <w:rFonts w:ascii="Times New Roman" w:hAnsi="Times New Roman" w:cs="Times New Roman"/>
                <w:sz w:val="24"/>
                <w:szCs w:val="24"/>
              </w:rPr>
            </w:pPr>
          </w:p>
          <w:p w14:paraId="5518A129" w14:textId="49325427"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137</w:t>
            </w:r>
          </w:p>
        </w:tc>
      </w:tr>
      <w:tr w:rsidR="00F40C83" w:rsidRPr="00A14D10" w14:paraId="4DA32CE6" w14:textId="2CEB8088" w:rsidTr="00F40C83">
        <w:trPr>
          <w:jc w:val="center"/>
        </w:trPr>
        <w:tc>
          <w:tcPr>
            <w:tcW w:w="3766" w:type="dxa"/>
            <w:vAlign w:val="center"/>
          </w:tcPr>
          <w:p w14:paraId="65A86B0C" w14:textId="77777777" w:rsidR="00F40C83" w:rsidRPr="00A14D10" w:rsidRDefault="00F40C83" w:rsidP="00AA3411">
            <w:pPr>
              <w:jc w:val="right"/>
              <w:rPr>
                <w:rFonts w:ascii="Times New Roman" w:hAnsi="Times New Roman" w:cs="Times New Roman"/>
                <w:sz w:val="24"/>
                <w:szCs w:val="24"/>
              </w:rPr>
            </w:pPr>
            <w:r w:rsidRPr="00A14D10">
              <w:rPr>
                <w:rFonts w:ascii="Times New Roman" w:hAnsi="Times New Roman" w:cs="Times New Roman"/>
                <w:sz w:val="24"/>
                <w:szCs w:val="24"/>
              </w:rPr>
              <w:t>Health &amp; Human Performance (HHP)</w:t>
            </w:r>
          </w:p>
        </w:tc>
        <w:tc>
          <w:tcPr>
            <w:tcW w:w="1684" w:type="dxa"/>
            <w:vAlign w:val="bottom"/>
          </w:tcPr>
          <w:p w14:paraId="091FA0A0" w14:textId="068BFCB8" w:rsidR="00F40C83" w:rsidRPr="00A14D10" w:rsidRDefault="00371012" w:rsidP="00EB04E1">
            <w:pPr>
              <w:ind w:right="315"/>
              <w:jc w:val="right"/>
              <w:rPr>
                <w:rFonts w:ascii="Times New Roman" w:hAnsi="Times New Roman" w:cs="Times New Roman"/>
                <w:sz w:val="24"/>
                <w:szCs w:val="24"/>
              </w:rPr>
            </w:pPr>
            <w:r w:rsidRPr="00A14D10">
              <w:rPr>
                <w:rFonts w:ascii="Times New Roman" w:hAnsi="Times New Roman" w:cs="Times New Roman"/>
                <w:sz w:val="24"/>
                <w:szCs w:val="24"/>
              </w:rPr>
              <w:t>2,397</w:t>
            </w:r>
          </w:p>
        </w:tc>
        <w:tc>
          <w:tcPr>
            <w:tcW w:w="2043" w:type="dxa"/>
            <w:vAlign w:val="bottom"/>
          </w:tcPr>
          <w:p w14:paraId="1D61D7DE" w14:textId="722D9B50"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210</w:t>
            </w:r>
          </w:p>
        </w:tc>
        <w:tc>
          <w:tcPr>
            <w:tcW w:w="1857" w:type="dxa"/>
          </w:tcPr>
          <w:p w14:paraId="61AEA4B1" w14:textId="239CE1A0" w:rsidR="00F40C83" w:rsidRPr="00A14D10" w:rsidRDefault="00702F22" w:rsidP="00FE5F19">
            <w:pPr>
              <w:jc w:val="center"/>
              <w:rPr>
                <w:rFonts w:ascii="Times New Roman" w:hAnsi="Times New Roman" w:cs="Times New Roman"/>
                <w:sz w:val="24"/>
                <w:szCs w:val="24"/>
              </w:rPr>
            </w:pPr>
            <w:r w:rsidRPr="00A14D10">
              <w:rPr>
                <w:rFonts w:ascii="Times New Roman" w:hAnsi="Times New Roman" w:cs="Times New Roman"/>
                <w:sz w:val="24"/>
                <w:szCs w:val="24"/>
              </w:rPr>
              <w:t>NA</w:t>
            </w:r>
          </w:p>
        </w:tc>
      </w:tr>
      <w:tr w:rsidR="00F40C83" w:rsidRPr="00A14D10" w14:paraId="479981C1" w14:textId="77777777" w:rsidTr="00F40C83">
        <w:trPr>
          <w:jc w:val="center"/>
        </w:trPr>
        <w:tc>
          <w:tcPr>
            <w:tcW w:w="3766" w:type="dxa"/>
            <w:vAlign w:val="center"/>
          </w:tcPr>
          <w:p w14:paraId="6D790226" w14:textId="1A26A735" w:rsidR="00F40C83" w:rsidRPr="00A14D10" w:rsidRDefault="00F40C83" w:rsidP="00AA3411">
            <w:pPr>
              <w:jc w:val="right"/>
              <w:rPr>
                <w:rFonts w:ascii="Times New Roman" w:hAnsi="Times New Roman" w:cs="Times New Roman"/>
                <w:sz w:val="24"/>
                <w:szCs w:val="24"/>
              </w:rPr>
            </w:pPr>
            <w:r w:rsidRPr="00A14D10">
              <w:rPr>
                <w:rFonts w:ascii="Times New Roman" w:hAnsi="Times New Roman" w:cs="Times New Roman"/>
                <w:sz w:val="24"/>
                <w:szCs w:val="24"/>
              </w:rPr>
              <w:t>TOTALS</w:t>
            </w:r>
          </w:p>
        </w:tc>
        <w:tc>
          <w:tcPr>
            <w:tcW w:w="1684" w:type="dxa"/>
            <w:vAlign w:val="bottom"/>
          </w:tcPr>
          <w:p w14:paraId="565450F5" w14:textId="5AAC51BC" w:rsidR="00F40C83" w:rsidRPr="00A14D10" w:rsidRDefault="00371012" w:rsidP="00EB04E1">
            <w:pPr>
              <w:ind w:right="315"/>
              <w:jc w:val="right"/>
              <w:rPr>
                <w:rFonts w:ascii="Times New Roman" w:hAnsi="Times New Roman" w:cs="Times New Roman"/>
                <w:sz w:val="24"/>
                <w:szCs w:val="24"/>
              </w:rPr>
            </w:pPr>
            <w:r w:rsidRPr="00A14D10">
              <w:rPr>
                <w:rFonts w:ascii="Times New Roman" w:hAnsi="Times New Roman" w:cs="Times New Roman"/>
                <w:sz w:val="24"/>
                <w:szCs w:val="24"/>
              </w:rPr>
              <w:t>3,928</w:t>
            </w:r>
          </w:p>
        </w:tc>
        <w:tc>
          <w:tcPr>
            <w:tcW w:w="2043" w:type="dxa"/>
            <w:vAlign w:val="bottom"/>
          </w:tcPr>
          <w:p w14:paraId="7BB2B49F" w14:textId="1FC874F0"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955</w:t>
            </w:r>
          </w:p>
        </w:tc>
        <w:tc>
          <w:tcPr>
            <w:tcW w:w="1857" w:type="dxa"/>
          </w:tcPr>
          <w:p w14:paraId="11C82E00" w14:textId="683AD448" w:rsidR="00F40C83" w:rsidRPr="00A14D10" w:rsidRDefault="00371012" w:rsidP="00FE5F19">
            <w:pPr>
              <w:jc w:val="center"/>
              <w:rPr>
                <w:rFonts w:ascii="Times New Roman" w:hAnsi="Times New Roman" w:cs="Times New Roman"/>
                <w:sz w:val="24"/>
                <w:szCs w:val="24"/>
              </w:rPr>
            </w:pPr>
            <w:r w:rsidRPr="00A14D10">
              <w:rPr>
                <w:rFonts w:ascii="Times New Roman" w:hAnsi="Times New Roman" w:cs="Times New Roman"/>
                <w:sz w:val="24"/>
                <w:szCs w:val="24"/>
              </w:rPr>
              <w:t>181</w:t>
            </w:r>
          </w:p>
        </w:tc>
      </w:tr>
      <w:tr w:rsidR="00EA7169" w:rsidRPr="00A14D10" w14:paraId="2B91AACB" w14:textId="77777777" w:rsidTr="00EA7169">
        <w:tblPrEx>
          <w:jc w:val="left"/>
        </w:tblPrEx>
        <w:tc>
          <w:tcPr>
            <w:tcW w:w="3766" w:type="dxa"/>
            <w:shd w:val="clear" w:color="auto" w:fill="BFBFBF" w:themeFill="background1" w:themeFillShade="BF"/>
            <w:vAlign w:val="center"/>
          </w:tcPr>
          <w:p w14:paraId="2F1EF07C" w14:textId="77777777" w:rsidR="00EA7169" w:rsidRPr="00A14D10" w:rsidRDefault="00EA7169" w:rsidP="00EA7169">
            <w:pPr>
              <w:jc w:val="center"/>
              <w:rPr>
                <w:rFonts w:ascii="Times New Roman" w:hAnsi="Times New Roman" w:cs="Times New Roman"/>
                <w:sz w:val="24"/>
                <w:szCs w:val="24"/>
              </w:rPr>
            </w:pPr>
          </w:p>
        </w:tc>
        <w:tc>
          <w:tcPr>
            <w:tcW w:w="1684" w:type="dxa"/>
            <w:shd w:val="clear" w:color="auto" w:fill="BFBFBF" w:themeFill="background1" w:themeFillShade="BF"/>
            <w:vAlign w:val="center"/>
          </w:tcPr>
          <w:p w14:paraId="50FC9DB0" w14:textId="77777777" w:rsidR="00EA7169" w:rsidRPr="00A14D10" w:rsidRDefault="00EA7169" w:rsidP="00EA7169">
            <w:pPr>
              <w:jc w:val="center"/>
              <w:rPr>
                <w:rFonts w:ascii="Times New Roman" w:hAnsi="Times New Roman" w:cs="Times New Roman"/>
                <w:sz w:val="24"/>
                <w:szCs w:val="24"/>
              </w:rPr>
            </w:pPr>
          </w:p>
        </w:tc>
        <w:tc>
          <w:tcPr>
            <w:tcW w:w="2043" w:type="dxa"/>
            <w:shd w:val="clear" w:color="auto" w:fill="BFBFBF" w:themeFill="background1" w:themeFillShade="BF"/>
            <w:vAlign w:val="center"/>
          </w:tcPr>
          <w:p w14:paraId="063A3E36" w14:textId="77777777" w:rsidR="00EA7169" w:rsidRPr="00A14D10" w:rsidRDefault="00EA7169" w:rsidP="00EA7169">
            <w:pPr>
              <w:jc w:val="center"/>
              <w:rPr>
                <w:rFonts w:ascii="Times New Roman" w:hAnsi="Times New Roman" w:cs="Times New Roman"/>
                <w:sz w:val="24"/>
                <w:szCs w:val="24"/>
              </w:rPr>
            </w:pPr>
          </w:p>
        </w:tc>
        <w:tc>
          <w:tcPr>
            <w:tcW w:w="1857" w:type="dxa"/>
            <w:shd w:val="clear" w:color="auto" w:fill="BFBFBF" w:themeFill="background1" w:themeFillShade="BF"/>
            <w:vAlign w:val="center"/>
          </w:tcPr>
          <w:p w14:paraId="037145DC" w14:textId="77777777" w:rsidR="00EA7169" w:rsidRPr="00A14D10" w:rsidRDefault="00EA7169" w:rsidP="00EA7169">
            <w:pPr>
              <w:jc w:val="center"/>
              <w:rPr>
                <w:rFonts w:ascii="Times New Roman" w:hAnsi="Times New Roman" w:cs="Times New Roman"/>
                <w:sz w:val="24"/>
                <w:szCs w:val="24"/>
              </w:rPr>
            </w:pPr>
          </w:p>
        </w:tc>
      </w:tr>
      <w:tr w:rsidR="00F40C83" w:rsidRPr="00A14D10" w14:paraId="286B9CDE" w14:textId="77777777" w:rsidTr="00EA7169">
        <w:tblPrEx>
          <w:jc w:val="left"/>
        </w:tblPrEx>
        <w:tc>
          <w:tcPr>
            <w:tcW w:w="3766" w:type="dxa"/>
            <w:vAlign w:val="center"/>
          </w:tcPr>
          <w:p w14:paraId="31063795" w14:textId="12B60002" w:rsidR="00F40C83" w:rsidRPr="00A14D10" w:rsidRDefault="00F40C83" w:rsidP="00EA7169">
            <w:pPr>
              <w:jc w:val="center"/>
              <w:rPr>
                <w:rFonts w:ascii="Times New Roman" w:hAnsi="Times New Roman" w:cs="Times New Roman"/>
                <w:sz w:val="24"/>
                <w:szCs w:val="24"/>
              </w:rPr>
            </w:pPr>
            <w:r w:rsidRPr="00A14D10">
              <w:rPr>
                <w:rFonts w:ascii="Times New Roman" w:hAnsi="Times New Roman" w:cs="Times New Roman"/>
                <w:sz w:val="24"/>
                <w:szCs w:val="24"/>
              </w:rPr>
              <w:t>DEGREES AWARDED</w:t>
            </w:r>
          </w:p>
        </w:tc>
        <w:tc>
          <w:tcPr>
            <w:tcW w:w="1684" w:type="dxa"/>
            <w:vAlign w:val="center"/>
          </w:tcPr>
          <w:p w14:paraId="4B5D5833" w14:textId="794E4AC2" w:rsidR="00F40C83" w:rsidRPr="00A14D10" w:rsidRDefault="00F40C83" w:rsidP="00B34BBF">
            <w:pPr>
              <w:jc w:val="center"/>
              <w:rPr>
                <w:rFonts w:ascii="Times New Roman" w:hAnsi="Times New Roman" w:cs="Times New Roman"/>
                <w:sz w:val="24"/>
                <w:szCs w:val="24"/>
              </w:rPr>
            </w:pPr>
            <w:r w:rsidRPr="00A14D10">
              <w:rPr>
                <w:rFonts w:ascii="Times New Roman" w:hAnsi="Times New Roman" w:cs="Times New Roman"/>
                <w:sz w:val="24"/>
                <w:szCs w:val="24"/>
              </w:rPr>
              <w:t>Undergraduate</w:t>
            </w:r>
          </w:p>
        </w:tc>
        <w:tc>
          <w:tcPr>
            <w:tcW w:w="2043" w:type="dxa"/>
            <w:vAlign w:val="center"/>
          </w:tcPr>
          <w:p w14:paraId="570D74DE" w14:textId="570A8BAF" w:rsidR="00F40C83" w:rsidRPr="00A14D10" w:rsidRDefault="00F40C83" w:rsidP="00EA7169">
            <w:pPr>
              <w:jc w:val="center"/>
              <w:rPr>
                <w:rFonts w:ascii="Times New Roman" w:hAnsi="Times New Roman" w:cs="Times New Roman"/>
                <w:sz w:val="24"/>
                <w:szCs w:val="24"/>
                <w:u w:val="single"/>
              </w:rPr>
            </w:pPr>
            <w:r w:rsidRPr="00A14D10">
              <w:rPr>
                <w:rFonts w:ascii="Times New Roman" w:hAnsi="Times New Roman" w:cs="Times New Roman"/>
                <w:sz w:val="24"/>
                <w:szCs w:val="24"/>
              </w:rPr>
              <w:t>Graduate and</w:t>
            </w:r>
            <w:r w:rsidR="00EA7169" w:rsidRPr="00A14D10">
              <w:rPr>
                <w:rFonts w:ascii="Times New Roman" w:hAnsi="Times New Roman" w:cs="Times New Roman"/>
                <w:sz w:val="24"/>
                <w:szCs w:val="24"/>
              </w:rPr>
              <w:br/>
            </w:r>
            <w:proofErr w:type="gramStart"/>
            <w:r w:rsidRPr="00A14D10">
              <w:rPr>
                <w:rFonts w:ascii="Times New Roman" w:hAnsi="Times New Roman" w:cs="Times New Roman"/>
                <w:sz w:val="24"/>
                <w:szCs w:val="24"/>
              </w:rPr>
              <w:t>Post-</w:t>
            </w:r>
            <w:proofErr w:type="spellStart"/>
            <w:r w:rsidRPr="00A14D10">
              <w:rPr>
                <w:rFonts w:ascii="Times New Roman" w:hAnsi="Times New Roman" w:cs="Times New Roman"/>
                <w:sz w:val="24"/>
                <w:szCs w:val="24"/>
              </w:rPr>
              <w:t>Bacc</w:t>
            </w:r>
            <w:proofErr w:type="spellEnd"/>
            <w:proofErr w:type="gramEnd"/>
          </w:p>
        </w:tc>
        <w:tc>
          <w:tcPr>
            <w:tcW w:w="1857" w:type="dxa"/>
            <w:vAlign w:val="center"/>
          </w:tcPr>
          <w:p w14:paraId="3A494868" w14:textId="4B96F068" w:rsidR="00F40C83" w:rsidRPr="00A14D10" w:rsidRDefault="00F40C83" w:rsidP="00EA7169">
            <w:pPr>
              <w:jc w:val="center"/>
              <w:rPr>
                <w:rFonts w:ascii="Times New Roman" w:hAnsi="Times New Roman" w:cs="Times New Roman"/>
                <w:sz w:val="24"/>
                <w:szCs w:val="24"/>
              </w:rPr>
            </w:pPr>
            <w:r w:rsidRPr="00A14D10">
              <w:rPr>
                <w:rFonts w:ascii="Times New Roman" w:hAnsi="Times New Roman" w:cs="Times New Roman"/>
                <w:sz w:val="24"/>
                <w:szCs w:val="24"/>
              </w:rPr>
              <w:t>Doctoral</w:t>
            </w:r>
          </w:p>
        </w:tc>
      </w:tr>
      <w:tr w:rsidR="00F40C83" w:rsidRPr="00A14D10" w14:paraId="055862A9" w14:textId="77777777" w:rsidTr="00F40C83">
        <w:tblPrEx>
          <w:jc w:val="left"/>
        </w:tblPrEx>
        <w:tc>
          <w:tcPr>
            <w:tcW w:w="3766" w:type="dxa"/>
          </w:tcPr>
          <w:p w14:paraId="436DB762" w14:textId="680B5826" w:rsidR="00F40C83" w:rsidRPr="00A14D10" w:rsidRDefault="00371012" w:rsidP="00163392">
            <w:pPr>
              <w:jc w:val="right"/>
              <w:rPr>
                <w:rFonts w:ascii="Times New Roman" w:hAnsi="Times New Roman" w:cs="Times New Roman"/>
                <w:sz w:val="24"/>
                <w:szCs w:val="24"/>
              </w:rPr>
            </w:pPr>
            <w:r w:rsidRPr="00A14D10">
              <w:rPr>
                <w:rFonts w:ascii="Times New Roman" w:hAnsi="Times New Roman" w:cs="Times New Roman"/>
                <w:sz w:val="24"/>
                <w:szCs w:val="24"/>
              </w:rPr>
              <w:t>All</w:t>
            </w:r>
          </w:p>
        </w:tc>
        <w:tc>
          <w:tcPr>
            <w:tcW w:w="1684" w:type="dxa"/>
          </w:tcPr>
          <w:p w14:paraId="6320F00F" w14:textId="16419421" w:rsidR="00F40C83" w:rsidRPr="00A14D10" w:rsidRDefault="00371012" w:rsidP="00163392">
            <w:pPr>
              <w:ind w:right="315"/>
              <w:jc w:val="right"/>
              <w:rPr>
                <w:rFonts w:ascii="Times New Roman" w:hAnsi="Times New Roman" w:cs="Times New Roman"/>
                <w:sz w:val="24"/>
                <w:szCs w:val="24"/>
              </w:rPr>
            </w:pPr>
            <w:r w:rsidRPr="00A14D10">
              <w:rPr>
                <w:rFonts w:ascii="Times New Roman" w:hAnsi="Times New Roman" w:cs="Times New Roman"/>
                <w:sz w:val="24"/>
                <w:szCs w:val="24"/>
              </w:rPr>
              <w:t>640</w:t>
            </w:r>
          </w:p>
        </w:tc>
        <w:tc>
          <w:tcPr>
            <w:tcW w:w="2043" w:type="dxa"/>
          </w:tcPr>
          <w:p w14:paraId="01A657E7" w14:textId="6CDC8629" w:rsidR="00F40C83" w:rsidRPr="00A14D10" w:rsidRDefault="00371012" w:rsidP="00163392">
            <w:pPr>
              <w:jc w:val="center"/>
              <w:rPr>
                <w:rFonts w:ascii="Times New Roman" w:hAnsi="Times New Roman" w:cs="Times New Roman"/>
                <w:sz w:val="24"/>
                <w:szCs w:val="24"/>
              </w:rPr>
            </w:pPr>
            <w:r w:rsidRPr="00A14D10">
              <w:rPr>
                <w:rFonts w:ascii="Times New Roman" w:hAnsi="Times New Roman" w:cs="Times New Roman"/>
                <w:sz w:val="24"/>
                <w:szCs w:val="24"/>
              </w:rPr>
              <w:t>292</w:t>
            </w:r>
          </w:p>
        </w:tc>
        <w:tc>
          <w:tcPr>
            <w:tcW w:w="1857" w:type="dxa"/>
          </w:tcPr>
          <w:p w14:paraId="6586F456" w14:textId="6313BA5E" w:rsidR="00F40C83" w:rsidRPr="00A14D10" w:rsidRDefault="00371012" w:rsidP="00163392">
            <w:pPr>
              <w:jc w:val="center"/>
              <w:rPr>
                <w:rFonts w:ascii="Times New Roman" w:hAnsi="Times New Roman" w:cs="Times New Roman"/>
                <w:sz w:val="24"/>
                <w:szCs w:val="24"/>
              </w:rPr>
            </w:pPr>
            <w:r w:rsidRPr="00A14D10">
              <w:rPr>
                <w:rFonts w:ascii="Times New Roman" w:hAnsi="Times New Roman" w:cs="Times New Roman"/>
                <w:sz w:val="24"/>
                <w:szCs w:val="24"/>
              </w:rPr>
              <w:t>12</w:t>
            </w:r>
          </w:p>
        </w:tc>
      </w:tr>
    </w:tbl>
    <w:p w14:paraId="206EA174" w14:textId="0111AA91" w:rsidR="003D0ADD" w:rsidRPr="00A14D10" w:rsidRDefault="00F40C83" w:rsidP="00DE3817">
      <w:pPr>
        <w:rPr>
          <w:rFonts w:ascii="Times New Roman" w:hAnsi="Times New Roman" w:cs="Times New Roman"/>
          <w:sz w:val="24"/>
          <w:szCs w:val="24"/>
        </w:rPr>
      </w:pPr>
      <w:r w:rsidRPr="00A14D10">
        <w:rPr>
          <w:rFonts w:ascii="Times New Roman" w:hAnsi="Times New Roman" w:cs="Times New Roman"/>
          <w:sz w:val="24"/>
          <w:szCs w:val="24"/>
        </w:rPr>
        <w:t>(</w:t>
      </w:r>
      <w:hyperlink r:id="rId9" w:history="1">
        <w:r w:rsidR="00BC1C65" w:rsidRPr="00A14D10">
          <w:rPr>
            <w:rStyle w:val="Hyperlink"/>
            <w:rFonts w:ascii="Times New Roman" w:hAnsi="Times New Roman" w:cs="Times New Roman"/>
            <w:sz w:val="24"/>
            <w:szCs w:val="24"/>
          </w:rPr>
          <w:t>accessed 202</w:t>
        </w:r>
        <w:r w:rsidR="00371012" w:rsidRPr="00A14D10">
          <w:rPr>
            <w:rStyle w:val="Hyperlink"/>
            <w:rFonts w:ascii="Times New Roman" w:hAnsi="Times New Roman" w:cs="Times New Roman"/>
            <w:sz w:val="24"/>
            <w:szCs w:val="24"/>
          </w:rPr>
          <w:t>1</w:t>
        </w:r>
      </w:hyperlink>
      <w:r w:rsidR="00137065">
        <w:rPr>
          <w:rStyle w:val="Hyperlink"/>
          <w:rFonts w:ascii="Times New Roman" w:hAnsi="Times New Roman" w:cs="Times New Roman"/>
          <w:sz w:val="24"/>
          <w:szCs w:val="24"/>
        </w:rPr>
        <w:t>06</w:t>
      </w:r>
      <w:r w:rsidRPr="00A14D10">
        <w:rPr>
          <w:rFonts w:ascii="Times New Roman" w:hAnsi="Times New Roman" w:cs="Times New Roman"/>
          <w:sz w:val="24"/>
          <w:szCs w:val="24"/>
        </w:rPr>
        <w:t>)</w:t>
      </w:r>
    </w:p>
    <w:p w14:paraId="3BF6A657" w14:textId="2111ECA8" w:rsidR="001B5C4B" w:rsidRPr="00A14D10" w:rsidRDefault="00137065" w:rsidP="00DE3817">
      <w:pPr>
        <w:rPr>
          <w:rFonts w:ascii="Times New Roman" w:hAnsi="Times New Roman" w:cs="Times New Roman"/>
          <w:sz w:val="24"/>
          <w:szCs w:val="24"/>
        </w:rPr>
      </w:pPr>
      <w:hyperlink r:id="rId10" w:history="1">
        <w:r w:rsidR="001B5C4B" w:rsidRPr="00A14D10">
          <w:rPr>
            <w:rStyle w:val="Hyperlink"/>
            <w:rFonts w:ascii="Times New Roman" w:hAnsi="Times New Roman" w:cs="Times New Roman"/>
            <w:sz w:val="24"/>
            <w:szCs w:val="24"/>
          </w:rPr>
          <w:t>https://www.ir.txstate.edu/student/Public-Student-Reports/Enrollment-by-Program.html</w:t>
        </w:r>
      </w:hyperlink>
    </w:p>
    <w:p w14:paraId="47B0BCBA" w14:textId="4A909B77" w:rsidR="00BC1C65" w:rsidRDefault="00137065" w:rsidP="00DE3817">
      <w:pPr>
        <w:rPr>
          <w:rStyle w:val="Hyperlink"/>
          <w:rFonts w:ascii="Times New Roman" w:hAnsi="Times New Roman" w:cs="Times New Roman"/>
          <w:sz w:val="24"/>
          <w:szCs w:val="24"/>
        </w:rPr>
      </w:pPr>
      <w:hyperlink r:id="rId11" w:history="1">
        <w:r w:rsidR="00BC1C65" w:rsidRPr="00A14D10">
          <w:rPr>
            <w:rStyle w:val="Hyperlink"/>
            <w:rFonts w:ascii="Times New Roman" w:hAnsi="Times New Roman" w:cs="Times New Roman"/>
            <w:sz w:val="24"/>
            <w:szCs w:val="24"/>
          </w:rPr>
          <w:t>https://www.ir.txstate.edu/student/Public-Student-Reports/Degrees-Awarded-By-Level.html</w:t>
        </w:r>
      </w:hyperlink>
    </w:p>
    <w:p w14:paraId="28A90BEF" w14:textId="1FCA911E" w:rsidR="000B4AE3" w:rsidRDefault="00137065" w:rsidP="00DE3817">
      <w:pPr>
        <w:rPr>
          <w:rFonts w:ascii="Times New Roman" w:hAnsi="Times New Roman" w:cs="Times New Roman"/>
          <w:sz w:val="24"/>
          <w:szCs w:val="24"/>
        </w:rPr>
      </w:pPr>
      <w:hyperlink r:id="rId12" w:history="1">
        <w:r w:rsidR="000B4AE3" w:rsidRPr="0091610F">
          <w:rPr>
            <w:rStyle w:val="Hyperlink"/>
            <w:rFonts w:ascii="Times New Roman" w:hAnsi="Times New Roman" w:cs="Times New Roman"/>
            <w:sz w:val="24"/>
            <w:szCs w:val="24"/>
          </w:rPr>
          <w:t>https://www.ir.txstate.edu/student/Public-Student-Reports/Enrollment-by-Demographics.html</w:t>
        </w:r>
      </w:hyperlink>
    </w:p>
    <w:p w14:paraId="4F4542BE" w14:textId="77777777" w:rsidR="00A45FB0" w:rsidRPr="00A14D10" w:rsidRDefault="00A45FB0" w:rsidP="00DE3817">
      <w:pPr>
        <w:rPr>
          <w:rFonts w:ascii="Times New Roman" w:hAnsi="Times New Roman" w:cs="Times New Roman"/>
          <w:b/>
          <w:sz w:val="24"/>
          <w:szCs w:val="24"/>
          <w:u w:val="single"/>
        </w:rPr>
      </w:pPr>
      <w:r w:rsidRPr="00A14D10">
        <w:rPr>
          <w:rFonts w:ascii="Times New Roman" w:hAnsi="Times New Roman" w:cs="Times New Roman"/>
          <w:b/>
          <w:sz w:val="24"/>
          <w:szCs w:val="24"/>
          <w:u w:val="single"/>
        </w:rPr>
        <w:br w:type="page"/>
      </w:r>
    </w:p>
    <w:p w14:paraId="33D1AC04" w14:textId="77777777" w:rsidR="005D7CB8" w:rsidRPr="00A14D10" w:rsidRDefault="005D7CB8" w:rsidP="005D7CB8">
      <w:pPr>
        <w:rPr>
          <w:rFonts w:ascii="Times New Roman" w:hAnsi="Times New Roman" w:cs="Times New Roman"/>
          <w:b/>
          <w:sz w:val="24"/>
          <w:szCs w:val="24"/>
          <w:u w:val="single"/>
        </w:rPr>
      </w:pPr>
      <w:r w:rsidRPr="00A14D10">
        <w:rPr>
          <w:rFonts w:ascii="Times New Roman" w:hAnsi="Times New Roman" w:cs="Times New Roman"/>
          <w:b/>
          <w:sz w:val="24"/>
          <w:szCs w:val="24"/>
          <w:u w:val="single"/>
        </w:rPr>
        <w:lastRenderedPageBreak/>
        <w:t>College of Education Research Office</w:t>
      </w:r>
    </w:p>
    <w:p w14:paraId="0DC0D9B7" w14:textId="4EB06995" w:rsidR="005D7CB8" w:rsidRPr="00A14D10" w:rsidRDefault="005D7CB8" w:rsidP="005D7CB8">
      <w:pPr>
        <w:rPr>
          <w:rFonts w:ascii="Times New Roman" w:hAnsi="Times New Roman" w:cs="Times New Roman"/>
          <w:sz w:val="24"/>
          <w:szCs w:val="24"/>
        </w:rPr>
      </w:pPr>
      <w:r w:rsidRPr="00A14D10">
        <w:rPr>
          <w:rFonts w:ascii="Times New Roman" w:hAnsi="Times New Roman" w:cs="Times New Roman"/>
          <w:bCs/>
          <w:sz w:val="24"/>
          <w:szCs w:val="24"/>
        </w:rPr>
        <w:t>The College of Education Research Office (COERO) increases research capacity by supporting faculty through proposal development, post-award administration, and publication processes. Through relevant and rigorous research, College of Education faculty contribute to Texas State's designation as an emerging research university and place</w:t>
      </w:r>
      <w:r w:rsidR="00B05C3D">
        <w:rPr>
          <w:rFonts w:ascii="Times New Roman" w:hAnsi="Times New Roman" w:cs="Times New Roman"/>
          <w:bCs/>
          <w:sz w:val="24"/>
          <w:szCs w:val="24"/>
        </w:rPr>
        <w:t>s</w:t>
      </w:r>
      <w:r w:rsidRPr="00A14D10">
        <w:rPr>
          <w:rFonts w:ascii="Times New Roman" w:hAnsi="Times New Roman" w:cs="Times New Roman"/>
          <w:bCs/>
          <w:sz w:val="24"/>
          <w:szCs w:val="24"/>
        </w:rPr>
        <w:t xml:space="preserve"> the College at the forefront of local, state, and national discussions regarding research-based policies, programs, and practices. </w:t>
      </w:r>
      <w:r w:rsidRPr="00A14D10">
        <w:rPr>
          <w:rFonts w:ascii="Times New Roman" w:hAnsi="Times New Roman" w:cs="Times New Roman"/>
          <w:sz w:val="24"/>
          <w:szCs w:val="24"/>
        </w:rPr>
        <w:t xml:space="preserve">Current research in the College is as broad as the program offerings and faculty interests, and addresses enhancing teaching and learning in bilingual literacy; social emotional well-being; first responder stress; concussions; </w:t>
      </w:r>
      <w:r w:rsidR="00722A34">
        <w:rPr>
          <w:rFonts w:ascii="Times New Roman" w:hAnsi="Times New Roman" w:cs="Times New Roman"/>
          <w:sz w:val="24"/>
          <w:szCs w:val="24"/>
        </w:rPr>
        <w:t xml:space="preserve">mental health; </w:t>
      </w:r>
      <w:r w:rsidRPr="00A14D10">
        <w:rPr>
          <w:rFonts w:ascii="Times New Roman" w:hAnsi="Times New Roman" w:cs="Times New Roman"/>
          <w:sz w:val="24"/>
          <w:szCs w:val="24"/>
        </w:rPr>
        <w:t>educational equity; science, technology, engineering, and math (STEM); postsecondary persistence and success; play and animal-assisted therapy; student behavior and school safety; and muscle functioning.</w:t>
      </w:r>
    </w:p>
    <w:p w14:paraId="3A6D072A" w14:textId="77777777" w:rsidR="005D7CB8" w:rsidRPr="00A14D10" w:rsidRDefault="005D7CB8" w:rsidP="005D7CB8">
      <w:pPr>
        <w:rPr>
          <w:rFonts w:ascii="Times New Roman" w:hAnsi="Times New Roman" w:cs="Times New Roman"/>
          <w:bCs/>
          <w:sz w:val="24"/>
          <w:szCs w:val="24"/>
          <w:u w:val="single"/>
        </w:rPr>
      </w:pPr>
    </w:p>
    <w:p w14:paraId="388DEE03" w14:textId="652C21D7" w:rsidR="00E01E76" w:rsidRPr="00A14D10" w:rsidRDefault="005D5ECC" w:rsidP="00F93197">
      <w:pPr>
        <w:rPr>
          <w:rFonts w:ascii="Times New Roman" w:hAnsi="Times New Roman" w:cs="Times New Roman"/>
          <w:b/>
          <w:bCs/>
          <w:sz w:val="24"/>
          <w:szCs w:val="24"/>
          <w:u w:val="single"/>
        </w:rPr>
      </w:pPr>
      <w:r w:rsidRPr="005D5ECC">
        <w:rPr>
          <w:rFonts w:ascii="Times New Roman" w:hAnsi="Times New Roman" w:cs="Times New Roman"/>
          <w:sz w:val="24"/>
          <w:szCs w:val="24"/>
        </w:rPr>
        <w:t xml:space="preserve">Texas State University managed over $42 million in externally funded research expenditures in 2020-21. The Office of Research and Sponsored Programs provides administrative support for externally funded grants and ensures compliance and scholarly integrity. </w:t>
      </w:r>
      <w:r w:rsidR="009E7E8F">
        <w:rPr>
          <w:rFonts w:ascii="Times New Roman" w:hAnsi="Times New Roman" w:cs="Times New Roman"/>
          <w:sz w:val="24"/>
          <w:szCs w:val="24"/>
        </w:rPr>
        <w:t>Since 2017, the College</w:t>
      </w:r>
      <w:r w:rsidR="005D7CB8" w:rsidRPr="00A14D10">
        <w:rPr>
          <w:rFonts w:ascii="Times New Roman" w:hAnsi="Times New Roman" w:cs="Times New Roman"/>
          <w:sz w:val="24"/>
          <w:szCs w:val="24"/>
        </w:rPr>
        <w:t xml:space="preserve"> of Education </w:t>
      </w:r>
      <w:r w:rsidR="009E7E8F">
        <w:rPr>
          <w:rFonts w:ascii="Times New Roman" w:hAnsi="Times New Roman" w:cs="Times New Roman"/>
          <w:sz w:val="24"/>
          <w:szCs w:val="24"/>
        </w:rPr>
        <w:t xml:space="preserve">has received more than $15 million in external funding awards and </w:t>
      </w:r>
      <w:r w:rsidR="00B05C3D">
        <w:rPr>
          <w:rFonts w:ascii="Times New Roman" w:hAnsi="Times New Roman" w:cs="Times New Roman"/>
          <w:sz w:val="24"/>
          <w:szCs w:val="24"/>
        </w:rPr>
        <w:t xml:space="preserve">is </w:t>
      </w:r>
      <w:r w:rsidR="005D7CB8" w:rsidRPr="00A14D10">
        <w:rPr>
          <w:rFonts w:ascii="Times New Roman" w:hAnsi="Times New Roman" w:cs="Times New Roman"/>
          <w:sz w:val="24"/>
          <w:szCs w:val="24"/>
        </w:rPr>
        <w:t>experienced in administering large multi-year, multi-</w:t>
      </w:r>
      <w:r w:rsidR="00137065" w:rsidRPr="00A14D10">
        <w:rPr>
          <w:rFonts w:ascii="Times New Roman" w:hAnsi="Times New Roman" w:cs="Times New Roman"/>
          <w:sz w:val="24"/>
          <w:szCs w:val="24"/>
        </w:rPr>
        <w:t>million-dollar</w:t>
      </w:r>
      <w:r w:rsidR="005D7CB8" w:rsidRPr="00A14D10">
        <w:rPr>
          <w:rFonts w:ascii="Times New Roman" w:hAnsi="Times New Roman" w:cs="Times New Roman"/>
          <w:sz w:val="24"/>
          <w:szCs w:val="24"/>
        </w:rPr>
        <w:t xml:space="preserve"> research projects, including recent grant awards from the </w:t>
      </w:r>
      <w:r w:rsidR="00722A34">
        <w:rPr>
          <w:rFonts w:ascii="Times New Roman" w:hAnsi="Times New Roman" w:cs="Times New Roman"/>
          <w:sz w:val="24"/>
          <w:szCs w:val="24"/>
        </w:rPr>
        <w:t xml:space="preserve">Greater Texas Foundation, </w:t>
      </w:r>
      <w:r w:rsidR="005D7CB8" w:rsidRPr="00A14D10">
        <w:rPr>
          <w:rFonts w:ascii="Times New Roman" w:hAnsi="Times New Roman" w:cs="Times New Roman"/>
          <w:sz w:val="24"/>
          <w:szCs w:val="24"/>
        </w:rPr>
        <w:t xml:space="preserve">National Aeronautics and Space Administration, National Science Foundation, United States Department of Education, Texas Higher Education Coordinating Board, Institute of Education Sciences, and Texas Workforce Commission. </w:t>
      </w:r>
      <w:r w:rsidR="00231FAA" w:rsidRPr="00A14D10">
        <w:rPr>
          <w:rFonts w:ascii="Times New Roman" w:hAnsi="Times New Roman" w:cs="Times New Roman"/>
          <w:sz w:val="24"/>
          <w:szCs w:val="24"/>
        </w:rPr>
        <w:t xml:space="preserve">A </w:t>
      </w:r>
      <w:r w:rsidR="00137065">
        <w:rPr>
          <w:rFonts w:ascii="Times New Roman" w:hAnsi="Times New Roman" w:cs="Times New Roman"/>
          <w:sz w:val="24"/>
          <w:szCs w:val="24"/>
        </w:rPr>
        <w:t>college-based</w:t>
      </w:r>
      <w:r w:rsidR="00B05C3D">
        <w:rPr>
          <w:rFonts w:ascii="Times New Roman" w:hAnsi="Times New Roman" w:cs="Times New Roman"/>
          <w:sz w:val="24"/>
          <w:szCs w:val="24"/>
        </w:rPr>
        <w:t xml:space="preserve"> </w:t>
      </w:r>
      <w:r w:rsidR="00231FAA" w:rsidRPr="00A14D10">
        <w:rPr>
          <w:rFonts w:ascii="Times New Roman" w:hAnsi="Times New Roman" w:cs="Times New Roman"/>
          <w:sz w:val="24"/>
          <w:szCs w:val="24"/>
        </w:rPr>
        <w:t>pre-award research coordinator</w:t>
      </w:r>
      <w:r w:rsidR="00F93197" w:rsidRPr="00A14D10">
        <w:rPr>
          <w:rFonts w:ascii="Times New Roman" w:hAnsi="Times New Roman" w:cs="Times New Roman"/>
          <w:sz w:val="24"/>
          <w:szCs w:val="24"/>
        </w:rPr>
        <w:t xml:space="preserve"> supports funding identification and </w:t>
      </w:r>
      <w:r w:rsidR="00231FAA" w:rsidRPr="00A14D10">
        <w:rPr>
          <w:rFonts w:ascii="Times New Roman" w:hAnsi="Times New Roman" w:cs="Times New Roman"/>
          <w:sz w:val="24"/>
          <w:szCs w:val="24"/>
        </w:rPr>
        <w:t xml:space="preserve">facilitates proposal </w:t>
      </w:r>
      <w:r w:rsidR="00F93197" w:rsidRPr="00A14D10">
        <w:rPr>
          <w:rFonts w:ascii="Times New Roman" w:hAnsi="Times New Roman" w:cs="Times New Roman"/>
          <w:sz w:val="24"/>
          <w:szCs w:val="24"/>
        </w:rPr>
        <w:t xml:space="preserve">and budget </w:t>
      </w:r>
      <w:r w:rsidR="00231FAA" w:rsidRPr="00A14D10">
        <w:rPr>
          <w:rFonts w:ascii="Times New Roman" w:hAnsi="Times New Roman" w:cs="Times New Roman"/>
          <w:sz w:val="24"/>
          <w:szCs w:val="24"/>
        </w:rPr>
        <w:t>development</w:t>
      </w:r>
      <w:r w:rsidR="00D33676" w:rsidRPr="00A14D10">
        <w:rPr>
          <w:rFonts w:ascii="Times New Roman" w:hAnsi="Times New Roman" w:cs="Times New Roman"/>
          <w:sz w:val="24"/>
          <w:szCs w:val="24"/>
        </w:rPr>
        <w:t>.</w:t>
      </w:r>
      <w:r w:rsidR="00231FAA" w:rsidRPr="00A14D10">
        <w:rPr>
          <w:rFonts w:ascii="Times New Roman" w:hAnsi="Times New Roman" w:cs="Times New Roman"/>
          <w:sz w:val="24"/>
          <w:szCs w:val="24"/>
        </w:rPr>
        <w:t xml:space="preserve"> A post-award research coordinator</w:t>
      </w:r>
      <w:r w:rsidR="00F93197" w:rsidRPr="00A14D10">
        <w:rPr>
          <w:rFonts w:ascii="Times New Roman" w:hAnsi="Times New Roman" w:cs="Times New Roman"/>
          <w:sz w:val="24"/>
          <w:szCs w:val="24"/>
        </w:rPr>
        <w:t xml:space="preserve"> assists with budget set-up and administration and monitoring internal and external grant budgets</w:t>
      </w:r>
      <w:r w:rsidR="00231FAA" w:rsidRPr="00A14D10">
        <w:rPr>
          <w:rFonts w:ascii="Times New Roman" w:hAnsi="Times New Roman" w:cs="Times New Roman"/>
          <w:sz w:val="24"/>
          <w:szCs w:val="24"/>
        </w:rPr>
        <w:t xml:space="preserve">. </w:t>
      </w:r>
    </w:p>
    <w:p w14:paraId="7B4A32C1" w14:textId="6FA1FD6C" w:rsidR="000E4B5D" w:rsidRPr="00A14D10" w:rsidRDefault="000E4B5D" w:rsidP="00DE3817">
      <w:pPr>
        <w:rPr>
          <w:rFonts w:ascii="Times New Roman" w:hAnsi="Times New Roman" w:cs="Times New Roman"/>
          <w:sz w:val="24"/>
          <w:szCs w:val="24"/>
        </w:rPr>
      </w:pPr>
    </w:p>
    <w:p w14:paraId="2771E941" w14:textId="5FC4BFBE" w:rsidR="005D7CB8" w:rsidRPr="00A14D10" w:rsidRDefault="005D7CB8" w:rsidP="005D7CB8">
      <w:pPr>
        <w:rPr>
          <w:rFonts w:ascii="Times New Roman" w:hAnsi="Times New Roman" w:cs="Times New Roman"/>
          <w:b/>
          <w:sz w:val="24"/>
          <w:szCs w:val="24"/>
          <w:u w:val="single"/>
        </w:rPr>
      </w:pPr>
      <w:r w:rsidRPr="0071296A">
        <w:rPr>
          <w:rFonts w:ascii="Times New Roman" w:hAnsi="Times New Roman" w:cs="Times New Roman"/>
          <w:b/>
          <w:sz w:val="24"/>
          <w:szCs w:val="24"/>
          <w:u w:val="single"/>
        </w:rPr>
        <w:t>Office of Educator Preparation</w:t>
      </w:r>
    </w:p>
    <w:p w14:paraId="4F576EA6" w14:textId="77777777" w:rsidR="0071296A" w:rsidRPr="0071296A" w:rsidRDefault="0071296A" w:rsidP="0071296A">
      <w:pPr>
        <w:rPr>
          <w:rFonts w:ascii="Times New Roman" w:hAnsi="Times New Roman" w:cs="Times New Roman"/>
          <w:sz w:val="24"/>
          <w:szCs w:val="24"/>
        </w:rPr>
      </w:pPr>
      <w:r w:rsidRPr="0071296A">
        <w:rPr>
          <w:rFonts w:ascii="Times New Roman" w:hAnsi="Times New Roman" w:cs="Times New Roman"/>
          <w:sz w:val="24"/>
          <w:szCs w:val="24"/>
        </w:rPr>
        <w:t>The Office of Educator Preparation (OEP) supports the Educator Preparation Program (EPP) at Texas State University. Our EPP includes baccalaureate and post-baccalaureate teacher preparation programs that lead to elementary, middle, secondary, and all-level certification in more than 30 disciplines, including bilingual and special education. The Texas State EPP also includes graduate programs that lead to the following professional certificates: Principal as Instructional Leader, School Counselor, Reading Specialist, and Superintendent. These programs are conducted in partnership with more than 100 school districts across Texas. The University is approved by the Texas State Board for Educator Certification and is nationally accredited by the Teacher Education Accreditation Council. Grounded in evidence-based practices closely aligned with the Council for the Accreditation of Educator Preparation’s standards and recommendations, the EPP prepares the highest-quality educators who know and effectively teach their content areas, demonstrate effective leadership in their roles, provide just and equitable educational opportunities for all learners, foster linguistically and culturally sustaining learning environments, and model professional, respectful, and caring behaviors. </w:t>
      </w:r>
    </w:p>
    <w:p w14:paraId="06914658" w14:textId="660ED9C1" w:rsidR="00FA59ED" w:rsidRPr="00A14D10" w:rsidRDefault="00FA59ED" w:rsidP="00DE3817">
      <w:pPr>
        <w:rPr>
          <w:rFonts w:ascii="Times New Roman" w:hAnsi="Times New Roman" w:cs="Times New Roman"/>
          <w:sz w:val="24"/>
          <w:szCs w:val="24"/>
        </w:rPr>
      </w:pPr>
    </w:p>
    <w:p w14:paraId="62C4B254" w14:textId="4E6C87D6" w:rsidR="00D2057F" w:rsidRPr="00A14D10" w:rsidRDefault="00D2057F" w:rsidP="00DE3817">
      <w:pPr>
        <w:rPr>
          <w:rFonts w:ascii="Times New Roman" w:hAnsi="Times New Roman" w:cs="Times New Roman"/>
          <w:b/>
          <w:bCs/>
          <w:sz w:val="24"/>
          <w:szCs w:val="24"/>
          <w:u w:val="single"/>
        </w:rPr>
      </w:pPr>
      <w:r w:rsidRPr="00137065">
        <w:rPr>
          <w:rFonts w:ascii="Times New Roman" w:hAnsi="Times New Roman" w:cs="Times New Roman"/>
          <w:b/>
          <w:bCs/>
          <w:sz w:val="24"/>
          <w:szCs w:val="24"/>
          <w:u w:val="single"/>
        </w:rPr>
        <w:t>Department of Curriculum and Instruction</w:t>
      </w:r>
    </w:p>
    <w:p w14:paraId="232AAF0C" w14:textId="6740FC11" w:rsidR="00D2057F" w:rsidRPr="00A14D10" w:rsidRDefault="00BF0EAD" w:rsidP="00D2057F">
      <w:pPr>
        <w:rPr>
          <w:rFonts w:ascii="Times New Roman" w:hAnsi="Times New Roman" w:cs="Times New Roman"/>
          <w:sz w:val="24"/>
          <w:szCs w:val="24"/>
        </w:rPr>
      </w:pPr>
      <w:r w:rsidRPr="00A14D10">
        <w:rPr>
          <w:rFonts w:ascii="Times New Roman" w:hAnsi="Times New Roman" w:cs="Times New Roman"/>
          <w:sz w:val="24"/>
          <w:szCs w:val="24"/>
        </w:rPr>
        <w:t xml:space="preserve">The Department of Curriculum and Instruction (C&amp;I) prepares knowledgeable and effective </w:t>
      </w:r>
      <w:r w:rsidR="002A69A2" w:rsidRPr="00A14D10">
        <w:rPr>
          <w:rFonts w:ascii="Times New Roman" w:hAnsi="Times New Roman" w:cs="Times New Roman"/>
          <w:sz w:val="24"/>
          <w:szCs w:val="24"/>
        </w:rPr>
        <w:t>educators</w:t>
      </w:r>
      <w:r w:rsidRPr="00A14D10">
        <w:rPr>
          <w:rFonts w:ascii="Times New Roman" w:hAnsi="Times New Roman" w:cs="Times New Roman"/>
          <w:sz w:val="24"/>
          <w:szCs w:val="24"/>
        </w:rPr>
        <w:t xml:space="preserve"> who are responsive to the diverse needs of society. Through school and community partnerships, </w:t>
      </w:r>
      <w:r w:rsidR="00EA7169" w:rsidRPr="00A14D10">
        <w:rPr>
          <w:rFonts w:ascii="Times New Roman" w:hAnsi="Times New Roman" w:cs="Times New Roman"/>
          <w:sz w:val="24"/>
          <w:szCs w:val="24"/>
        </w:rPr>
        <w:t>the department</w:t>
      </w:r>
      <w:r w:rsidRPr="00A14D10">
        <w:rPr>
          <w:rFonts w:ascii="Times New Roman" w:hAnsi="Times New Roman" w:cs="Times New Roman"/>
          <w:sz w:val="24"/>
          <w:szCs w:val="24"/>
        </w:rPr>
        <w:t xml:space="preserve"> advance</w:t>
      </w:r>
      <w:r w:rsidR="00EA7169" w:rsidRPr="00A14D10">
        <w:rPr>
          <w:rFonts w:ascii="Times New Roman" w:hAnsi="Times New Roman" w:cs="Times New Roman"/>
          <w:sz w:val="24"/>
          <w:szCs w:val="24"/>
        </w:rPr>
        <w:t>s</w:t>
      </w:r>
      <w:r w:rsidRPr="00A14D10">
        <w:rPr>
          <w:rFonts w:ascii="Times New Roman" w:hAnsi="Times New Roman" w:cs="Times New Roman"/>
          <w:sz w:val="24"/>
          <w:szCs w:val="24"/>
        </w:rPr>
        <w:t xml:space="preserve"> research-based inquiry and instructional approaches that influence practice and policy.</w:t>
      </w:r>
      <w:r w:rsidR="00D2057F" w:rsidRPr="00A14D10">
        <w:rPr>
          <w:rFonts w:ascii="Times New Roman" w:hAnsi="Times New Roman" w:cs="Times New Roman"/>
          <w:sz w:val="24"/>
          <w:szCs w:val="24"/>
        </w:rPr>
        <w:t xml:space="preserve"> The </w:t>
      </w:r>
      <w:r w:rsidRPr="00A14D10">
        <w:rPr>
          <w:rFonts w:ascii="Times New Roman" w:hAnsi="Times New Roman" w:cs="Times New Roman"/>
          <w:sz w:val="24"/>
          <w:szCs w:val="24"/>
        </w:rPr>
        <w:t>C&amp;I</w:t>
      </w:r>
      <w:r w:rsidR="00D2057F" w:rsidRPr="00A14D10">
        <w:rPr>
          <w:rFonts w:ascii="Times New Roman" w:hAnsi="Times New Roman" w:cs="Times New Roman"/>
          <w:sz w:val="24"/>
          <w:szCs w:val="24"/>
        </w:rPr>
        <w:t xml:space="preserve"> </w:t>
      </w:r>
      <w:r w:rsidR="00FF7DCC" w:rsidRPr="00A14D10">
        <w:rPr>
          <w:rFonts w:ascii="Times New Roman" w:hAnsi="Times New Roman" w:cs="Times New Roman"/>
          <w:sz w:val="24"/>
          <w:szCs w:val="24"/>
        </w:rPr>
        <w:t xml:space="preserve">department </w:t>
      </w:r>
      <w:r w:rsidR="00D2057F" w:rsidRPr="00A14D10">
        <w:rPr>
          <w:rFonts w:ascii="Times New Roman" w:hAnsi="Times New Roman" w:cs="Times New Roman"/>
          <w:sz w:val="24"/>
          <w:szCs w:val="24"/>
        </w:rPr>
        <w:t xml:space="preserve">offers doctoral, graduate, and undergraduate </w:t>
      </w:r>
      <w:r w:rsidR="00D2057F" w:rsidRPr="00A14D10">
        <w:rPr>
          <w:rFonts w:ascii="Times New Roman" w:hAnsi="Times New Roman" w:cs="Times New Roman"/>
          <w:sz w:val="24"/>
          <w:szCs w:val="24"/>
        </w:rPr>
        <w:lastRenderedPageBreak/>
        <w:t xml:space="preserve">degrees that focus on the preparation and development of </w:t>
      </w:r>
      <w:r w:rsidR="002A69A2" w:rsidRPr="00A14D10">
        <w:rPr>
          <w:rFonts w:ascii="Times New Roman" w:hAnsi="Times New Roman" w:cs="Times New Roman"/>
          <w:sz w:val="24"/>
          <w:szCs w:val="24"/>
        </w:rPr>
        <w:t>teachers and teacher leaders</w:t>
      </w:r>
      <w:r w:rsidR="00D2057F" w:rsidRPr="00A14D10">
        <w:rPr>
          <w:rFonts w:ascii="Times New Roman" w:hAnsi="Times New Roman" w:cs="Times New Roman"/>
          <w:sz w:val="24"/>
          <w:szCs w:val="24"/>
        </w:rPr>
        <w:t xml:space="preserve">. All undergraduate programs in the department lead to initial teaching certification, and the field-based emphasis of these programs has garnered recognition and has led to outstanding collaborative relationships with local school districts. </w:t>
      </w:r>
    </w:p>
    <w:p w14:paraId="16BC69CE" w14:textId="420E3352" w:rsidR="005703D1" w:rsidRPr="00A14D10" w:rsidRDefault="005703D1" w:rsidP="00600282">
      <w:pPr>
        <w:rPr>
          <w:rFonts w:ascii="Times New Roman" w:hAnsi="Times New Roman" w:cs="Times New Roman"/>
          <w:sz w:val="24"/>
          <w:szCs w:val="24"/>
        </w:rPr>
      </w:pPr>
    </w:p>
    <w:p w14:paraId="4A177AAE" w14:textId="524689E4" w:rsidR="000F3B78" w:rsidRPr="00A14D10" w:rsidRDefault="000F3B78" w:rsidP="000F3B78">
      <w:pPr>
        <w:rPr>
          <w:rFonts w:ascii="Times New Roman" w:eastAsia="Times New Roman" w:hAnsi="Times New Roman" w:cs="Times New Roman"/>
          <w:sz w:val="24"/>
          <w:szCs w:val="24"/>
        </w:rPr>
      </w:pPr>
      <w:r w:rsidRPr="00A14D10">
        <w:rPr>
          <w:rFonts w:ascii="Times New Roman" w:hAnsi="Times New Roman" w:cs="Times New Roman"/>
          <w:sz w:val="24"/>
          <w:szCs w:val="24"/>
        </w:rPr>
        <w:t xml:space="preserve">The C&amp;I </w:t>
      </w:r>
      <w:r w:rsidR="00722A34">
        <w:rPr>
          <w:rFonts w:ascii="Times New Roman" w:hAnsi="Times New Roman" w:cs="Times New Roman"/>
          <w:sz w:val="24"/>
          <w:szCs w:val="24"/>
        </w:rPr>
        <w:t>d</w:t>
      </w:r>
      <w:r w:rsidRPr="00A14D10">
        <w:rPr>
          <w:rFonts w:ascii="Times New Roman" w:hAnsi="Times New Roman" w:cs="Times New Roman"/>
          <w:sz w:val="24"/>
          <w:szCs w:val="24"/>
        </w:rPr>
        <w:t xml:space="preserve">epartment offers two doctoral degrees in developmental education: the first-ever Ph.D. and one of the few Ed.D. degrees in the country. Students </w:t>
      </w:r>
      <w:r w:rsidRPr="00A14D10">
        <w:rPr>
          <w:rFonts w:ascii="Times New Roman" w:eastAsia="Times New Roman" w:hAnsi="Times New Roman" w:cs="Times New Roman"/>
          <w:sz w:val="24"/>
          <w:szCs w:val="24"/>
        </w:rPr>
        <w:t>complete highly personalized, multidisciplinary degree plans</w:t>
      </w:r>
      <w:r w:rsidRPr="00A14D10">
        <w:rPr>
          <w:rFonts w:ascii="Times New Roman" w:hAnsi="Times New Roman" w:cs="Times New Roman"/>
          <w:sz w:val="24"/>
          <w:szCs w:val="24"/>
        </w:rPr>
        <w:t xml:space="preserve"> </w:t>
      </w:r>
      <w:r w:rsidRPr="00A14D10">
        <w:rPr>
          <w:rFonts w:ascii="Times New Roman" w:eastAsia="Times New Roman" w:hAnsi="Times New Roman" w:cs="Times New Roman"/>
          <w:sz w:val="24"/>
          <w:szCs w:val="24"/>
        </w:rPr>
        <w:t xml:space="preserve">with core coursework focused on developmental education theory, research methods, and professional development. With specializations in developmental literacy, developmental mathematics, and learning support, all graduates are equipped to respond to the needs of college students.  Foci include the complexities of motivation, teaching, learning, and assessment in developmental education settings, as well as the political, cultural, and social systems that create inequities in educational settings. </w:t>
      </w:r>
      <w:r w:rsidRPr="00A14D10">
        <w:rPr>
          <w:rFonts w:ascii="Times New Roman" w:hAnsi="Times New Roman" w:cs="Times New Roman"/>
          <w:sz w:val="24"/>
          <w:szCs w:val="24"/>
        </w:rPr>
        <w:t xml:space="preserve">By providing its doctoral students with rigorous research, scholarly, and professional experiences in an apprenticeship model, Texas State’s developmental education program aims to </w:t>
      </w:r>
      <w:r w:rsidR="00A5529C" w:rsidRPr="00A14D10">
        <w:rPr>
          <w:rFonts w:ascii="Times New Roman" w:hAnsi="Times New Roman" w:cs="Times New Roman"/>
          <w:sz w:val="24"/>
          <w:szCs w:val="24"/>
        </w:rPr>
        <w:t>a</w:t>
      </w:r>
      <w:r w:rsidRPr="00A14D10">
        <w:rPr>
          <w:rFonts w:ascii="Times New Roman" w:hAnsi="Times New Roman" w:cs="Times New Roman"/>
          <w:sz w:val="24"/>
          <w:szCs w:val="24"/>
        </w:rPr>
        <w:t>ffect change in multiple areas related to developmental education and meet the urgent need for advanced practitioners and researchers in a rapidly changing field.</w:t>
      </w:r>
    </w:p>
    <w:p w14:paraId="4E1C01FF" w14:textId="77777777" w:rsidR="00952FDC" w:rsidRPr="00A14D10" w:rsidRDefault="00952FDC" w:rsidP="00952FDC">
      <w:pPr>
        <w:rPr>
          <w:rFonts w:ascii="Times New Roman" w:eastAsia="Times New Roman" w:hAnsi="Times New Roman" w:cs="Times New Roman"/>
          <w:sz w:val="24"/>
          <w:szCs w:val="24"/>
          <w:lang w:eastAsia="es-ES"/>
        </w:rPr>
      </w:pPr>
    </w:p>
    <w:p w14:paraId="11FA8632" w14:textId="79DAA415" w:rsidR="004C6B6A" w:rsidRPr="00A14D10" w:rsidRDefault="004C6B6A" w:rsidP="004C6B6A">
      <w:pPr>
        <w:autoSpaceDE w:val="0"/>
        <w:autoSpaceDN w:val="0"/>
        <w:adjustRightInd w:val="0"/>
        <w:rPr>
          <w:rFonts w:ascii="Times New Roman" w:hAnsi="Times New Roman" w:cs="Times New Roman"/>
          <w:b/>
          <w:sz w:val="24"/>
          <w:szCs w:val="24"/>
          <w:u w:val="single"/>
        </w:rPr>
      </w:pPr>
      <w:r w:rsidRPr="00A14D10">
        <w:rPr>
          <w:rFonts w:ascii="Times New Roman" w:hAnsi="Times New Roman" w:cs="Times New Roman"/>
          <w:b/>
          <w:sz w:val="24"/>
          <w:szCs w:val="24"/>
          <w:u w:val="single"/>
        </w:rPr>
        <w:t>Department of Health and Human Performance</w:t>
      </w:r>
    </w:p>
    <w:p w14:paraId="46ACBBF9" w14:textId="0F9677A0" w:rsidR="00722A34" w:rsidRPr="00722A34" w:rsidRDefault="00722A34" w:rsidP="00722A34">
      <w:pPr>
        <w:autoSpaceDE w:val="0"/>
        <w:autoSpaceDN w:val="0"/>
        <w:adjustRightInd w:val="0"/>
        <w:rPr>
          <w:rFonts w:ascii="Times New Roman" w:hAnsi="Times New Roman" w:cs="Times New Roman"/>
          <w:sz w:val="24"/>
          <w:szCs w:val="24"/>
        </w:rPr>
      </w:pPr>
      <w:r w:rsidRPr="00722A34">
        <w:rPr>
          <w:rFonts w:ascii="Times New Roman" w:hAnsi="Times New Roman" w:cs="Times New Roman"/>
          <w:sz w:val="24"/>
          <w:szCs w:val="24"/>
        </w:rPr>
        <w:t xml:space="preserve">The Department of Health and Human Performance (HHP) creates and disseminates knowledge promoting evidence-based practice in health promotion, exercise science and recreation professions. The HHP department is a leader in preparing students for careers in athletic training, exercise and sports science, public health, and therapeutic recreation and administration. The </w:t>
      </w:r>
      <w:proofErr w:type="gramStart"/>
      <w:r w:rsidRPr="00722A34">
        <w:rPr>
          <w:rFonts w:ascii="Times New Roman" w:hAnsi="Times New Roman" w:cs="Times New Roman"/>
          <w:sz w:val="24"/>
          <w:szCs w:val="24"/>
        </w:rPr>
        <w:t>ultimate goal</w:t>
      </w:r>
      <w:proofErr w:type="gramEnd"/>
      <w:r w:rsidRPr="00722A34">
        <w:rPr>
          <w:rFonts w:ascii="Times New Roman" w:hAnsi="Times New Roman" w:cs="Times New Roman"/>
          <w:sz w:val="24"/>
          <w:szCs w:val="24"/>
        </w:rPr>
        <w:t xml:space="preserve"> of the department is to promote improved human performance and enhance quality of life through teaching, research, service and professional growth and development of its students. HHP faculty are nationally and internationally known for their research in athletic training, exercise science, public health, and recreation. Recent visiting scholars from Brazil, Egypt, South </w:t>
      </w:r>
      <w:proofErr w:type="gramStart"/>
      <w:r w:rsidRPr="00722A34">
        <w:rPr>
          <w:rFonts w:ascii="Times New Roman" w:hAnsi="Times New Roman" w:cs="Times New Roman"/>
          <w:sz w:val="24"/>
          <w:szCs w:val="24"/>
        </w:rPr>
        <w:t>Korea</w:t>
      </w:r>
      <w:proofErr w:type="gramEnd"/>
      <w:r w:rsidRPr="00722A34">
        <w:rPr>
          <w:rFonts w:ascii="Times New Roman" w:hAnsi="Times New Roman" w:cs="Times New Roman"/>
          <w:sz w:val="24"/>
          <w:szCs w:val="24"/>
        </w:rPr>
        <w:t xml:space="preserve"> and Spain have collaborated with HHP faculty in a multitude of research projects.  Regionally, HHP is proud to have numerous experiential learning programs in San Marcos and throughout Texas that enable Texas State faculty and students to meet the needs of their communities, while simultaneously gaining valuable learning experiences by working with youth and adults in community agencies, schools, clinics, and businesses. The department also provides a diverse Physical Fitness and Wellness (PFW) courses for Texas State students. </w:t>
      </w:r>
    </w:p>
    <w:p w14:paraId="527C6982" w14:textId="4B86E846" w:rsidR="006445C8" w:rsidRPr="00A14D10" w:rsidRDefault="006445C8" w:rsidP="00E25E94">
      <w:pPr>
        <w:autoSpaceDE w:val="0"/>
        <w:autoSpaceDN w:val="0"/>
        <w:adjustRightInd w:val="0"/>
        <w:rPr>
          <w:rFonts w:ascii="Times New Roman" w:hAnsi="Times New Roman" w:cs="Times New Roman"/>
          <w:sz w:val="24"/>
          <w:szCs w:val="24"/>
        </w:rPr>
      </w:pPr>
    </w:p>
    <w:p w14:paraId="118997C7" w14:textId="3D5498FA" w:rsidR="00BF0EAD" w:rsidRPr="00A14D10" w:rsidRDefault="00722A34" w:rsidP="00E25E94">
      <w:pPr>
        <w:autoSpaceDE w:val="0"/>
        <w:autoSpaceDN w:val="0"/>
        <w:adjustRightInd w:val="0"/>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BF0EAD" w:rsidRPr="00A14D10">
        <w:rPr>
          <w:rFonts w:ascii="Times New Roman" w:hAnsi="Times New Roman" w:cs="Times New Roman"/>
          <w:b/>
          <w:bCs/>
          <w:sz w:val="24"/>
          <w:szCs w:val="24"/>
          <w:u w:val="single"/>
        </w:rPr>
        <w:t>epartment of Counseling, Leadership, Adult Education and School Psychology</w:t>
      </w:r>
    </w:p>
    <w:p w14:paraId="56A6710F" w14:textId="0DE041AE" w:rsidR="00BF0EAD" w:rsidRPr="00A14D10" w:rsidRDefault="00BF0EAD" w:rsidP="00E25E94">
      <w:pPr>
        <w:autoSpaceDE w:val="0"/>
        <w:autoSpaceDN w:val="0"/>
        <w:adjustRightInd w:val="0"/>
        <w:rPr>
          <w:rFonts w:ascii="Times New Roman" w:hAnsi="Times New Roman" w:cs="Times New Roman"/>
          <w:sz w:val="24"/>
          <w:szCs w:val="24"/>
        </w:rPr>
      </w:pPr>
      <w:r w:rsidRPr="00A14D10">
        <w:rPr>
          <w:rFonts w:ascii="Times New Roman" w:hAnsi="Times New Roman" w:cs="Times New Roman"/>
          <w:sz w:val="24"/>
          <w:szCs w:val="24"/>
        </w:rPr>
        <w:t xml:space="preserve">The Department of Counseling, Leadership, Adult Education and School Psychology </w:t>
      </w:r>
      <w:r w:rsidR="00EA7169" w:rsidRPr="00A14D10">
        <w:rPr>
          <w:rFonts w:ascii="Times New Roman" w:hAnsi="Times New Roman" w:cs="Times New Roman"/>
          <w:sz w:val="24"/>
          <w:szCs w:val="24"/>
        </w:rPr>
        <w:t xml:space="preserve">(CLAS) </w:t>
      </w:r>
      <w:r w:rsidRPr="00A14D10">
        <w:rPr>
          <w:rFonts w:ascii="Times New Roman" w:hAnsi="Times New Roman" w:cs="Times New Roman"/>
          <w:sz w:val="24"/>
          <w:szCs w:val="24"/>
        </w:rPr>
        <w:t>provides graduate education that promotes personal, cultural, social, emotional, educational</w:t>
      </w:r>
      <w:r w:rsidR="00505A45" w:rsidRPr="00A14D10">
        <w:rPr>
          <w:rFonts w:ascii="Times New Roman" w:hAnsi="Times New Roman" w:cs="Times New Roman"/>
          <w:sz w:val="24"/>
          <w:szCs w:val="24"/>
        </w:rPr>
        <w:t>,</w:t>
      </w:r>
      <w:r w:rsidRPr="00A14D10">
        <w:rPr>
          <w:rFonts w:ascii="Times New Roman" w:hAnsi="Times New Roman" w:cs="Times New Roman"/>
          <w:sz w:val="24"/>
          <w:szCs w:val="24"/>
        </w:rPr>
        <w:t xml:space="preserve"> and economic growth. </w:t>
      </w:r>
      <w:r w:rsidR="00EA7169" w:rsidRPr="00A14D10">
        <w:rPr>
          <w:rFonts w:ascii="Times New Roman" w:hAnsi="Times New Roman" w:cs="Times New Roman"/>
          <w:sz w:val="24"/>
          <w:szCs w:val="24"/>
        </w:rPr>
        <w:t>F</w:t>
      </w:r>
      <w:r w:rsidR="00D3121B" w:rsidRPr="00A14D10">
        <w:rPr>
          <w:rFonts w:ascii="Times New Roman" w:hAnsi="Times New Roman" w:cs="Times New Roman"/>
          <w:sz w:val="24"/>
          <w:szCs w:val="24"/>
        </w:rPr>
        <w:t>aculty and students engage in meaningful teaching, learning, research</w:t>
      </w:r>
      <w:r w:rsidR="00EA7169" w:rsidRPr="00A14D10">
        <w:rPr>
          <w:rFonts w:ascii="Times New Roman" w:hAnsi="Times New Roman" w:cs="Times New Roman"/>
          <w:sz w:val="24"/>
          <w:szCs w:val="24"/>
        </w:rPr>
        <w:t>,</w:t>
      </w:r>
      <w:r w:rsidR="00D3121B" w:rsidRPr="00A14D10">
        <w:rPr>
          <w:rFonts w:ascii="Times New Roman" w:hAnsi="Times New Roman" w:cs="Times New Roman"/>
          <w:sz w:val="24"/>
          <w:szCs w:val="24"/>
        </w:rPr>
        <w:t xml:space="preserve"> and service that lead directly to significant transformational changes in schools, organizations, communities, and institutions locally and globally. The department’s scholars and students actively generate relevant and dynamic research that advances the fields of education, mental health, and higher education. The multidisciplinary and multicultural nature of </w:t>
      </w:r>
      <w:r w:rsidR="00EA7169" w:rsidRPr="00A14D10">
        <w:rPr>
          <w:rFonts w:ascii="Times New Roman" w:hAnsi="Times New Roman" w:cs="Times New Roman"/>
          <w:sz w:val="24"/>
          <w:szCs w:val="24"/>
        </w:rPr>
        <w:t>the</w:t>
      </w:r>
      <w:r w:rsidR="00D3121B" w:rsidRPr="00A14D10">
        <w:rPr>
          <w:rFonts w:ascii="Times New Roman" w:hAnsi="Times New Roman" w:cs="Times New Roman"/>
          <w:sz w:val="24"/>
          <w:szCs w:val="24"/>
        </w:rPr>
        <w:t xml:space="preserve"> department provides opportunities to model collaboration across disciplines, and to learn from one another </w:t>
      </w:r>
      <w:r w:rsidR="00A5529C" w:rsidRPr="00A14D10">
        <w:rPr>
          <w:rFonts w:ascii="Times New Roman" w:hAnsi="Times New Roman" w:cs="Times New Roman"/>
          <w:sz w:val="24"/>
          <w:szCs w:val="24"/>
        </w:rPr>
        <w:t>while remaining</w:t>
      </w:r>
      <w:r w:rsidR="00D3121B" w:rsidRPr="00A14D10">
        <w:rPr>
          <w:rFonts w:ascii="Times New Roman" w:hAnsi="Times New Roman" w:cs="Times New Roman"/>
          <w:sz w:val="24"/>
          <w:szCs w:val="24"/>
        </w:rPr>
        <w:t xml:space="preserve"> respectful of and responsive to individuals and groups from culturally and linguistically diverse backgrounds.</w:t>
      </w:r>
    </w:p>
    <w:p w14:paraId="4F722DFC" w14:textId="77777777" w:rsidR="00BF0EAD" w:rsidRPr="00A14D10" w:rsidRDefault="00BF0EAD" w:rsidP="00E25E94">
      <w:pPr>
        <w:autoSpaceDE w:val="0"/>
        <w:autoSpaceDN w:val="0"/>
        <w:adjustRightInd w:val="0"/>
        <w:rPr>
          <w:rFonts w:ascii="Times New Roman" w:hAnsi="Times New Roman" w:cs="Times New Roman"/>
          <w:sz w:val="24"/>
          <w:szCs w:val="24"/>
        </w:rPr>
      </w:pPr>
    </w:p>
    <w:p w14:paraId="0C6BB470" w14:textId="77777777" w:rsidR="00722A34" w:rsidRPr="00A14D10" w:rsidRDefault="00722A34" w:rsidP="00722A34">
      <w:pPr>
        <w:rPr>
          <w:rFonts w:ascii="Times New Roman" w:eastAsia="Times New Roman" w:hAnsi="Times New Roman" w:cs="Times New Roman"/>
          <w:b/>
          <w:bCs/>
          <w:sz w:val="24"/>
          <w:szCs w:val="24"/>
          <w:u w:val="single"/>
          <w:lang w:eastAsia="es-ES"/>
        </w:rPr>
      </w:pPr>
      <w:bookmarkStart w:id="0" w:name="_Hlk47448642"/>
      <w:r w:rsidRPr="00A14D10">
        <w:rPr>
          <w:rFonts w:ascii="Times New Roman" w:eastAsia="Times New Roman" w:hAnsi="Times New Roman" w:cs="Times New Roman"/>
          <w:b/>
          <w:bCs/>
          <w:sz w:val="24"/>
          <w:szCs w:val="24"/>
          <w:u w:val="single"/>
          <w:lang w:eastAsia="es-ES"/>
        </w:rPr>
        <w:lastRenderedPageBreak/>
        <w:t>Clinic for Autism Research, Evaluation and Support (CARES Clinic)</w:t>
      </w:r>
    </w:p>
    <w:p w14:paraId="1AF5EA48" w14:textId="77777777" w:rsidR="00722A34" w:rsidRPr="00722A34" w:rsidRDefault="00722A34" w:rsidP="00722A34">
      <w:pPr>
        <w:rPr>
          <w:rFonts w:ascii="Times New Roman" w:eastAsia="Times New Roman" w:hAnsi="Times New Roman" w:cs="Times New Roman"/>
          <w:sz w:val="24"/>
          <w:szCs w:val="24"/>
          <w:lang w:eastAsia="es-ES"/>
        </w:rPr>
      </w:pPr>
      <w:r w:rsidRPr="00722A34">
        <w:rPr>
          <w:rFonts w:ascii="Times New Roman" w:eastAsia="Times New Roman" w:hAnsi="Times New Roman" w:cs="Times New Roman"/>
          <w:sz w:val="24"/>
          <w:szCs w:val="24"/>
          <w:lang w:eastAsia="es-ES"/>
        </w:rPr>
        <w:t>The Clinic for Autism Research, Evaluation, and Support (CARES Clinic) provides assessment, education, and treatment services for people with developmental and/or intellectual disability including individuals with autism spectrum disorder (ASD). The Clinic offers services that are supportive of families and that focus on consistency through training school and agency personnel to apply research-based practices. Services include diagnostic and behavioral assessment, clinic- and home-based educational programs, social skills groups, job-coaching, functional behavior assessments, behavior intervention planning, family guidance, consultations, and play and leisure skills training. The CARES Clinic has been funded by the Texas Department of Assistive and Rehabilitation Services, Organization for Autism Research, Texas Health and Human Service Commission, Texas Education Agency, Texas Department of Family Protective Services, and the Texas Higher Education Coordinating Board to develop and implement evidence-based protocols for children with ASD.</w:t>
      </w:r>
    </w:p>
    <w:p w14:paraId="5FA307B6" w14:textId="77777777" w:rsidR="00722A34" w:rsidRDefault="00722A34" w:rsidP="009146E5">
      <w:pPr>
        <w:autoSpaceDE w:val="0"/>
        <w:autoSpaceDN w:val="0"/>
        <w:adjustRightInd w:val="0"/>
        <w:rPr>
          <w:rFonts w:ascii="Times New Roman" w:hAnsi="Times New Roman" w:cs="Times New Roman"/>
          <w:b/>
          <w:sz w:val="24"/>
          <w:szCs w:val="24"/>
          <w:highlight w:val="yellow"/>
          <w:u w:val="single"/>
        </w:rPr>
      </w:pPr>
    </w:p>
    <w:p w14:paraId="57A6CA64" w14:textId="0E8BAC08" w:rsidR="006445C8" w:rsidRPr="00137065" w:rsidRDefault="009146E5" w:rsidP="009146E5">
      <w:pPr>
        <w:autoSpaceDE w:val="0"/>
        <w:autoSpaceDN w:val="0"/>
        <w:adjustRightInd w:val="0"/>
        <w:rPr>
          <w:rFonts w:ascii="Times New Roman" w:hAnsi="Times New Roman" w:cs="Times New Roman"/>
          <w:b/>
          <w:sz w:val="24"/>
          <w:szCs w:val="24"/>
          <w:u w:val="single"/>
        </w:rPr>
      </w:pPr>
      <w:r w:rsidRPr="00137065">
        <w:rPr>
          <w:rFonts w:ascii="Times New Roman" w:hAnsi="Times New Roman" w:cs="Times New Roman"/>
          <w:b/>
          <w:sz w:val="24"/>
          <w:szCs w:val="24"/>
          <w:u w:val="single"/>
        </w:rPr>
        <w:t>LBJ Institute for STEM Education and Research</w:t>
      </w:r>
    </w:p>
    <w:p w14:paraId="4D9BC8A4" w14:textId="67C7D3D0" w:rsidR="00B668B5" w:rsidRPr="00A14D10" w:rsidRDefault="00A11DFC" w:rsidP="00B668B5">
      <w:pPr>
        <w:tabs>
          <w:tab w:val="left" w:pos="5820"/>
        </w:tabs>
        <w:rPr>
          <w:rFonts w:ascii="Times New Roman" w:eastAsia="Times New Roman" w:hAnsi="Times New Roman" w:cs="Times New Roman"/>
          <w:sz w:val="24"/>
          <w:szCs w:val="24"/>
          <w:lang w:eastAsia="es-ES"/>
        </w:rPr>
      </w:pPr>
      <w:r w:rsidRPr="00A14D10">
        <w:rPr>
          <w:rFonts w:ascii="Times New Roman" w:eastAsia="Times New Roman" w:hAnsi="Times New Roman" w:cs="Times New Roman"/>
          <w:sz w:val="24"/>
          <w:szCs w:val="24"/>
          <w:lang w:eastAsia="es-ES"/>
        </w:rPr>
        <w:t>The LBJ Institute for STEM Education and Research unites cross-institutional scholarly efforts towards researching approaches for improving access and opportunity for historically underrepresented populations in science, technology, engineering, and mathematics (STEM) education by facilitating projects that engage multiple audiences at many levels including K-12 students, university students, teachers (current and future) and university professors. Since its founding in 2012, its researchers have been awarded more than $28 million in research funding from agencies such as</w:t>
      </w:r>
      <w:r w:rsidR="00A5529C" w:rsidRPr="00A14D10">
        <w:rPr>
          <w:rFonts w:ascii="Times New Roman" w:eastAsia="Times New Roman" w:hAnsi="Times New Roman" w:cs="Times New Roman"/>
          <w:sz w:val="24"/>
          <w:szCs w:val="24"/>
          <w:lang w:eastAsia="es-ES"/>
        </w:rPr>
        <w:t xml:space="preserve"> the</w:t>
      </w:r>
      <w:r w:rsidRPr="00A14D10">
        <w:rPr>
          <w:rFonts w:ascii="Times New Roman" w:eastAsia="Times New Roman" w:hAnsi="Times New Roman" w:cs="Times New Roman"/>
          <w:sz w:val="24"/>
          <w:szCs w:val="24"/>
          <w:lang w:eastAsia="es-ES"/>
        </w:rPr>
        <w:t xml:space="preserve"> National Aeronautics and Space Administration (NASA), </w:t>
      </w:r>
      <w:r w:rsidR="00A5529C" w:rsidRPr="00A14D10">
        <w:rPr>
          <w:rFonts w:ascii="Times New Roman" w:eastAsia="Times New Roman" w:hAnsi="Times New Roman" w:cs="Times New Roman"/>
          <w:sz w:val="24"/>
          <w:szCs w:val="24"/>
          <w:lang w:eastAsia="es-ES"/>
        </w:rPr>
        <w:t xml:space="preserve">the </w:t>
      </w:r>
      <w:r w:rsidRPr="00A14D10">
        <w:rPr>
          <w:rFonts w:ascii="Times New Roman" w:eastAsia="Times New Roman" w:hAnsi="Times New Roman" w:cs="Times New Roman"/>
          <w:sz w:val="24"/>
          <w:szCs w:val="24"/>
          <w:lang w:eastAsia="es-ES"/>
        </w:rPr>
        <w:t xml:space="preserve">National Science Foundation (NSF), the United States Department of Education, Amazon, and the National Center for Women </w:t>
      </w:r>
      <w:r w:rsidR="0017546D" w:rsidRPr="00A14D10">
        <w:rPr>
          <w:rFonts w:ascii="Times New Roman" w:eastAsia="Times New Roman" w:hAnsi="Times New Roman" w:cs="Times New Roman"/>
          <w:sz w:val="24"/>
          <w:szCs w:val="24"/>
          <w:lang w:eastAsia="es-ES"/>
        </w:rPr>
        <w:t>and</w:t>
      </w:r>
      <w:r w:rsidR="0025392C" w:rsidRPr="00A14D10">
        <w:rPr>
          <w:rFonts w:ascii="Times New Roman" w:eastAsia="Times New Roman" w:hAnsi="Times New Roman" w:cs="Times New Roman"/>
          <w:sz w:val="24"/>
          <w:szCs w:val="24"/>
          <w:lang w:eastAsia="es-ES"/>
        </w:rPr>
        <w:t xml:space="preserve"> </w:t>
      </w:r>
      <w:r w:rsidRPr="00A14D10">
        <w:rPr>
          <w:rFonts w:ascii="Times New Roman" w:eastAsia="Times New Roman" w:hAnsi="Times New Roman" w:cs="Times New Roman"/>
          <w:sz w:val="24"/>
          <w:szCs w:val="24"/>
          <w:lang w:eastAsia="es-ES"/>
        </w:rPr>
        <w:t>Information Technology. This funding enables the participating principal investigators to lead research initiatives that explore interventions in curriculum and pedagogy to transform STEM education while increasing the participation and success of diverse communities of educators and students. The funded interventions include summer engineering camps for children and youth, community building experiences for STEM faculty, innovative STEM education curricula and instructional methods for future teachers, studies on motivation and identity development for educators and learners in the STEM fields</w:t>
      </w:r>
      <w:r w:rsidR="0025392C" w:rsidRPr="00A14D10">
        <w:rPr>
          <w:rFonts w:ascii="Times New Roman" w:eastAsia="Times New Roman" w:hAnsi="Times New Roman" w:cs="Times New Roman"/>
          <w:sz w:val="24"/>
          <w:szCs w:val="24"/>
          <w:lang w:eastAsia="es-ES"/>
        </w:rPr>
        <w:t>,</w:t>
      </w:r>
      <w:r w:rsidRPr="00A14D10">
        <w:rPr>
          <w:rFonts w:ascii="Times New Roman" w:eastAsia="Times New Roman" w:hAnsi="Times New Roman" w:cs="Times New Roman"/>
          <w:sz w:val="24"/>
          <w:szCs w:val="24"/>
          <w:lang w:eastAsia="es-ES"/>
        </w:rPr>
        <w:t xml:space="preserve"> and professional development for teachers and professors. The LBJ Institute for STEM Education and Research engages in scholarly research with corporate, federal, and academic partners on a national and international level.</w:t>
      </w:r>
      <w:bookmarkEnd w:id="0"/>
    </w:p>
    <w:sectPr w:rsidR="00B668B5" w:rsidRPr="00A14D10" w:rsidSect="00645B99">
      <w:footerReference w:type="default" r:id="rId13"/>
      <w:footerReference w:type="first" r:id="rId14"/>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BF58" w14:textId="77777777" w:rsidR="001F6369" w:rsidRDefault="001F6369" w:rsidP="0076382B">
      <w:r>
        <w:separator/>
      </w:r>
    </w:p>
  </w:endnote>
  <w:endnote w:type="continuationSeparator" w:id="0">
    <w:p w14:paraId="24734497" w14:textId="77777777" w:rsidR="001F6369" w:rsidRDefault="001F6369" w:rsidP="0076382B">
      <w:r>
        <w:continuationSeparator/>
      </w:r>
    </w:p>
  </w:endnote>
  <w:endnote w:type="continuationNotice" w:id="1">
    <w:p w14:paraId="2D2927DE" w14:textId="77777777" w:rsidR="001F6369" w:rsidRDefault="001F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830A" w14:textId="3986535D" w:rsidR="00AC057F" w:rsidRPr="000505C3" w:rsidRDefault="00B668B5" w:rsidP="00523754">
    <w:pPr>
      <w:pBdr>
        <w:top w:val="single" w:sz="4" w:space="1" w:color="auto"/>
      </w:pBdr>
      <w:tabs>
        <w:tab w:val="left" w:pos="5040"/>
        <w:tab w:val="right" w:pos="9360"/>
      </w:tabs>
      <w:rPr>
        <w:rFonts w:ascii="Times New Roman" w:hAnsi="Times New Roman" w:cs="Times New Roman"/>
        <w:b/>
        <w:sz w:val="18"/>
        <w:szCs w:val="18"/>
      </w:rPr>
    </w:pPr>
    <w:r w:rsidRPr="000505C3">
      <w:rPr>
        <w:rFonts w:ascii="Times New Roman" w:hAnsi="Times New Roman" w:cs="Times New Roman"/>
        <w:bCs/>
        <w:sz w:val="18"/>
        <w:szCs w:val="18"/>
      </w:rPr>
      <w:t>Boilerplate: COE (COERO 20</w:t>
    </w:r>
    <w:r w:rsidR="00371012">
      <w:rPr>
        <w:rFonts w:ascii="Times New Roman" w:hAnsi="Times New Roman" w:cs="Times New Roman"/>
        <w:bCs/>
        <w:sz w:val="18"/>
        <w:szCs w:val="18"/>
      </w:rPr>
      <w:t>21</w:t>
    </w:r>
    <w:r w:rsidR="00722A34">
      <w:rPr>
        <w:rFonts w:ascii="Times New Roman" w:hAnsi="Times New Roman" w:cs="Times New Roman"/>
        <w:bCs/>
        <w:sz w:val="18"/>
        <w:szCs w:val="18"/>
      </w:rPr>
      <w:t>08</w:t>
    </w:r>
    <w:r w:rsidR="00B05C3D">
      <w:rPr>
        <w:rFonts w:ascii="Times New Roman" w:hAnsi="Times New Roman" w:cs="Times New Roman"/>
        <w:bCs/>
        <w:sz w:val="18"/>
        <w:szCs w:val="18"/>
      </w:rPr>
      <w:t>31</w:t>
    </w:r>
    <w:r w:rsidRPr="000505C3">
      <w:rPr>
        <w:rFonts w:ascii="Times New Roman" w:hAnsi="Times New Roman" w:cs="Times New Roman"/>
        <w:bCs/>
        <w:sz w:val="18"/>
        <w:szCs w:val="18"/>
      </w:rPr>
      <w:t>)</w:t>
    </w:r>
    <w:r w:rsidRPr="000505C3">
      <w:rPr>
        <w:rFonts w:ascii="Times New Roman" w:hAnsi="Times New Roman" w:cs="Times New Roman"/>
        <w:bCs/>
        <w:sz w:val="18"/>
        <w:szCs w:val="18"/>
      </w:rPr>
      <w:tab/>
    </w:r>
    <w:r w:rsidRPr="000505C3">
      <w:rPr>
        <w:rFonts w:ascii="Times New Roman" w:hAnsi="Times New Roman" w:cs="Times New Roman"/>
        <w:bCs/>
        <w:sz w:val="18"/>
        <w:szCs w:val="18"/>
      </w:rPr>
      <w:tab/>
      <w:t xml:space="preserve">Page </w:t>
    </w:r>
    <w:r w:rsidRPr="000505C3">
      <w:rPr>
        <w:rFonts w:ascii="Times New Roman" w:hAnsi="Times New Roman" w:cs="Times New Roman"/>
        <w:bCs/>
        <w:sz w:val="18"/>
        <w:szCs w:val="18"/>
      </w:rPr>
      <w:fldChar w:fldCharType="begin"/>
    </w:r>
    <w:r w:rsidRPr="000505C3">
      <w:rPr>
        <w:rFonts w:ascii="Times New Roman" w:hAnsi="Times New Roman" w:cs="Times New Roman"/>
        <w:bCs/>
        <w:sz w:val="18"/>
        <w:szCs w:val="18"/>
      </w:rPr>
      <w:instrText xml:space="preserve"> PAGE   \* MERGEFORMAT </w:instrText>
    </w:r>
    <w:r w:rsidRPr="000505C3">
      <w:rPr>
        <w:rFonts w:ascii="Times New Roman" w:hAnsi="Times New Roman" w:cs="Times New Roman"/>
        <w:bCs/>
        <w:sz w:val="18"/>
        <w:szCs w:val="18"/>
      </w:rPr>
      <w:fldChar w:fldCharType="separate"/>
    </w:r>
    <w:r w:rsidR="00A45FB0" w:rsidRPr="000505C3">
      <w:rPr>
        <w:rFonts w:ascii="Times New Roman" w:hAnsi="Times New Roman" w:cs="Times New Roman"/>
        <w:bCs/>
        <w:noProof/>
        <w:sz w:val="18"/>
        <w:szCs w:val="18"/>
      </w:rPr>
      <w:t>1</w:t>
    </w:r>
    <w:r w:rsidRPr="000505C3">
      <w:rPr>
        <w:rFonts w:ascii="Times New Roman" w:hAnsi="Times New Roman" w:cs="Times New Roman"/>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C62A" w14:textId="5F2EB83E" w:rsidR="00AC057F" w:rsidRPr="00523754" w:rsidRDefault="00AC057F" w:rsidP="00523754">
    <w:pPr>
      <w:pBdr>
        <w:top w:val="single" w:sz="4" w:space="1" w:color="auto"/>
      </w:pBdr>
      <w:tabs>
        <w:tab w:val="left" w:pos="5040"/>
        <w:tab w:val="right" w:pos="9360"/>
      </w:tabs>
      <w:rPr>
        <w:rFonts w:ascii="Arial" w:hAnsi="Arial" w:cs="Arial"/>
        <w:b/>
        <w:sz w:val="18"/>
        <w:szCs w:val="18"/>
      </w:rPr>
    </w:pPr>
    <w:r w:rsidRPr="00523754">
      <w:rPr>
        <w:rFonts w:ascii="Arial" w:eastAsia="Times New Roman" w:hAnsi="Arial" w:cs="Arial"/>
        <w:b/>
        <w:sz w:val="18"/>
        <w:szCs w:val="18"/>
      </w:rPr>
      <w:t xml:space="preserve">Boilerplate – </w:t>
    </w:r>
    <w:r>
      <w:rPr>
        <w:rFonts w:ascii="Arial" w:eastAsia="Times New Roman" w:hAnsi="Arial" w:cs="Arial"/>
        <w:b/>
        <w:sz w:val="18"/>
        <w:szCs w:val="18"/>
      </w:rPr>
      <w:t>College of Education</w:t>
    </w:r>
    <w:r>
      <w:rPr>
        <w:rFonts w:ascii="Arial" w:eastAsia="Times New Roman" w:hAnsi="Arial" w:cs="Arial"/>
        <w:b/>
        <w:sz w:val="18"/>
        <w:szCs w:val="18"/>
      </w:rPr>
      <w:tab/>
      <w:t>page 1</w:t>
    </w:r>
    <w:r w:rsidRPr="00523754">
      <w:rPr>
        <w:rFonts w:ascii="Arial" w:hAnsi="Arial" w:cs="Arial"/>
        <w:b/>
        <w:sz w:val="18"/>
        <w:szCs w:val="18"/>
      </w:rPr>
      <w:tab/>
      <w:t xml:space="preserve">(SAK </w:t>
    </w:r>
    <w:r w:rsidR="00D75EE0">
      <w:rPr>
        <w:rFonts w:ascii="Arial" w:hAnsi="Arial" w:cs="Arial"/>
        <w:b/>
        <w:sz w:val="18"/>
        <w:szCs w:val="18"/>
      </w:rPr>
      <w:t>5/18</w:t>
    </w:r>
    <w:r w:rsidRPr="00523754">
      <w:rPr>
        <w:rFonts w:ascii="Arial" w:hAnsi="Arial" w:cs="Arial"/>
        <w:b/>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23B7" w14:textId="77777777" w:rsidR="001F6369" w:rsidRDefault="001F6369" w:rsidP="0076382B">
      <w:r>
        <w:separator/>
      </w:r>
    </w:p>
  </w:footnote>
  <w:footnote w:type="continuationSeparator" w:id="0">
    <w:p w14:paraId="731BE17D" w14:textId="77777777" w:rsidR="001F6369" w:rsidRDefault="001F6369" w:rsidP="0076382B">
      <w:r>
        <w:continuationSeparator/>
      </w:r>
    </w:p>
  </w:footnote>
  <w:footnote w:type="continuationNotice" w:id="1">
    <w:p w14:paraId="7E238B29" w14:textId="77777777" w:rsidR="001F6369" w:rsidRDefault="001F6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4CB9"/>
    <w:multiLevelType w:val="multilevel"/>
    <w:tmpl w:val="33F2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53558"/>
    <w:multiLevelType w:val="hybridMultilevel"/>
    <w:tmpl w:val="8344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010D4"/>
    <w:multiLevelType w:val="multilevel"/>
    <w:tmpl w:val="982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6"/>
  </w:num>
  <w:num w:numId="4">
    <w:abstractNumId w:val="19"/>
  </w:num>
  <w:num w:numId="5">
    <w:abstractNumId w:val="14"/>
  </w:num>
  <w:num w:numId="6">
    <w:abstractNumId w:val="9"/>
  </w:num>
  <w:num w:numId="7">
    <w:abstractNumId w:val="21"/>
  </w:num>
  <w:num w:numId="8">
    <w:abstractNumId w:val="1"/>
  </w:num>
  <w:num w:numId="9">
    <w:abstractNumId w:val="10"/>
  </w:num>
  <w:num w:numId="10">
    <w:abstractNumId w:val="13"/>
  </w:num>
  <w:num w:numId="11">
    <w:abstractNumId w:val="2"/>
  </w:num>
  <w:num w:numId="12">
    <w:abstractNumId w:val="11"/>
  </w:num>
  <w:num w:numId="13">
    <w:abstractNumId w:val="3"/>
  </w:num>
  <w:num w:numId="14">
    <w:abstractNumId w:val="8"/>
  </w:num>
  <w:num w:numId="15">
    <w:abstractNumId w:val="0"/>
  </w:num>
  <w:num w:numId="16">
    <w:abstractNumId w:val="18"/>
  </w:num>
  <w:num w:numId="17">
    <w:abstractNumId w:val="15"/>
  </w:num>
  <w:num w:numId="18">
    <w:abstractNumId w:val="4"/>
  </w:num>
  <w:num w:numId="19">
    <w:abstractNumId w:val="7"/>
  </w:num>
  <w:num w:numId="20">
    <w:abstractNumId w:val="5"/>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F"/>
    <w:rsid w:val="000008CB"/>
    <w:rsid w:val="00007C24"/>
    <w:rsid w:val="0001079A"/>
    <w:rsid w:val="000113EA"/>
    <w:rsid w:val="000328D1"/>
    <w:rsid w:val="00032ADC"/>
    <w:rsid w:val="000378F9"/>
    <w:rsid w:val="00037A6A"/>
    <w:rsid w:val="00042F56"/>
    <w:rsid w:val="000505C3"/>
    <w:rsid w:val="00050609"/>
    <w:rsid w:val="00051B47"/>
    <w:rsid w:val="000534A5"/>
    <w:rsid w:val="000636C7"/>
    <w:rsid w:val="00064126"/>
    <w:rsid w:val="00072B0D"/>
    <w:rsid w:val="000748AB"/>
    <w:rsid w:val="00075E1F"/>
    <w:rsid w:val="00076AB0"/>
    <w:rsid w:val="00080771"/>
    <w:rsid w:val="0009754E"/>
    <w:rsid w:val="000B4AE3"/>
    <w:rsid w:val="000B696B"/>
    <w:rsid w:val="000C7A7B"/>
    <w:rsid w:val="000D5589"/>
    <w:rsid w:val="000D7F0F"/>
    <w:rsid w:val="000E4248"/>
    <w:rsid w:val="000E4B5D"/>
    <w:rsid w:val="000E6001"/>
    <w:rsid w:val="000E7DF1"/>
    <w:rsid w:val="000F3B78"/>
    <w:rsid w:val="00112E0F"/>
    <w:rsid w:val="00121C92"/>
    <w:rsid w:val="00122A05"/>
    <w:rsid w:val="00122D02"/>
    <w:rsid w:val="0012611F"/>
    <w:rsid w:val="00127762"/>
    <w:rsid w:val="00130728"/>
    <w:rsid w:val="00137065"/>
    <w:rsid w:val="00142134"/>
    <w:rsid w:val="00153FFE"/>
    <w:rsid w:val="0015737C"/>
    <w:rsid w:val="00161E77"/>
    <w:rsid w:val="0017546D"/>
    <w:rsid w:val="001779C8"/>
    <w:rsid w:val="0018247E"/>
    <w:rsid w:val="00187EB3"/>
    <w:rsid w:val="00194938"/>
    <w:rsid w:val="00195B4E"/>
    <w:rsid w:val="00197811"/>
    <w:rsid w:val="001A19B5"/>
    <w:rsid w:val="001A4C09"/>
    <w:rsid w:val="001A5C3B"/>
    <w:rsid w:val="001B5158"/>
    <w:rsid w:val="001B5C4B"/>
    <w:rsid w:val="001B6F39"/>
    <w:rsid w:val="001B7433"/>
    <w:rsid w:val="001C1187"/>
    <w:rsid w:val="001C3E52"/>
    <w:rsid w:val="001C50AD"/>
    <w:rsid w:val="001C5E83"/>
    <w:rsid w:val="001C7659"/>
    <w:rsid w:val="001D0E0B"/>
    <w:rsid w:val="001D0F02"/>
    <w:rsid w:val="001D1778"/>
    <w:rsid w:val="001D685C"/>
    <w:rsid w:val="001E33B5"/>
    <w:rsid w:val="001E515A"/>
    <w:rsid w:val="001F6369"/>
    <w:rsid w:val="002009D7"/>
    <w:rsid w:val="002015BA"/>
    <w:rsid w:val="00212623"/>
    <w:rsid w:val="00216577"/>
    <w:rsid w:val="002231A0"/>
    <w:rsid w:val="002274D3"/>
    <w:rsid w:val="00231072"/>
    <w:rsid w:val="00231FAA"/>
    <w:rsid w:val="00236737"/>
    <w:rsid w:val="002400FF"/>
    <w:rsid w:val="002438A7"/>
    <w:rsid w:val="0025392C"/>
    <w:rsid w:val="002568EE"/>
    <w:rsid w:val="002569C5"/>
    <w:rsid w:val="0026642C"/>
    <w:rsid w:val="00272FAF"/>
    <w:rsid w:val="00274026"/>
    <w:rsid w:val="002805BE"/>
    <w:rsid w:val="00282251"/>
    <w:rsid w:val="00283307"/>
    <w:rsid w:val="00286810"/>
    <w:rsid w:val="002A43F4"/>
    <w:rsid w:val="002A69A2"/>
    <w:rsid w:val="002A7C58"/>
    <w:rsid w:val="002B2CAE"/>
    <w:rsid w:val="002C4315"/>
    <w:rsid w:val="002D0305"/>
    <w:rsid w:val="002D33B5"/>
    <w:rsid w:val="002D42E5"/>
    <w:rsid w:val="002D69C2"/>
    <w:rsid w:val="002D73DD"/>
    <w:rsid w:val="002D7582"/>
    <w:rsid w:val="002E2236"/>
    <w:rsid w:val="002F63F3"/>
    <w:rsid w:val="0030021B"/>
    <w:rsid w:val="003156DA"/>
    <w:rsid w:val="003209B2"/>
    <w:rsid w:val="00321AC3"/>
    <w:rsid w:val="00326188"/>
    <w:rsid w:val="003301EF"/>
    <w:rsid w:val="003401D6"/>
    <w:rsid w:val="00350CBD"/>
    <w:rsid w:val="0035327B"/>
    <w:rsid w:val="00354150"/>
    <w:rsid w:val="00355E70"/>
    <w:rsid w:val="00360A07"/>
    <w:rsid w:val="00366371"/>
    <w:rsid w:val="00371012"/>
    <w:rsid w:val="0037227B"/>
    <w:rsid w:val="0037718C"/>
    <w:rsid w:val="00377807"/>
    <w:rsid w:val="00382850"/>
    <w:rsid w:val="003835F2"/>
    <w:rsid w:val="0038774A"/>
    <w:rsid w:val="00392D26"/>
    <w:rsid w:val="003975C8"/>
    <w:rsid w:val="003B4673"/>
    <w:rsid w:val="003B4FE0"/>
    <w:rsid w:val="003C32CC"/>
    <w:rsid w:val="003D0ADD"/>
    <w:rsid w:val="003D1EDB"/>
    <w:rsid w:val="003D452F"/>
    <w:rsid w:val="003E0142"/>
    <w:rsid w:val="003E7337"/>
    <w:rsid w:val="00404AE1"/>
    <w:rsid w:val="00405353"/>
    <w:rsid w:val="004104BC"/>
    <w:rsid w:val="004153BD"/>
    <w:rsid w:val="004233E8"/>
    <w:rsid w:val="00424983"/>
    <w:rsid w:val="00435869"/>
    <w:rsid w:val="00440422"/>
    <w:rsid w:val="00462A3D"/>
    <w:rsid w:val="00466DC4"/>
    <w:rsid w:val="00484E65"/>
    <w:rsid w:val="004874A8"/>
    <w:rsid w:val="00490044"/>
    <w:rsid w:val="004944EF"/>
    <w:rsid w:val="004956F4"/>
    <w:rsid w:val="004B19C8"/>
    <w:rsid w:val="004C1F98"/>
    <w:rsid w:val="004C5162"/>
    <w:rsid w:val="004C6B6A"/>
    <w:rsid w:val="004D49F1"/>
    <w:rsid w:val="004D574F"/>
    <w:rsid w:val="004D6BF3"/>
    <w:rsid w:val="004E3826"/>
    <w:rsid w:val="004F0622"/>
    <w:rsid w:val="004F19C3"/>
    <w:rsid w:val="005030A7"/>
    <w:rsid w:val="00505A45"/>
    <w:rsid w:val="005143A5"/>
    <w:rsid w:val="005161B7"/>
    <w:rsid w:val="005176DB"/>
    <w:rsid w:val="0052024D"/>
    <w:rsid w:val="00523754"/>
    <w:rsid w:val="005241F1"/>
    <w:rsid w:val="00524439"/>
    <w:rsid w:val="005279DB"/>
    <w:rsid w:val="00527CA6"/>
    <w:rsid w:val="00534A75"/>
    <w:rsid w:val="00542588"/>
    <w:rsid w:val="00544B6C"/>
    <w:rsid w:val="00551C57"/>
    <w:rsid w:val="00553A05"/>
    <w:rsid w:val="005545F4"/>
    <w:rsid w:val="00557718"/>
    <w:rsid w:val="00562428"/>
    <w:rsid w:val="00564121"/>
    <w:rsid w:val="0056741B"/>
    <w:rsid w:val="005703D1"/>
    <w:rsid w:val="0057073A"/>
    <w:rsid w:val="00583041"/>
    <w:rsid w:val="00594130"/>
    <w:rsid w:val="005A2E64"/>
    <w:rsid w:val="005A7392"/>
    <w:rsid w:val="005A7E66"/>
    <w:rsid w:val="005C09D5"/>
    <w:rsid w:val="005C3BC7"/>
    <w:rsid w:val="005C3C91"/>
    <w:rsid w:val="005C538E"/>
    <w:rsid w:val="005D5ECC"/>
    <w:rsid w:val="005D6D42"/>
    <w:rsid w:val="005D7CB8"/>
    <w:rsid w:val="005E3E46"/>
    <w:rsid w:val="005E6300"/>
    <w:rsid w:val="005F175A"/>
    <w:rsid w:val="005F1D34"/>
    <w:rsid w:val="005F3580"/>
    <w:rsid w:val="00600282"/>
    <w:rsid w:val="00601746"/>
    <w:rsid w:val="00614D6A"/>
    <w:rsid w:val="0061653C"/>
    <w:rsid w:val="006217B6"/>
    <w:rsid w:val="00622780"/>
    <w:rsid w:val="00623D22"/>
    <w:rsid w:val="00627C09"/>
    <w:rsid w:val="00642345"/>
    <w:rsid w:val="006445C8"/>
    <w:rsid w:val="00645B99"/>
    <w:rsid w:val="00651682"/>
    <w:rsid w:val="00656555"/>
    <w:rsid w:val="00656844"/>
    <w:rsid w:val="006626AC"/>
    <w:rsid w:val="00663765"/>
    <w:rsid w:val="00686ED5"/>
    <w:rsid w:val="006872E0"/>
    <w:rsid w:val="00690C90"/>
    <w:rsid w:val="006919FB"/>
    <w:rsid w:val="006958AD"/>
    <w:rsid w:val="006A034B"/>
    <w:rsid w:val="006A1A49"/>
    <w:rsid w:val="006A61FE"/>
    <w:rsid w:val="006D0D81"/>
    <w:rsid w:val="006D3A74"/>
    <w:rsid w:val="006D3BD1"/>
    <w:rsid w:val="006D5EAE"/>
    <w:rsid w:val="006D7623"/>
    <w:rsid w:val="006E17B5"/>
    <w:rsid w:val="006E5771"/>
    <w:rsid w:val="006E580E"/>
    <w:rsid w:val="006F0835"/>
    <w:rsid w:val="00700D5B"/>
    <w:rsid w:val="007014C7"/>
    <w:rsid w:val="00702F22"/>
    <w:rsid w:val="00705715"/>
    <w:rsid w:val="00711529"/>
    <w:rsid w:val="0071296A"/>
    <w:rsid w:val="00720B03"/>
    <w:rsid w:val="00722A34"/>
    <w:rsid w:val="0072415D"/>
    <w:rsid w:val="00724ACE"/>
    <w:rsid w:val="00725217"/>
    <w:rsid w:val="007307D1"/>
    <w:rsid w:val="00737473"/>
    <w:rsid w:val="0074653D"/>
    <w:rsid w:val="00751007"/>
    <w:rsid w:val="00762B8F"/>
    <w:rsid w:val="0076344C"/>
    <w:rsid w:val="0076382B"/>
    <w:rsid w:val="00772164"/>
    <w:rsid w:val="007743EE"/>
    <w:rsid w:val="007835A4"/>
    <w:rsid w:val="00787CEF"/>
    <w:rsid w:val="007A0BD0"/>
    <w:rsid w:val="007A6949"/>
    <w:rsid w:val="007C27D7"/>
    <w:rsid w:val="007C4581"/>
    <w:rsid w:val="007C4975"/>
    <w:rsid w:val="007C544A"/>
    <w:rsid w:val="007E02EE"/>
    <w:rsid w:val="007E2781"/>
    <w:rsid w:val="007E36F2"/>
    <w:rsid w:val="007F62CA"/>
    <w:rsid w:val="00801A3A"/>
    <w:rsid w:val="00804A30"/>
    <w:rsid w:val="00822541"/>
    <w:rsid w:val="00824BC1"/>
    <w:rsid w:val="00830DAE"/>
    <w:rsid w:val="008368E0"/>
    <w:rsid w:val="00847D16"/>
    <w:rsid w:val="0085056B"/>
    <w:rsid w:val="008527CD"/>
    <w:rsid w:val="00853B5B"/>
    <w:rsid w:val="008601CB"/>
    <w:rsid w:val="00862497"/>
    <w:rsid w:val="00866165"/>
    <w:rsid w:val="0087539A"/>
    <w:rsid w:val="00875B94"/>
    <w:rsid w:val="00876A62"/>
    <w:rsid w:val="00876B7B"/>
    <w:rsid w:val="00877773"/>
    <w:rsid w:val="00883AAF"/>
    <w:rsid w:val="0089251D"/>
    <w:rsid w:val="00895654"/>
    <w:rsid w:val="00896EC8"/>
    <w:rsid w:val="008A4C00"/>
    <w:rsid w:val="008A6152"/>
    <w:rsid w:val="008B0D0F"/>
    <w:rsid w:val="008B3209"/>
    <w:rsid w:val="008B6CEF"/>
    <w:rsid w:val="008C0EF7"/>
    <w:rsid w:val="008C424D"/>
    <w:rsid w:val="008E5841"/>
    <w:rsid w:val="008E69F6"/>
    <w:rsid w:val="008E76F2"/>
    <w:rsid w:val="008F0954"/>
    <w:rsid w:val="008F22D2"/>
    <w:rsid w:val="008F6751"/>
    <w:rsid w:val="008F6EDE"/>
    <w:rsid w:val="008F6F32"/>
    <w:rsid w:val="008F7284"/>
    <w:rsid w:val="00903082"/>
    <w:rsid w:val="009043E0"/>
    <w:rsid w:val="00904CF2"/>
    <w:rsid w:val="009078AE"/>
    <w:rsid w:val="009146E5"/>
    <w:rsid w:val="00921800"/>
    <w:rsid w:val="00924204"/>
    <w:rsid w:val="00931D96"/>
    <w:rsid w:val="009338FF"/>
    <w:rsid w:val="009419CA"/>
    <w:rsid w:val="00943D6D"/>
    <w:rsid w:val="00944AA8"/>
    <w:rsid w:val="00946C0D"/>
    <w:rsid w:val="00952FDC"/>
    <w:rsid w:val="00954FEE"/>
    <w:rsid w:val="00956139"/>
    <w:rsid w:val="00964002"/>
    <w:rsid w:val="00964D67"/>
    <w:rsid w:val="0096690B"/>
    <w:rsid w:val="00970A4C"/>
    <w:rsid w:val="00972094"/>
    <w:rsid w:val="00972434"/>
    <w:rsid w:val="009743BA"/>
    <w:rsid w:val="00980078"/>
    <w:rsid w:val="00982F29"/>
    <w:rsid w:val="009832E4"/>
    <w:rsid w:val="00986407"/>
    <w:rsid w:val="009969B0"/>
    <w:rsid w:val="009A4694"/>
    <w:rsid w:val="009A58FF"/>
    <w:rsid w:val="009B0F84"/>
    <w:rsid w:val="009B2281"/>
    <w:rsid w:val="009B6ADA"/>
    <w:rsid w:val="009C0DC3"/>
    <w:rsid w:val="009C5125"/>
    <w:rsid w:val="009C5C1D"/>
    <w:rsid w:val="009D3A64"/>
    <w:rsid w:val="009D5D7F"/>
    <w:rsid w:val="009D7903"/>
    <w:rsid w:val="009E118B"/>
    <w:rsid w:val="009E7E8F"/>
    <w:rsid w:val="009F23AB"/>
    <w:rsid w:val="009F45DE"/>
    <w:rsid w:val="009F7C68"/>
    <w:rsid w:val="00A01BFB"/>
    <w:rsid w:val="00A06830"/>
    <w:rsid w:val="00A06FF9"/>
    <w:rsid w:val="00A11DFC"/>
    <w:rsid w:val="00A14D10"/>
    <w:rsid w:val="00A1571C"/>
    <w:rsid w:val="00A20E60"/>
    <w:rsid w:val="00A354CB"/>
    <w:rsid w:val="00A4112C"/>
    <w:rsid w:val="00A45FB0"/>
    <w:rsid w:val="00A47474"/>
    <w:rsid w:val="00A5127C"/>
    <w:rsid w:val="00A5529C"/>
    <w:rsid w:val="00A55CD4"/>
    <w:rsid w:val="00A56063"/>
    <w:rsid w:val="00A57489"/>
    <w:rsid w:val="00A622C7"/>
    <w:rsid w:val="00A62B35"/>
    <w:rsid w:val="00A64A66"/>
    <w:rsid w:val="00A6546B"/>
    <w:rsid w:val="00A65C90"/>
    <w:rsid w:val="00A71AA2"/>
    <w:rsid w:val="00A90F07"/>
    <w:rsid w:val="00A92238"/>
    <w:rsid w:val="00A944EE"/>
    <w:rsid w:val="00A94F17"/>
    <w:rsid w:val="00AA0DAB"/>
    <w:rsid w:val="00AA2D3D"/>
    <w:rsid w:val="00AA3411"/>
    <w:rsid w:val="00AC057F"/>
    <w:rsid w:val="00AD6679"/>
    <w:rsid w:val="00AD6F26"/>
    <w:rsid w:val="00AF5E87"/>
    <w:rsid w:val="00AF60C3"/>
    <w:rsid w:val="00B0233A"/>
    <w:rsid w:val="00B05C3D"/>
    <w:rsid w:val="00B11E54"/>
    <w:rsid w:val="00B12450"/>
    <w:rsid w:val="00B1727E"/>
    <w:rsid w:val="00B23F3C"/>
    <w:rsid w:val="00B25D79"/>
    <w:rsid w:val="00B264CF"/>
    <w:rsid w:val="00B3062B"/>
    <w:rsid w:val="00B315EA"/>
    <w:rsid w:val="00B34BBF"/>
    <w:rsid w:val="00B37398"/>
    <w:rsid w:val="00B406A1"/>
    <w:rsid w:val="00B41856"/>
    <w:rsid w:val="00B43752"/>
    <w:rsid w:val="00B443EA"/>
    <w:rsid w:val="00B53278"/>
    <w:rsid w:val="00B56B97"/>
    <w:rsid w:val="00B574A7"/>
    <w:rsid w:val="00B62466"/>
    <w:rsid w:val="00B668B5"/>
    <w:rsid w:val="00B73737"/>
    <w:rsid w:val="00B76FD7"/>
    <w:rsid w:val="00B777F1"/>
    <w:rsid w:val="00B820A7"/>
    <w:rsid w:val="00B93042"/>
    <w:rsid w:val="00B96959"/>
    <w:rsid w:val="00BB02C6"/>
    <w:rsid w:val="00BB0D62"/>
    <w:rsid w:val="00BB1750"/>
    <w:rsid w:val="00BB1DC9"/>
    <w:rsid w:val="00BB6263"/>
    <w:rsid w:val="00BB6E69"/>
    <w:rsid w:val="00BC1C65"/>
    <w:rsid w:val="00BC627B"/>
    <w:rsid w:val="00BC726D"/>
    <w:rsid w:val="00BE66A3"/>
    <w:rsid w:val="00BE7340"/>
    <w:rsid w:val="00BF0EAD"/>
    <w:rsid w:val="00C041C2"/>
    <w:rsid w:val="00C06822"/>
    <w:rsid w:val="00C11EE2"/>
    <w:rsid w:val="00C148FE"/>
    <w:rsid w:val="00C26A7E"/>
    <w:rsid w:val="00C325BF"/>
    <w:rsid w:val="00C40351"/>
    <w:rsid w:val="00C477C1"/>
    <w:rsid w:val="00C60B12"/>
    <w:rsid w:val="00C734B3"/>
    <w:rsid w:val="00C8343F"/>
    <w:rsid w:val="00C84148"/>
    <w:rsid w:val="00C8765B"/>
    <w:rsid w:val="00C90631"/>
    <w:rsid w:val="00C907B5"/>
    <w:rsid w:val="00C926ED"/>
    <w:rsid w:val="00C94EDE"/>
    <w:rsid w:val="00CA2D96"/>
    <w:rsid w:val="00CA63D1"/>
    <w:rsid w:val="00CA73BC"/>
    <w:rsid w:val="00CB13BA"/>
    <w:rsid w:val="00CB4E76"/>
    <w:rsid w:val="00CB652B"/>
    <w:rsid w:val="00CB74A2"/>
    <w:rsid w:val="00CC093E"/>
    <w:rsid w:val="00CC2255"/>
    <w:rsid w:val="00CC6336"/>
    <w:rsid w:val="00CC7000"/>
    <w:rsid w:val="00CC748C"/>
    <w:rsid w:val="00CD493D"/>
    <w:rsid w:val="00CD6165"/>
    <w:rsid w:val="00CD7A28"/>
    <w:rsid w:val="00CE7637"/>
    <w:rsid w:val="00D02A7E"/>
    <w:rsid w:val="00D033F5"/>
    <w:rsid w:val="00D03492"/>
    <w:rsid w:val="00D0514F"/>
    <w:rsid w:val="00D0537E"/>
    <w:rsid w:val="00D06468"/>
    <w:rsid w:val="00D1728A"/>
    <w:rsid w:val="00D2057F"/>
    <w:rsid w:val="00D20D09"/>
    <w:rsid w:val="00D21755"/>
    <w:rsid w:val="00D277FB"/>
    <w:rsid w:val="00D3121B"/>
    <w:rsid w:val="00D32A53"/>
    <w:rsid w:val="00D33676"/>
    <w:rsid w:val="00D34879"/>
    <w:rsid w:val="00D36864"/>
    <w:rsid w:val="00D41F1D"/>
    <w:rsid w:val="00D449E2"/>
    <w:rsid w:val="00D51CB0"/>
    <w:rsid w:val="00D53A70"/>
    <w:rsid w:val="00D63A6A"/>
    <w:rsid w:val="00D64262"/>
    <w:rsid w:val="00D7466F"/>
    <w:rsid w:val="00D75EE0"/>
    <w:rsid w:val="00D80604"/>
    <w:rsid w:val="00D8081B"/>
    <w:rsid w:val="00D80AB6"/>
    <w:rsid w:val="00D810A8"/>
    <w:rsid w:val="00D90A41"/>
    <w:rsid w:val="00D94E51"/>
    <w:rsid w:val="00D965B8"/>
    <w:rsid w:val="00DA420A"/>
    <w:rsid w:val="00DA45E3"/>
    <w:rsid w:val="00DA7005"/>
    <w:rsid w:val="00DB2B82"/>
    <w:rsid w:val="00DD085F"/>
    <w:rsid w:val="00DD0D1A"/>
    <w:rsid w:val="00DD3989"/>
    <w:rsid w:val="00DE3817"/>
    <w:rsid w:val="00DE5B15"/>
    <w:rsid w:val="00DF0904"/>
    <w:rsid w:val="00DF1D99"/>
    <w:rsid w:val="00DF5CE0"/>
    <w:rsid w:val="00E00072"/>
    <w:rsid w:val="00E01E76"/>
    <w:rsid w:val="00E0230F"/>
    <w:rsid w:val="00E03610"/>
    <w:rsid w:val="00E126E5"/>
    <w:rsid w:val="00E16E6F"/>
    <w:rsid w:val="00E20E8A"/>
    <w:rsid w:val="00E25E94"/>
    <w:rsid w:val="00E2714A"/>
    <w:rsid w:val="00E32755"/>
    <w:rsid w:val="00E3311A"/>
    <w:rsid w:val="00E33558"/>
    <w:rsid w:val="00E458F8"/>
    <w:rsid w:val="00E47D14"/>
    <w:rsid w:val="00E50535"/>
    <w:rsid w:val="00E51941"/>
    <w:rsid w:val="00E52076"/>
    <w:rsid w:val="00E61649"/>
    <w:rsid w:val="00E6264B"/>
    <w:rsid w:val="00E70433"/>
    <w:rsid w:val="00E71AB1"/>
    <w:rsid w:val="00E74697"/>
    <w:rsid w:val="00E77872"/>
    <w:rsid w:val="00E81B6E"/>
    <w:rsid w:val="00E81CC5"/>
    <w:rsid w:val="00E84A29"/>
    <w:rsid w:val="00E84F8F"/>
    <w:rsid w:val="00E91CCC"/>
    <w:rsid w:val="00E97C6C"/>
    <w:rsid w:val="00EA4ADC"/>
    <w:rsid w:val="00EA64DB"/>
    <w:rsid w:val="00EA7169"/>
    <w:rsid w:val="00EB03B7"/>
    <w:rsid w:val="00EB04E1"/>
    <w:rsid w:val="00EB47EF"/>
    <w:rsid w:val="00EC03E3"/>
    <w:rsid w:val="00EC29A1"/>
    <w:rsid w:val="00EC30FE"/>
    <w:rsid w:val="00EC34C8"/>
    <w:rsid w:val="00EC3F3A"/>
    <w:rsid w:val="00EC4E13"/>
    <w:rsid w:val="00EC7CC2"/>
    <w:rsid w:val="00ED43C7"/>
    <w:rsid w:val="00EF323B"/>
    <w:rsid w:val="00F00639"/>
    <w:rsid w:val="00F00EB6"/>
    <w:rsid w:val="00F01B01"/>
    <w:rsid w:val="00F04C8B"/>
    <w:rsid w:val="00F11806"/>
    <w:rsid w:val="00F142D0"/>
    <w:rsid w:val="00F168E3"/>
    <w:rsid w:val="00F17965"/>
    <w:rsid w:val="00F34C7A"/>
    <w:rsid w:val="00F40C83"/>
    <w:rsid w:val="00F4351B"/>
    <w:rsid w:val="00F47CD8"/>
    <w:rsid w:val="00F62499"/>
    <w:rsid w:val="00F63952"/>
    <w:rsid w:val="00F6637A"/>
    <w:rsid w:val="00F71466"/>
    <w:rsid w:val="00F7361C"/>
    <w:rsid w:val="00F77C1F"/>
    <w:rsid w:val="00F83F4B"/>
    <w:rsid w:val="00F87320"/>
    <w:rsid w:val="00F93197"/>
    <w:rsid w:val="00F93AF8"/>
    <w:rsid w:val="00F964F6"/>
    <w:rsid w:val="00FA57F3"/>
    <w:rsid w:val="00FA59ED"/>
    <w:rsid w:val="00FA5B2F"/>
    <w:rsid w:val="00FD3001"/>
    <w:rsid w:val="00FE5F19"/>
    <w:rsid w:val="00FF66B8"/>
    <w:rsid w:val="00FF745A"/>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F48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character" w:styleId="CommentReference">
    <w:name w:val="annotation reference"/>
    <w:basedOn w:val="DefaultParagraphFont"/>
    <w:uiPriority w:val="99"/>
    <w:semiHidden/>
    <w:unhideWhenUsed/>
    <w:rsid w:val="009338FF"/>
    <w:rPr>
      <w:sz w:val="16"/>
      <w:szCs w:val="16"/>
    </w:rPr>
  </w:style>
  <w:style w:type="paragraph" w:styleId="CommentText">
    <w:name w:val="annotation text"/>
    <w:basedOn w:val="Normal"/>
    <w:link w:val="CommentTextChar"/>
    <w:uiPriority w:val="99"/>
    <w:semiHidden/>
    <w:unhideWhenUsed/>
    <w:rsid w:val="009338FF"/>
    <w:rPr>
      <w:sz w:val="20"/>
      <w:szCs w:val="20"/>
    </w:rPr>
  </w:style>
  <w:style w:type="character" w:customStyle="1" w:styleId="CommentTextChar">
    <w:name w:val="Comment Text Char"/>
    <w:basedOn w:val="DefaultParagraphFont"/>
    <w:link w:val="CommentText"/>
    <w:uiPriority w:val="99"/>
    <w:semiHidden/>
    <w:rsid w:val="009338FF"/>
    <w:rPr>
      <w:sz w:val="20"/>
      <w:szCs w:val="20"/>
    </w:rPr>
  </w:style>
  <w:style w:type="paragraph" w:styleId="CommentSubject">
    <w:name w:val="annotation subject"/>
    <w:basedOn w:val="CommentText"/>
    <w:next w:val="CommentText"/>
    <w:link w:val="CommentSubjectChar"/>
    <w:uiPriority w:val="99"/>
    <w:semiHidden/>
    <w:unhideWhenUsed/>
    <w:rsid w:val="009338FF"/>
    <w:rPr>
      <w:b/>
      <w:bCs/>
    </w:rPr>
  </w:style>
  <w:style w:type="character" w:customStyle="1" w:styleId="CommentSubjectChar">
    <w:name w:val="Comment Subject Char"/>
    <w:basedOn w:val="CommentTextChar"/>
    <w:link w:val="CommentSubject"/>
    <w:uiPriority w:val="99"/>
    <w:semiHidden/>
    <w:rsid w:val="009338FF"/>
    <w:rPr>
      <w:b/>
      <w:bCs/>
      <w:sz w:val="20"/>
      <w:szCs w:val="20"/>
    </w:rPr>
  </w:style>
  <w:style w:type="table" w:styleId="TableGrid">
    <w:name w:val="Table Grid"/>
    <w:basedOn w:val="TableNormal"/>
    <w:uiPriority w:val="59"/>
    <w:rsid w:val="00DE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F7DCC"/>
    <w:rPr>
      <w:color w:val="605E5C"/>
      <w:shd w:val="clear" w:color="auto" w:fill="E1DFDD"/>
    </w:rPr>
  </w:style>
  <w:style w:type="character" w:styleId="UnresolvedMention">
    <w:name w:val="Unresolved Mention"/>
    <w:basedOn w:val="DefaultParagraphFont"/>
    <w:uiPriority w:val="99"/>
    <w:semiHidden/>
    <w:unhideWhenUsed/>
    <w:rsid w:val="00B777F1"/>
    <w:rPr>
      <w:color w:val="605E5C"/>
      <w:shd w:val="clear" w:color="auto" w:fill="E1DFDD"/>
    </w:rPr>
  </w:style>
  <w:style w:type="paragraph" w:styleId="Revision">
    <w:name w:val="Revision"/>
    <w:hidden/>
    <w:uiPriority w:val="99"/>
    <w:semiHidden/>
    <w:rsid w:val="007E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269777113">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 w:id="1111634743">
      <w:bodyDiv w:val="1"/>
      <w:marLeft w:val="0"/>
      <w:marRight w:val="0"/>
      <w:marTop w:val="0"/>
      <w:marBottom w:val="0"/>
      <w:divBdr>
        <w:top w:val="none" w:sz="0" w:space="0" w:color="auto"/>
        <w:left w:val="none" w:sz="0" w:space="0" w:color="auto"/>
        <w:bottom w:val="none" w:sz="0" w:space="0" w:color="auto"/>
        <w:right w:val="none" w:sz="0" w:space="0" w:color="auto"/>
      </w:divBdr>
    </w:div>
    <w:div w:id="1201629065">
      <w:bodyDiv w:val="1"/>
      <w:marLeft w:val="0"/>
      <w:marRight w:val="0"/>
      <w:marTop w:val="0"/>
      <w:marBottom w:val="0"/>
      <w:divBdr>
        <w:top w:val="none" w:sz="0" w:space="0" w:color="auto"/>
        <w:left w:val="none" w:sz="0" w:space="0" w:color="auto"/>
        <w:bottom w:val="none" w:sz="0" w:space="0" w:color="auto"/>
        <w:right w:val="none" w:sz="0" w:space="0" w:color="auto"/>
      </w:divBdr>
    </w:div>
    <w:div w:id="1961496868">
      <w:bodyDiv w:val="1"/>
      <w:marLeft w:val="0"/>
      <w:marRight w:val="0"/>
      <w:marTop w:val="0"/>
      <w:marBottom w:val="0"/>
      <w:divBdr>
        <w:top w:val="none" w:sz="0" w:space="0" w:color="auto"/>
        <w:left w:val="none" w:sz="0" w:space="0" w:color="auto"/>
        <w:bottom w:val="none" w:sz="0" w:space="0" w:color="auto"/>
        <w:right w:val="none" w:sz="0" w:space="0" w:color="auto"/>
      </w:divBdr>
    </w:div>
    <w:div w:id="20834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txstate.edu/student/Public-Student-Reports/Enrollment-by-Demographic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txstate.edu/student/Public-Student-Reports/Degrees-Awarded-By-Leve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txstate.edu/student/Public-Student-Reports/Enrollment-by-Program.html" TargetMode="External"/><Relationship Id="rId4" Type="http://schemas.openxmlformats.org/officeDocument/2006/relationships/settings" Target="settings.xml"/><Relationship Id="rId9" Type="http://schemas.openxmlformats.org/officeDocument/2006/relationships/hyperlink" Target="https://www.ir.txstate.edu/ir-self-servic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5DB3-EEAF-471F-882A-142B006F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Maggie</dc:creator>
  <cp:lastModifiedBy>Hutchins-Wagner, Maggie B</cp:lastModifiedBy>
  <cp:revision>10</cp:revision>
  <cp:lastPrinted>2019-09-04T14:18:00Z</cp:lastPrinted>
  <dcterms:created xsi:type="dcterms:W3CDTF">2021-06-24T20:37:00Z</dcterms:created>
  <dcterms:modified xsi:type="dcterms:W3CDTF">2021-10-14T15:55:00Z</dcterms:modified>
</cp:coreProperties>
</file>