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5EEDAF8D" w:rsidR="002E1E19" w:rsidRPr="00436740" w:rsidRDefault="002E1E19" w:rsidP="002E1E19">
      <w:pPr>
        <w:spacing w:after="0"/>
        <w:jc w:val="center"/>
        <w:rPr>
          <w:rFonts w:ascii="Cambria" w:eastAsia="MS Mincho" w:hAnsi="Cambria" w:cs="Times New Roman"/>
          <w:b/>
          <w:sz w:val="20"/>
          <w:szCs w:val="20"/>
        </w:rPr>
      </w:pPr>
      <w:r w:rsidRPr="00436740">
        <w:rPr>
          <w:rFonts w:ascii="Cambria" w:eastAsia="MS Mincho" w:hAnsi="Cambria" w:cs="Times New Roman"/>
          <w:b/>
          <w:sz w:val="20"/>
          <w:szCs w:val="20"/>
        </w:rPr>
        <w:t>Faculty Senate Minutes</w:t>
      </w:r>
    </w:p>
    <w:p w14:paraId="7B13033D" w14:textId="5EA267FF" w:rsidR="002E1E19" w:rsidRPr="00436740" w:rsidRDefault="002E1E19" w:rsidP="002E1E19">
      <w:pPr>
        <w:spacing w:after="0"/>
        <w:jc w:val="center"/>
        <w:rPr>
          <w:rFonts w:ascii="Cambria" w:eastAsia="MS Mincho" w:hAnsi="Cambria" w:cs="Times New Roman"/>
          <w:sz w:val="20"/>
          <w:szCs w:val="20"/>
        </w:rPr>
      </w:pPr>
      <w:r w:rsidRPr="00436740">
        <w:rPr>
          <w:rFonts w:ascii="Cambria" w:eastAsia="MS Mincho" w:hAnsi="Cambria" w:cs="Times New Roman"/>
          <w:sz w:val="20"/>
          <w:szCs w:val="20"/>
        </w:rPr>
        <w:t xml:space="preserve">Wednesday, </w:t>
      </w:r>
      <w:r w:rsidR="00620171" w:rsidRPr="00436740">
        <w:rPr>
          <w:rFonts w:ascii="Cambria" w:eastAsia="MS Mincho" w:hAnsi="Cambria" w:cs="Times New Roman"/>
          <w:sz w:val="20"/>
          <w:szCs w:val="20"/>
        </w:rPr>
        <w:t>November 13</w:t>
      </w:r>
      <w:r w:rsidRPr="00436740">
        <w:rPr>
          <w:rFonts w:ascii="Cambria" w:eastAsia="MS Mincho" w:hAnsi="Cambria" w:cs="Times New Roman"/>
          <w:sz w:val="20"/>
          <w:szCs w:val="20"/>
        </w:rPr>
        <w:t>, 2019</w:t>
      </w:r>
    </w:p>
    <w:p w14:paraId="23702D94" w14:textId="0A7B419B" w:rsidR="002E1E19" w:rsidRPr="00436740" w:rsidRDefault="00620171" w:rsidP="002E1E19">
      <w:pPr>
        <w:spacing w:after="0"/>
        <w:jc w:val="center"/>
        <w:rPr>
          <w:rFonts w:ascii="Cambria" w:eastAsia="MS Mincho" w:hAnsi="Cambria" w:cs="Times New Roman"/>
          <w:sz w:val="20"/>
          <w:szCs w:val="20"/>
        </w:rPr>
      </w:pPr>
      <w:r w:rsidRPr="00436740">
        <w:rPr>
          <w:rFonts w:ascii="Cambria" w:eastAsia="MS Mincho" w:hAnsi="Cambria" w:cs="Times New Roman"/>
          <w:sz w:val="20"/>
          <w:szCs w:val="20"/>
        </w:rPr>
        <w:t xml:space="preserve">Round Rock Campus, Willow Hall </w:t>
      </w:r>
      <w:proofErr w:type="gramStart"/>
      <w:r w:rsidRPr="00436740">
        <w:rPr>
          <w:rFonts w:ascii="Cambria" w:eastAsia="MS Mincho" w:hAnsi="Cambria" w:cs="Times New Roman"/>
          <w:sz w:val="20"/>
          <w:szCs w:val="20"/>
        </w:rPr>
        <w:t xml:space="preserve">212 </w:t>
      </w:r>
      <w:r w:rsidR="00DC6966" w:rsidRPr="00436740">
        <w:rPr>
          <w:rFonts w:ascii="Cambria" w:eastAsia="MS Mincho" w:hAnsi="Cambria" w:cs="Times New Roman"/>
          <w:sz w:val="20"/>
          <w:szCs w:val="20"/>
        </w:rPr>
        <w:t>,</w:t>
      </w:r>
      <w:proofErr w:type="gramEnd"/>
      <w:r w:rsidR="00DC6966" w:rsidRPr="00436740">
        <w:rPr>
          <w:rFonts w:ascii="Cambria" w:eastAsia="MS Mincho" w:hAnsi="Cambria" w:cs="Times New Roman"/>
          <w:sz w:val="20"/>
          <w:szCs w:val="20"/>
        </w:rPr>
        <w:t xml:space="preserve"> </w:t>
      </w:r>
      <w:r w:rsidRPr="00436740">
        <w:rPr>
          <w:rFonts w:ascii="Cambria" w:eastAsia="MS Mincho" w:hAnsi="Cambria" w:cs="Times New Roman"/>
          <w:sz w:val="20"/>
          <w:szCs w:val="20"/>
        </w:rPr>
        <w:t>4:0</w:t>
      </w:r>
      <w:r w:rsidR="00912E2C" w:rsidRPr="00436740">
        <w:rPr>
          <w:rFonts w:ascii="Cambria" w:eastAsia="MS Mincho" w:hAnsi="Cambria" w:cs="Times New Roman"/>
          <w:sz w:val="20"/>
          <w:szCs w:val="20"/>
        </w:rPr>
        <w:t>0</w:t>
      </w:r>
      <w:r w:rsidR="002E1E19" w:rsidRPr="00436740">
        <w:rPr>
          <w:rFonts w:ascii="Cambria" w:eastAsia="MS Mincho" w:hAnsi="Cambria" w:cs="Times New Roman"/>
          <w:sz w:val="20"/>
          <w:szCs w:val="20"/>
        </w:rPr>
        <w:t xml:space="preserve"> p.m. – 6:00 p.m.</w:t>
      </w:r>
    </w:p>
    <w:p w14:paraId="0B861B33" w14:textId="77777777" w:rsidR="00322525" w:rsidRPr="00436740" w:rsidRDefault="00322525" w:rsidP="00322525">
      <w:pPr>
        <w:rPr>
          <w:rFonts w:ascii="Cambria" w:hAnsi="Cambria" w:cs="Times New Roman"/>
          <w:sz w:val="20"/>
          <w:szCs w:val="20"/>
        </w:rPr>
      </w:pPr>
    </w:p>
    <w:p w14:paraId="2A61DB89" w14:textId="197395E2" w:rsidR="00322525" w:rsidRPr="00436740" w:rsidRDefault="00322525" w:rsidP="00322525">
      <w:pPr>
        <w:rPr>
          <w:rFonts w:ascii="Cambria" w:hAnsi="Cambria" w:cs="Times New Roman"/>
          <w:sz w:val="20"/>
          <w:szCs w:val="20"/>
        </w:rPr>
      </w:pPr>
      <w:r w:rsidRPr="00436740">
        <w:rPr>
          <w:rFonts w:ascii="Cambria" w:hAnsi="Cambria" w:cs="Times New Roman"/>
          <w:b/>
          <w:sz w:val="20"/>
          <w:szCs w:val="20"/>
        </w:rPr>
        <w:t>Attending</w:t>
      </w:r>
      <w:r w:rsidRPr="00436740">
        <w:rPr>
          <w:rFonts w:ascii="Cambria" w:hAnsi="Cambria" w:cs="Times New Roman"/>
          <w:sz w:val="20"/>
          <w:szCs w:val="20"/>
        </w:rPr>
        <w:t xml:space="preserve"> </w:t>
      </w:r>
      <w:r w:rsidRPr="00436740">
        <w:rPr>
          <w:rFonts w:ascii="Cambria" w:hAnsi="Cambria" w:cs="Times New Roman"/>
          <w:b/>
          <w:bCs/>
          <w:sz w:val="20"/>
          <w:szCs w:val="20"/>
        </w:rPr>
        <w:t>Senators</w:t>
      </w:r>
      <w:r w:rsidRPr="00436740">
        <w:rPr>
          <w:rFonts w:ascii="Cambria" w:hAnsi="Cambria" w:cs="Times New Roman"/>
          <w:sz w:val="20"/>
          <w:szCs w:val="20"/>
        </w:rPr>
        <w:t xml:space="preserve">: Rebecca Bell-Metereau, </w:t>
      </w:r>
      <w:r w:rsidR="00FD3568" w:rsidRPr="00436740">
        <w:rPr>
          <w:rFonts w:ascii="Cambria" w:hAnsi="Cambria" w:cs="Times New Roman"/>
          <w:sz w:val="20"/>
          <w:szCs w:val="20"/>
        </w:rPr>
        <w:t xml:space="preserve">Janet Bezner, </w:t>
      </w:r>
      <w:r w:rsidR="00B65C1A" w:rsidRPr="00436740">
        <w:rPr>
          <w:rFonts w:ascii="Cambria" w:hAnsi="Cambria" w:cs="Times New Roman"/>
          <w:sz w:val="20"/>
          <w:szCs w:val="20"/>
        </w:rPr>
        <w:t xml:space="preserve">Natalie Ceballos, </w:t>
      </w:r>
      <w:r w:rsidRPr="00436740">
        <w:rPr>
          <w:rFonts w:ascii="Cambria" w:hAnsi="Cambria" w:cs="Times New Roman"/>
          <w:sz w:val="20"/>
          <w:szCs w:val="20"/>
        </w:rPr>
        <w:t xml:space="preserve">Rachel Davenport, </w:t>
      </w:r>
      <w:r w:rsidR="00B65C1A" w:rsidRPr="00436740">
        <w:rPr>
          <w:rFonts w:ascii="Cambria" w:hAnsi="Cambria" w:cs="Times New Roman"/>
          <w:sz w:val="20"/>
          <w:szCs w:val="20"/>
        </w:rPr>
        <w:t xml:space="preserve">Jesse Gainer, </w:t>
      </w:r>
      <w:r w:rsidRPr="00436740">
        <w:rPr>
          <w:rFonts w:ascii="Cambria" w:hAnsi="Cambria" w:cs="Times New Roman"/>
          <w:sz w:val="20"/>
          <w:szCs w:val="20"/>
        </w:rPr>
        <w:t xml:space="preserve">Jennifer Jensen, Lynn Ledbetter, </w:t>
      </w:r>
      <w:r w:rsidR="0053230C" w:rsidRPr="00436740">
        <w:rPr>
          <w:rFonts w:ascii="Cambria" w:hAnsi="Cambria" w:cs="Times New Roman"/>
          <w:sz w:val="20"/>
          <w:szCs w:val="20"/>
        </w:rPr>
        <w:t xml:space="preserve">Vince Luizzi, </w:t>
      </w:r>
      <w:r w:rsidRPr="00436740">
        <w:rPr>
          <w:rFonts w:ascii="Cambria" w:hAnsi="Cambria" w:cs="Times New Roman"/>
          <w:sz w:val="20"/>
          <w:szCs w:val="20"/>
        </w:rPr>
        <w:t>Benjamin Martin, Stan McClellan, David Nolan, Michael Supancic, Diego Vacaflores, Nicole Wesley.</w:t>
      </w:r>
    </w:p>
    <w:p w14:paraId="7E99D83D" w14:textId="2A1D1509" w:rsidR="002E1E19" w:rsidRPr="00436740" w:rsidRDefault="00322525" w:rsidP="00322525">
      <w:pPr>
        <w:rPr>
          <w:rFonts w:ascii="Cambria" w:hAnsi="Cambria" w:cs="Times New Roman"/>
          <w:sz w:val="20"/>
          <w:szCs w:val="20"/>
        </w:rPr>
      </w:pPr>
      <w:r w:rsidRPr="00436740">
        <w:rPr>
          <w:rFonts w:ascii="Cambria" w:hAnsi="Cambria" w:cs="Times New Roman"/>
          <w:b/>
          <w:sz w:val="20"/>
          <w:szCs w:val="20"/>
        </w:rPr>
        <w:t>Guests</w:t>
      </w:r>
      <w:r w:rsidRPr="00436740">
        <w:rPr>
          <w:rFonts w:ascii="Cambria" w:hAnsi="Cambria" w:cs="Times New Roman"/>
          <w:sz w:val="20"/>
          <w:szCs w:val="20"/>
        </w:rPr>
        <w:t xml:space="preserve">: </w:t>
      </w:r>
      <w:r w:rsidR="002E1E19" w:rsidRPr="00436740">
        <w:rPr>
          <w:rFonts w:ascii="Cambria" w:hAnsi="Cambria" w:cs="Times New Roman"/>
          <w:sz w:val="20"/>
          <w:szCs w:val="20"/>
        </w:rPr>
        <w:t>Stephanie Towery (Library), Shannon Duffy (Senate Fellow).</w:t>
      </w:r>
    </w:p>
    <w:p w14:paraId="54D04C65" w14:textId="065F84BA" w:rsidR="00CB4E61" w:rsidRPr="00436740" w:rsidRDefault="00322525" w:rsidP="002E1E19">
      <w:pPr>
        <w:rPr>
          <w:rFonts w:ascii="Cambria" w:hAnsi="Cambria" w:cs="Times New Roman"/>
          <w:sz w:val="20"/>
          <w:szCs w:val="20"/>
        </w:rPr>
      </w:pPr>
      <w:r w:rsidRPr="00436740">
        <w:rPr>
          <w:rFonts w:ascii="Cambria" w:hAnsi="Cambria" w:cs="Times New Roman"/>
          <w:sz w:val="20"/>
          <w:szCs w:val="20"/>
        </w:rPr>
        <w:t xml:space="preserve">Meeting called to order at </w:t>
      </w:r>
      <w:r w:rsidR="00620171" w:rsidRPr="00436740">
        <w:rPr>
          <w:rFonts w:ascii="Cambria" w:hAnsi="Cambria" w:cs="Times New Roman"/>
          <w:sz w:val="20"/>
          <w:szCs w:val="20"/>
        </w:rPr>
        <w:t>4</w:t>
      </w:r>
      <w:r w:rsidRPr="00436740">
        <w:rPr>
          <w:rFonts w:ascii="Cambria" w:hAnsi="Cambria" w:cs="Times New Roman"/>
          <w:sz w:val="20"/>
          <w:szCs w:val="20"/>
        </w:rPr>
        <w:t>:</w:t>
      </w:r>
      <w:r w:rsidR="00620171" w:rsidRPr="00436740">
        <w:rPr>
          <w:rFonts w:ascii="Cambria" w:hAnsi="Cambria" w:cs="Times New Roman"/>
          <w:sz w:val="20"/>
          <w:szCs w:val="20"/>
        </w:rPr>
        <w:t>0</w:t>
      </w:r>
      <w:r w:rsidR="00912E2C" w:rsidRPr="00436740">
        <w:rPr>
          <w:rFonts w:ascii="Cambria" w:hAnsi="Cambria" w:cs="Times New Roman"/>
          <w:sz w:val="20"/>
          <w:szCs w:val="20"/>
        </w:rPr>
        <w:t>7</w:t>
      </w:r>
      <w:r w:rsidRPr="00436740">
        <w:rPr>
          <w:rFonts w:ascii="Cambria" w:hAnsi="Cambria" w:cs="Times New Roman"/>
          <w:sz w:val="20"/>
          <w:szCs w:val="20"/>
        </w:rPr>
        <w:t xml:space="preserve"> p.m. by </w:t>
      </w:r>
      <w:r w:rsidR="00620171" w:rsidRPr="00436740">
        <w:rPr>
          <w:rFonts w:ascii="Cambria" w:hAnsi="Cambria" w:cs="Times New Roman"/>
          <w:sz w:val="20"/>
          <w:szCs w:val="20"/>
        </w:rPr>
        <w:t>Senate Chair Bezner</w:t>
      </w:r>
      <w:r w:rsidR="007D35DB" w:rsidRPr="00436740">
        <w:rPr>
          <w:rFonts w:ascii="Cambria" w:hAnsi="Cambria" w:cs="Times New Roman"/>
          <w:sz w:val="20"/>
          <w:szCs w:val="20"/>
        </w:rPr>
        <w:t>.</w:t>
      </w:r>
    </w:p>
    <w:p w14:paraId="1B0CA5F5" w14:textId="77777777" w:rsidR="00620171" w:rsidRPr="00436740" w:rsidRDefault="00620171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Follow up from PAAG November 6, 2019</w:t>
      </w:r>
    </w:p>
    <w:p w14:paraId="4BE9BB39" w14:textId="4FC628DF" w:rsidR="005218BF" w:rsidRPr="00436740" w:rsidRDefault="00DA0AE1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d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>iscuss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ed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the November 6, 2019, 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>PAAG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meeting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. </w:t>
      </w:r>
    </w:p>
    <w:p w14:paraId="4F4771BC" w14:textId="66CB8806" w:rsidR="00620171" w:rsidRPr="00436740" w:rsidRDefault="00DA0AE1" w:rsidP="005218BF">
      <w:pPr>
        <w:pStyle w:val="ListParagraph"/>
        <w:numPr>
          <w:ilvl w:val="0"/>
          <w:numId w:val="2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addressed the b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>udget issues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raised by the administration and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the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increased numbers of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undergraduate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students enrolling in new programs. There is a concern that there could be a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negative </w:t>
      </w:r>
      <w:r w:rsidR="00885F8F" w:rsidRPr="00436740">
        <w:rPr>
          <w:rFonts w:ascii="Cambria" w:eastAsia="Times New Roman" w:hAnsi="Cambria" w:cs="Arial"/>
          <w:color w:val="000000"/>
          <w:sz w:val="20"/>
          <w:szCs w:val="20"/>
        </w:rPr>
        <w:t>peripheral impact on other programs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, especially in the general education core, with increased numbers of students. New programs </w:t>
      </w:r>
      <w:r w:rsidR="00EE347F" w:rsidRPr="00436740">
        <w:rPr>
          <w:rFonts w:ascii="Cambria" w:eastAsia="Times New Roman" w:hAnsi="Cambria" w:cs="Arial"/>
          <w:color w:val="000000"/>
          <w:sz w:val="20"/>
          <w:szCs w:val="20"/>
        </w:rPr>
        <w:t>usually are allocated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new faculty lines</w:t>
      </w:r>
      <w:r w:rsidR="00CB2D1E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CB2D1E" w:rsidRPr="00436740">
        <w:rPr>
          <w:rFonts w:ascii="Cambria" w:eastAsia="Times New Roman" w:hAnsi="Cambria" w:cs="Arial"/>
          <w:color w:val="000000"/>
          <w:sz w:val="20"/>
          <w:szCs w:val="20"/>
        </w:rPr>
        <w:t>H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owever, students must first move through university core courses in units that may not have the faculty to cover the increasing numbers of students.</w:t>
      </w:r>
    </w:p>
    <w:p w14:paraId="66046F0A" w14:textId="4F415AD0" w:rsidR="005218BF" w:rsidRPr="00436740" w:rsidRDefault="00DA0AE1" w:rsidP="005218BF">
      <w:pPr>
        <w:pStyle w:val="ListParagraph"/>
        <w:numPr>
          <w:ilvl w:val="0"/>
          <w:numId w:val="2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addressed the negative </w:t>
      </w:r>
      <w:r w:rsidR="005C27A2" w:rsidRPr="00436740">
        <w:rPr>
          <w:rFonts w:ascii="Cambria" w:eastAsia="Times New Roman" w:hAnsi="Cambria" w:cs="Arial"/>
          <w:color w:val="000000"/>
          <w:sz w:val="20"/>
          <w:szCs w:val="20"/>
        </w:rPr>
        <w:t>effects of the budget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5218B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on faculty </w:t>
      </w:r>
      <w:r w:rsidR="005C27A2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morale </w:t>
      </w:r>
      <w:r w:rsidR="005218B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and </w:t>
      </w:r>
      <w:r w:rsidR="005C27A2" w:rsidRPr="00436740">
        <w:rPr>
          <w:rFonts w:ascii="Cambria" w:eastAsia="Times New Roman" w:hAnsi="Cambria" w:cs="Arial"/>
          <w:color w:val="000000"/>
          <w:sz w:val="20"/>
          <w:szCs w:val="20"/>
        </w:rPr>
        <w:t>the continued erosion of pay as merit raises do not cover inflation.</w:t>
      </w:r>
    </w:p>
    <w:p w14:paraId="274AC12B" w14:textId="48F14350" w:rsidR="005218BF" w:rsidRPr="00436740" w:rsidRDefault="005C27A2" w:rsidP="005218BF">
      <w:pPr>
        <w:pStyle w:val="ListParagraph"/>
        <w:numPr>
          <w:ilvl w:val="0"/>
          <w:numId w:val="2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d</w:t>
      </w:r>
      <w:r w:rsidR="005218BF" w:rsidRPr="00436740">
        <w:rPr>
          <w:rFonts w:ascii="Cambria" w:eastAsia="Times New Roman" w:hAnsi="Cambria" w:cs="Arial"/>
          <w:color w:val="000000"/>
          <w:sz w:val="20"/>
          <w:szCs w:val="20"/>
        </w:rPr>
        <w:t>iscuss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ed</w:t>
      </w:r>
      <w:r w:rsidR="005218B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the answers by the administration </w:t>
      </w:r>
      <w:proofErr w:type="gramStart"/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concerning </w:t>
      </w:r>
      <w:r w:rsidR="005218B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environmental</w:t>
      </w:r>
      <w:proofErr w:type="gramEnd"/>
      <w:r w:rsidR="005218B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sustainability issues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raised 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by the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senate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.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suggested that we should 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look at benchmarked universities. </w:t>
      </w:r>
      <w:r w:rsidR="00CB2D1E" w:rsidRPr="00436740">
        <w:rPr>
          <w:rFonts w:ascii="Cambria" w:eastAsia="Times New Roman" w:hAnsi="Cambria" w:cs="Arial"/>
          <w:color w:val="000000"/>
          <w:sz w:val="20"/>
          <w:szCs w:val="20"/>
        </w:rPr>
        <w:t>In the meantime, t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he university administration should try to lessen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our environmental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footprint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(use less paper, electronic only, etc.).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suggested that we 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ask </w:t>
      </w:r>
      <w:r w:rsidRPr="00436740">
        <w:rPr>
          <w:rFonts w:ascii="Cambria" w:eastAsia="Times New Roman" w:hAnsi="Cambria" w:cs="Calibri"/>
          <w:color w:val="000000"/>
          <w:sz w:val="20"/>
          <w:szCs w:val="20"/>
        </w:rPr>
        <w:t>Mr. Eric Algoe, vice president for Finance and Support Services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, 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to attend a future senate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meeting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Senate Chair Bezner will extend an invitation to Mr. Algoe.</w:t>
      </w:r>
    </w:p>
    <w:p w14:paraId="17731B6E" w14:textId="74704F6B" w:rsidR="00C23946" w:rsidRPr="00436740" w:rsidRDefault="005C27A2" w:rsidP="0037143A">
      <w:pPr>
        <w:pStyle w:val="ListParagraph"/>
        <w:numPr>
          <w:ilvl w:val="0"/>
          <w:numId w:val="2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discussed creating a t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>ask force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,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as suggested by the administration, 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to look at adding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an 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environmental designation to courses. </w:t>
      </w:r>
      <w:r w:rsidR="0037143A" w:rsidRPr="00436740">
        <w:rPr>
          <w:rFonts w:ascii="Cambria" w:eastAsia="Times New Roman" w:hAnsi="Cambria" w:cs="Arial"/>
          <w:color w:val="000000"/>
          <w:sz w:val="20"/>
          <w:szCs w:val="20"/>
        </w:rPr>
        <w:t>Senators suggested we discuss the issue with Dr. Vedaraman Sriraman, associate vice president for Academic Affairs, to begin the process.</w:t>
      </w:r>
    </w:p>
    <w:p w14:paraId="488DDB3E" w14:textId="6AB0382A" w:rsidR="00D51F08" w:rsidRPr="00436740" w:rsidRDefault="0086341B" w:rsidP="0086341B">
      <w:pPr>
        <w:pStyle w:val="ListParagraph"/>
        <w:numPr>
          <w:ilvl w:val="0"/>
          <w:numId w:val="2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discussed the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issues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brought up by the administration concerning </w:t>
      </w:r>
      <w:r w:rsidR="00C23946" w:rsidRPr="00436740">
        <w:rPr>
          <w:rFonts w:ascii="Cambria" w:eastAsia="Times New Roman" w:hAnsi="Cambria" w:cs="Arial"/>
          <w:color w:val="000000"/>
          <w:sz w:val="20"/>
          <w:szCs w:val="20"/>
        </w:rPr>
        <w:t>the departing chief diversity officer</w:t>
      </w:r>
      <w:r w:rsidR="00D51F08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and the office of diversity and inclusion.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D51F08" w:rsidRPr="00436740">
        <w:rPr>
          <w:rFonts w:ascii="Cambria" w:eastAsia="Times New Roman" w:hAnsi="Cambria" w:cs="Arial"/>
          <w:color w:val="000000"/>
          <w:sz w:val="20"/>
          <w:szCs w:val="20"/>
        </w:rPr>
        <w:t>Discuss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ion centered around</w:t>
      </w:r>
      <w:r w:rsidR="00D51F08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the possible solution that the administration has suggested of including all diversity and inclusion issues under one umbrella.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Senate Chair Bezner announced that </w:t>
      </w:r>
      <w:r w:rsidRPr="00436740">
        <w:rPr>
          <w:rFonts w:ascii="Cambria" w:eastAsia="Times New Roman" w:hAnsi="Cambria" w:cs="Calibri"/>
          <w:color w:val="000000"/>
          <w:sz w:val="20"/>
          <w:szCs w:val="20"/>
        </w:rPr>
        <w:t xml:space="preserve">Dr. Scott Bowman, special assistant to the provost for inclusion and diversity, 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will be at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the Faculty Senate meeting on November 20, 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and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CB2D1E" w:rsidRPr="00436740">
        <w:rPr>
          <w:rFonts w:ascii="Cambria" w:eastAsia="Times New Roman" w:hAnsi="Cambria" w:cs="Arial"/>
          <w:color w:val="000000"/>
          <w:sz w:val="20"/>
          <w:szCs w:val="20"/>
        </w:rPr>
        <w:t>could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discuss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any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ideas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with him at that time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14:paraId="20E230F6" w14:textId="7C07B0CF" w:rsidR="00D27F3F" w:rsidRPr="00436740" w:rsidRDefault="00D27F3F" w:rsidP="00D27F3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Format for Policy Review Edits</w:t>
      </w:r>
    </w:p>
    <w:p w14:paraId="162B451C" w14:textId="0114FAEB" w:rsidR="00D27F3F" w:rsidRPr="00436740" w:rsidRDefault="007B2CB8" w:rsidP="00D27F3F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  <w:sz w:val="20"/>
          <w:szCs w:val="20"/>
        </w:rPr>
      </w:pPr>
      <w:r w:rsidRPr="00436740">
        <w:rPr>
          <w:rFonts w:ascii="Cambria" w:eastAsia="Times New Roman" w:hAnsi="Cambria" w:cs="Arial"/>
          <w:color w:val="201F1E"/>
          <w:sz w:val="20"/>
          <w:szCs w:val="20"/>
        </w:rPr>
        <w:t>There has been a change in the policy review process that senators have used in the past. Senators dis</w:t>
      </w:r>
      <w:r w:rsidR="0058667A" w:rsidRPr="00436740">
        <w:rPr>
          <w:rFonts w:ascii="Cambria" w:eastAsia="Times New Roman" w:hAnsi="Cambria" w:cs="Arial"/>
          <w:color w:val="201F1E"/>
          <w:sz w:val="20"/>
          <w:szCs w:val="20"/>
        </w:rPr>
        <w:t>c</w:t>
      </w:r>
      <w:r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ussed the </w:t>
      </w:r>
      <w:r w:rsidR="0058667A" w:rsidRPr="00436740">
        <w:rPr>
          <w:rFonts w:ascii="Cambria" w:eastAsia="Times New Roman" w:hAnsi="Cambria" w:cs="Arial"/>
          <w:color w:val="201F1E"/>
          <w:sz w:val="20"/>
          <w:szCs w:val="20"/>
        </w:rPr>
        <w:t>format changes,</w:t>
      </w:r>
      <w:r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 reviewed the </w:t>
      </w:r>
      <w:r w:rsidR="001D3695"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revised Senate </w:t>
      </w:r>
      <w:r w:rsidR="0058667A" w:rsidRPr="00436740">
        <w:rPr>
          <w:rFonts w:ascii="Cambria" w:eastAsia="Times New Roman" w:hAnsi="Cambria" w:cs="Arial"/>
          <w:color w:val="201F1E"/>
          <w:sz w:val="20"/>
          <w:szCs w:val="20"/>
        </w:rPr>
        <w:t>guidelines,</w:t>
      </w:r>
      <w:r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 and suggested some changes</w:t>
      </w:r>
      <w:r w:rsidR="0058667A"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. The </w:t>
      </w:r>
      <w:r w:rsidRPr="00436740">
        <w:rPr>
          <w:rFonts w:ascii="Cambria" w:eastAsia="Times New Roman" w:hAnsi="Cambria" w:cs="Arial"/>
          <w:color w:val="201F1E"/>
          <w:sz w:val="20"/>
          <w:szCs w:val="20"/>
        </w:rPr>
        <w:t>n</w:t>
      </w:r>
      <w:r w:rsidR="00D27F3F" w:rsidRPr="00436740">
        <w:rPr>
          <w:rFonts w:ascii="Cambria" w:eastAsia="Times New Roman" w:hAnsi="Cambria" w:cs="Arial"/>
          <w:color w:val="201F1E"/>
          <w:sz w:val="20"/>
          <w:szCs w:val="20"/>
        </w:rPr>
        <w:t>ew</w:t>
      </w:r>
      <w:r w:rsidR="0058667A"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 </w:t>
      </w:r>
      <w:r w:rsidR="001D3695"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Senate </w:t>
      </w:r>
      <w:r w:rsidR="0058667A" w:rsidRPr="00436740">
        <w:rPr>
          <w:rFonts w:ascii="Cambria" w:eastAsia="Times New Roman" w:hAnsi="Cambria" w:cs="Arial"/>
          <w:color w:val="201F1E"/>
          <w:sz w:val="20"/>
          <w:szCs w:val="20"/>
        </w:rPr>
        <w:t>policy review</w:t>
      </w:r>
      <w:r w:rsidR="00D27F3F"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color w:val="201F1E"/>
          <w:sz w:val="20"/>
          <w:szCs w:val="20"/>
        </w:rPr>
        <w:t>guideline</w:t>
      </w:r>
      <w:r w:rsidR="0058667A"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 </w:t>
      </w:r>
      <w:r w:rsidR="00D27F3F" w:rsidRPr="00436740">
        <w:rPr>
          <w:rFonts w:ascii="Cambria" w:eastAsia="Times New Roman" w:hAnsi="Cambria" w:cs="Arial"/>
          <w:color w:val="201F1E"/>
          <w:sz w:val="20"/>
          <w:szCs w:val="20"/>
        </w:rPr>
        <w:t>document</w:t>
      </w:r>
      <w:r w:rsidR="00D9508E" w:rsidRPr="00436740">
        <w:rPr>
          <w:rFonts w:ascii="Cambria" w:eastAsia="Times New Roman" w:hAnsi="Cambria" w:cs="Arial"/>
          <w:color w:val="201F1E"/>
          <w:sz w:val="20"/>
          <w:szCs w:val="20"/>
        </w:rPr>
        <w:t xml:space="preserve"> will be available to senators on the Faculty Senate TRACS site.</w:t>
      </w:r>
    </w:p>
    <w:p w14:paraId="3F5B26B2" w14:textId="0094846E" w:rsidR="00D27F3F" w:rsidRPr="00436740" w:rsidRDefault="00D27F3F" w:rsidP="00D27F3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University Lecture</w:t>
      </w:r>
      <w:r w:rsidR="00436740" w:rsidRPr="00D81FE1">
        <w:rPr>
          <w:rFonts w:ascii="Cambria" w:eastAsia="Times New Roman" w:hAnsi="Cambria" w:cs="Arial"/>
          <w:b/>
          <w:sz w:val="20"/>
          <w:szCs w:val="20"/>
        </w:rPr>
        <w:t>rs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Series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R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eview of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R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evised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R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ubric</w:t>
      </w:r>
    </w:p>
    <w:p w14:paraId="5667019E" w14:textId="75BA52B9" w:rsidR="00CB2D1E" w:rsidRPr="00436740" w:rsidRDefault="00CB2D1E" w:rsidP="00D27F3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discussed the 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revised rubric.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The committee is trying to make the rubric 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>clear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er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and more transparent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with more</w:t>
      </w:r>
      <w:r w:rsidR="00D27F3F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detailed descriptions.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The current c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riteria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will remain the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same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, however, the w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eighting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for items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>has been revised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.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The number of p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oints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used to score proposals 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are not chang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ing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,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the rubric is simply providing a better 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explanation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for reviewers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.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did have some c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oncerns over the complexity of the new rubric. </w:t>
      </w:r>
    </w:p>
    <w:p w14:paraId="27E2307C" w14:textId="1BA54FBB" w:rsidR="00D27F3F" w:rsidRPr="00436740" w:rsidRDefault="00CB2D1E" w:rsidP="00D27F3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voted unanimously to 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suspend the rules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. </w:t>
      </w:r>
      <w:r w:rsidR="0069558B" w:rsidRPr="00436740">
        <w:rPr>
          <w:rFonts w:ascii="Cambria" w:eastAsia="Times New Roman" w:hAnsi="Cambria" w:cs="Arial"/>
          <w:color w:val="000000"/>
          <w:sz w:val="20"/>
          <w:szCs w:val="20"/>
        </w:rPr>
        <w:t>Senators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voted to approve the new rubric.</w:t>
      </w:r>
    </w:p>
    <w:p w14:paraId="26E85601" w14:textId="59F1FAC9" w:rsidR="00D27F3F" w:rsidRPr="00436740" w:rsidRDefault="00D27F3F" w:rsidP="00D27F3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Revisions to AA/PPS 04.01.50,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P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olicy on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A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warding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F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aculty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M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erit </w:t>
      </w:r>
      <w:r w:rsidR="00AE5A04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R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aises</w:t>
      </w:r>
    </w:p>
    <w:p w14:paraId="49A34BF3" w14:textId="313EE8D7" w:rsidR="00C2230D" w:rsidRPr="00436740" w:rsidRDefault="00D9508E" w:rsidP="00500D66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discussed the proposed changes to </w:t>
      </w:r>
      <w:r w:rsidR="0069558B" w:rsidRPr="00436740">
        <w:rPr>
          <w:rFonts w:ascii="Cambria" w:eastAsia="Times New Roman" w:hAnsi="Cambria" w:cs="Arial"/>
          <w:color w:val="000000"/>
          <w:sz w:val="20"/>
          <w:szCs w:val="20"/>
        </w:rPr>
        <w:t>AA/PPS 04.01.50 Awarding Faculty Merit Raises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69558B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>Discussion</w:t>
      </w:r>
      <w:r w:rsidR="0069558B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center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>ed</w:t>
      </w:r>
      <w:r w:rsidR="0069558B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around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the definition of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high-performing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faculty, which was not clearly spelled out in the policy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lastRenderedPageBreak/>
        <w:t xml:space="preserve">revision. There were also questions concerning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the guidelines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or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benchmarks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that will be used to define merit for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high-performing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>faculty. Senators agreed that there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>n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eeds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to be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 clear operational </w:t>
      </w:r>
      <w:r w:rsidR="00C2230D" w:rsidRPr="00436740">
        <w:rPr>
          <w:rFonts w:ascii="Cambria" w:eastAsia="Times New Roman" w:hAnsi="Cambria" w:cs="Arial"/>
          <w:color w:val="000000"/>
          <w:sz w:val="20"/>
          <w:szCs w:val="20"/>
        </w:rPr>
        <w:t>definition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and that</w:t>
      </w:r>
      <w:r w:rsidR="00C2230D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>d</w:t>
      </w:r>
      <w:r w:rsidR="00C2230D" w:rsidRPr="00436740">
        <w:rPr>
          <w:rFonts w:ascii="Cambria" w:eastAsia="Times New Roman" w:hAnsi="Cambria" w:cs="Arial"/>
          <w:color w:val="000000"/>
          <w:sz w:val="20"/>
          <w:szCs w:val="20"/>
        </w:rPr>
        <w:t>epartments must be clear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when using those definitions</w:t>
      </w:r>
      <w:r w:rsidR="00C2230D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It also seems that the link to the </w:t>
      </w:r>
      <w:r w:rsidR="00C2230D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guidance document is </w:t>
      </w:r>
      <w:r w:rsidR="00500D66" w:rsidRPr="00436740">
        <w:rPr>
          <w:rFonts w:ascii="Cambria" w:eastAsia="Times New Roman" w:hAnsi="Cambria" w:cs="Arial"/>
          <w:color w:val="000000"/>
          <w:sz w:val="20"/>
          <w:szCs w:val="20"/>
        </w:rPr>
        <w:t>difficult to find and</w:t>
      </w:r>
      <w:r w:rsidR="00C2230D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needs to be more obvious.</w:t>
      </w:r>
    </w:p>
    <w:p w14:paraId="5DF9BC6A" w14:textId="55773BE6" w:rsidR="00500D66" w:rsidRPr="00436740" w:rsidRDefault="00500D66" w:rsidP="00500D66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Senate Chair Bezner will contact Associate Provost Thorne with the senate’s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>suggestions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14:paraId="5ADB08F9" w14:textId="78BFE1E5" w:rsidR="00620171" w:rsidRPr="00436740" w:rsidRDefault="00CC2BE8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A</w:t>
      </w:r>
      <w:r w:rsidR="00620171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dding Honors College and/or University College 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Senate R</w:t>
      </w:r>
      <w:r w:rsidR="00620171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epresentation</w:t>
      </w:r>
    </w:p>
    <w:p w14:paraId="73889B10" w14:textId="2733F7BA" w:rsidR="004331CA" w:rsidRPr="00436740" w:rsidRDefault="004331CA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discussed the </w:t>
      </w:r>
      <w:r w:rsidR="0073442E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issues brought up by the </w:t>
      </w:r>
      <w:r w:rsidR="003D76A2" w:rsidRPr="00436740">
        <w:rPr>
          <w:rFonts w:ascii="Cambria" w:eastAsia="Times New Roman" w:hAnsi="Cambria" w:cs="Arial"/>
          <w:color w:val="000000"/>
          <w:sz w:val="20"/>
          <w:szCs w:val="20"/>
        </w:rPr>
        <w:t>Honors and University C</w:t>
      </w:r>
      <w:r w:rsidR="0073442E" w:rsidRPr="00436740">
        <w:rPr>
          <w:rFonts w:ascii="Cambria" w:eastAsia="Times New Roman" w:hAnsi="Cambria" w:cs="Arial"/>
          <w:color w:val="000000"/>
          <w:sz w:val="20"/>
          <w:szCs w:val="20"/>
        </w:rPr>
        <w:t>olleges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concerning faculty representation on the senate</w:t>
      </w:r>
      <w:r w:rsidR="0073442E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.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discussed the various issues of the possibility of this change.</w:t>
      </w:r>
      <w:r w:rsidR="0073442E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were committed to find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>ing</w:t>
      </w:r>
      <w:r w:rsidR="008433C9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a simple solution to enfranchise the faculty who are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>in the Honors and University Colleges to address the concerns that result from these colleges not having representation on the Faculty Senate</w:t>
      </w:r>
      <w:r w:rsidR="008433C9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 The Nontenure Faculty Committee (NLFC) has elected to add representation from these colleges on the NLFC.</w:t>
      </w:r>
      <w:r w:rsidR="008433C9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</w:p>
    <w:p w14:paraId="1FF4293B" w14:textId="6DBAA2C1" w:rsidR="00620171" w:rsidRPr="00436740" w:rsidRDefault="004331CA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Senators voted (with two abstentions) to charge Senate Chair Bezner </w:t>
      </w:r>
      <w:r w:rsidR="008433C9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to investigate how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this could be accomplished.</w:t>
      </w:r>
    </w:p>
    <w:p w14:paraId="7E5C8498" w14:textId="16FCDBE1" w:rsidR="00620171" w:rsidRPr="00436740" w:rsidRDefault="00620171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Appointment </w:t>
      </w:r>
      <w:bookmarkStart w:id="0" w:name="_GoBack"/>
      <w:r w:rsidR="00436740" w:rsidRPr="00D81FE1">
        <w:rPr>
          <w:rFonts w:ascii="Cambria" w:eastAsia="Times New Roman" w:hAnsi="Cambria" w:cs="Arial"/>
          <w:b/>
          <w:sz w:val="20"/>
          <w:szCs w:val="20"/>
        </w:rPr>
        <w:t>of</w:t>
      </w:r>
      <w:bookmarkEnd w:id="0"/>
      <w:r w:rsidR="00436740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Senators to </w:t>
      </w:r>
      <w:r w:rsidR="008D2E29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S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erve on the FDL Supplemental Award Committee</w:t>
      </w:r>
    </w:p>
    <w:p w14:paraId="4541B046" w14:textId="0FB36C05" w:rsidR="008433C9" w:rsidRPr="00436740" w:rsidRDefault="008D2E29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Three senators were </w:t>
      </w:r>
      <w:r w:rsidR="001D3695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requested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to serve on the Faculty Development Leave Supplemental Award Committee. Senate Chair Bezner, Senator </w:t>
      </w:r>
      <w:r w:rsidRPr="00436740">
        <w:rPr>
          <w:rFonts w:ascii="Cambria" w:hAnsi="Cambria" w:cs="Times New Roman"/>
          <w:sz w:val="20"/>
          <w:szCs w:val="20"/>
        </w:rPr>
        <w:t>McClellan, and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Senator Ledbetter volunteered to serve on the committee. Senate Vice Chair Ceballos will </w:t>
      </w:r>
      <w:r w:rsidR="00EF42C5" w:rsidRPr="00436740">
        <w:rPr>
          <w:rFonts w:ascii="Cambria" w:eastAsia="Times New Roman" w:hAnsi="Cambria" w:cs="Arial"/>
          <w:color w:val="000000"/>
          <w:sz w:val="20"/>
          <w:szCs w:val="20"/>
        </w:rPr>
        <w:t>serve as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an alternate.</w:t>
      </w:r>
    </w:p>
    <w:p w14:paraId="0143A12C" w14:textId="77777777" w:rsidR="007011E3" w:rsidRPr="00436740" w:rsidRDefault="007011E3" w:rsidP="007011E3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201F1E"/>
          <w:sz w:val="20"/>
          <w:szCs w:val="20"/>
        </w:rPr>
        <w:t>Policy Review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</w:t>
      </w:r>
    </w:p>
    <w:p w14:paraId="1A8AC4B7" w14:textId="77777777" w:rsidR="007011E3" w:rsidRPr="00436740" w:rsidRDefault="007011E3" w:rsidP="007011E3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  <w:sz w:val="20"/>
          <w:szCs w:val="20"/>
        </w:rPr>
      </w:pPr>
      <w:r w:rsidRPr="00436740">
        <w:rPr>
          <w:rFonts w:ascii="Cambria" w:eastAsia="Times New Roman" w:hAnsi="Cambria" w:cs="Arial"/>
          <w:color w:val="201F1E"/>
          <w:sz w:val="20"/>
          <w:szCs w:val="20"/>
        </w:rPr>
        <w:t>Assignment of senators to review specific University and Academic Affairs policies:</w:t>
      </w:r>
    </w:p>
    <w:p w14:paraId="58A96F01" w14:textId="5C0CA1AE" w:rsidR="007011E3" w:rsidRPr="00436740" w:rsidRDefault="00C11937" w:rsidP="007D0193">
      <w:pPr>
        <w:pStyle w:val="ListParagraph"/>
        <w:numPr>
          <w:ilvl w:val="0"/>
          <w:numId w:val="2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hyperlink r:id="rId5" w:history="1">
        <w:r w:rsidR="007011E3" w:rsidRPr="00436740">
          <w:rPr>
            <w:rStyle w:val="Hyperlink"/>
            <w:rFonts w:ascii="Cambria" w:eastAsia="Times New Roman" w:hAnsi="Cambria" w:cs="Arial"/>
            <w:sz w:val="20"/>
            <w:szCs w:val="20"/>
          </w:rPr>
          <w:t>AA/PPS 02.02.02 Small Class Report</w:t>
        </w:r>
      </w:hyperlink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ue November 15, 2019.</w:t>
      </w:r>
      <w:r w:rsidR="009E5DF4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Senator Martin</w:t>
      </w:r>
    </w:p>
    <w:p w14:paraId="77146C7D" w14:textId="71A3252A" w:rsidR="007011E3" w:rsidRPr="00436740" w:rsidRDefault="00C11937" w:rsidP="007D0193">
      <w:pPr>
        <w:pStyle w:val="ListParagraph"/>
        <w:numPr>
          <w:ilvl w:val="0"/>
          <w:numId w:val="2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hyperlink r:id="rId6" w:history="1">
        <w:r w:rsidR="007011E3" w:rsidRPr="00436740">
          <w:rPr>
            <w:rStyle w:val="Hyperlink"/>
            <w:rFonts w:ascii="Cambria" w:eastAsia="Times New Roman" w:hAnsi="Cambria" w:cs="Arial"/>
            <w:sz w:val="20"/>
            <w:szCs w:val="20"/>
          </w:rPr>
          <w:t>UPPS 07.07.05 Emergency Loan Program</w:t>
        </w:r>
      </w:hyperlink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ue November 18, 2019.</w:t>
      </w:r>
      <w:r w:rsidR="009E5DF4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Senator Jensen</w:t>
      </w:r>
    </w:p>
    <w:p w14:paraId="6592E7F3" w14:textId="26909332" w:rsidR="007011E3" w:rsidRPr="00436740" w:rsidRDefault="00C11937" w:rsidP="007D0193">
      <w:pPr>
        <w:pStyle w:val="ListParagraph"/>
        <w:numPr>
          <w:ilvl w:val="0"/>
          <w:numId w:val="2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hyperlink r:id="rId7" w:history="1">
        <w:r w:rsidR="007011E3" w:rsidRPr="00436740">
          <w:rPr>
            <w:rStyle w:val="Hyperlink"/>
            <w:rFonts w:ascii="Cambria" w:eastAsia="Times New Roman" w:hAnsi="Cambria" w:cs="Arial"/>
            <w:sz w:val="20"/>
            <w:szCs w:val="20"/>
          </w:rPr>
          <w:t>UPPS 08.01.21 Service Vehicle Access to Bobcat Trail and Quad</w:t>
        </w:r>
      </w:hyperlink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ue November 18, 2019.</w:t>
      </w:r>
      <w:r w:rsidR="009E5DF4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Senator Wesley</w:t>
      </w:r>
    </w:p>
    <w:p w14:paraId="4FD94EE3" w14:textId="35DE67C5" w:rsidR="007011E3" w:rsidRPr="00436740" w:rsidRDefault="00C11937" w:rsidP="007D0193">
      <w:pPr>
        <w:pStyle w:val="ListParagraph"/>
        <w:numPr>
          <w:ilvl w:val="0"/>
          <w:numId w:val="2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hyperlink r:id="rId8" w:history="1">
        <w:r w:rsidR="007011E3" w:rsidRPr="00436740">
          <w:rPr>
            <w:rStyle w:val="Hyperlink"/>
            <w:rFonts w:ascii="Cambria" w:eastAsia="Times New Roman" w:hAnsi="Cambria" w:cs="Arial"/>
            <w:sz w:val="20"/>
            <w:szCs w:val="20"/>
          </w:rPr>
          <w:t>UPPS 08.01.13 Reservation Policies – LBJ Student Center and Student Center Mall</w:t>
        </w:r>
      </w:hyperlink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ue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November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18, 2019.</w:t>
      </w:r>
      <w:r w:rsidR="009E5DF4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Senator Nolan</w:t>
      </w:r>
    </w:p>
    <w:p w14:paraId="5EB42CBC" w14:textId="56470B21" w:rsidR="007011E3" w:rsidRPr="00436740" w:rsidRDefault="00C11937" w:rsidP="007D0193">
      <w:pPr>
        <w:pStyle w:val="ListParagraph"/>
        <w:numPr>
          <w:ilvl w:val="0"/>
          <w:numId w:val="2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hyperlink r:id="rId9" w:history="1">
        <w:r w:rsidR="007011E3" w:rsidRPr="00436740">
          <w:rPr>
            <w:rStyle w:val="Hyperlink"/>
            <w:rFonts w:ascii="Cambria" w:eastAsia="Times New Roman" w:hAnsi="Cambria" w:cs="Arial"/>
            <w:sz w:val="20"/>
            <w:szCs w:val="20"/>
          </w:rPr>
          <w:t>UPPS 07.11.01 Disability Services for Students</w:t>
        </w:r>
      </w:hyperlink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ue November 18, 2019.</w:t>
      </w:r>
      <w:r w:rsidR="009E5DF4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Senator Davenport</w:t>
      </w:r>
    </w:p>
    <w:p w14:paraId="41251312" w14:textId="08BDF802" w:rsidR="007011E3" w:rsidRPr="00436740" w:rsidRDefault="00C11937" w:rsidP="007D0193">
      <w:pPr>
        <w:pStyle w:val="ListParagraph"/>
        <w:numPr>
          <w:ilvl w:val="0"/>
          <w:numId w:val="2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hyperlink r:id="rId10" w:history="1">
        <w:r w:rsidR="007011E3" w:rsidRPr="00436740">
          <w:rPr>
            <w:rStyle w:val="Hyperlink"/>
            <w:rFonts w:ascii="Cambria" w:eastAsia="Times New Roman" w:hAnsi="Cambria" w:cs="Arial"/>
            <w:sz w:val="20"/>
            <w:szCs w:val="20"/>
          </w:rPr>
          <w:t>UPPS 05.04.03 Emergency Operations</w:t>
        </w:r>
      </w:hyperlink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ue November 19, 2019.</w:t>
      </w:r>
      <w:r w:rsidR="009E5DF4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Senator </w:t>
      </w:r>
      <w:r w:rsidR="007D0193" w:rsidRPr="00436740">
        <w:rPr>
          <w:rFonts w:ascii="Cambria" w:hAnsi="Cambria" w:cs="Times New Roman"/>
          <w:sz w:val="20"/>
          <w:szCs w:val="20"/>
        </w:rPr>
        <w:t>McClellan</w:t>
      </w:r>
    </w:p>
    <w:p w14:paraId="091FD7A4" w14:textId="394D9E85" w:rsidR="00EA1606" w:rsidRPr="00436740" w:rsidRDefault="00C11937" w:rsidP="007D0193">
      <w:pPr>
        <w:pStyle w:val="ListParagraph"/>
        <w:numPr>
          <w:ilvl w:val="0"/>
          <w:numId w:val="2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hyperlink r:id="rId11" w:history="1">
        <w:r w:rsidR="007011E3" w:rsidRPr="00436740">
          <w:rPr>
            <w:rStyle w:val="Hyperlink"/>
            <w:rFonts w:ascii="Cambria" w:eastAsia="Times New Roman" w:hAnsi="Cambria" w:cs="Arial"/>
            <w:sz w:val="20"/>
            <w:szCs w:val="20"/>
          </w:rPr>
          <w:t>AA/PPS 04.01.10 Faculty Criminal Background Checks</w:t>
        </w:r>
      </w:hyperlink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. D</w:t>
      </w:r>
      <w:r w:rsidR="007011E3" w:rsidRPr="00436740">
        <w:rPr>
          <w:rFonts w:ascii="Cambria" w:eastAsia="Times New Roman" w:hAnsi="Cambria" w:cs="Arial"/>
          <w:color w:val="000000"/>
          <w:sz w:val="20"/>
          <w:szCs w:val="20"/>
        </w:rPr>
        <w:t>ue November 29, 2019.</w:t>
      </w:r>
      <w:r w:rsidR="009E5DF4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7D0193" w:rsidRPr="00436740">
        <w:rPr>
          <w:rFonts w:ascii="Cambria" w:eastAsia="Times New Roman" w:hAnsi="Cambria" w:cs="Arial"/>
          <w:color w:val="000000"/>
          <w:sz w:val="20"/>
          <w:szCs w:val="20"/>
        </w:rPr>
        <w:t>Senator Luizzi</w:t>
      </w:r>
    </w:p>
    <w:p w14:paraId="54E22FC5" w14:textId="77777777" w:rsidR="007666EE" w:rsidRPr="00436740" w:rsidRDefault="007666EE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</w:p>
    <w:p w14:paraId="7546D94F" w14:textId="6CD8D14C" w:rsidR="00620171" w:rsidRPr="00436740" w:rsidRDefault="00BD53D8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Faculty</w:t>
      </w:r>
      <w:r w:rsidR="00620171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Q</w:t>
      </w:r>
      <w:r w:rsidR="00620171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uestion 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Concerning</w:t>
      </w:r>
      <w:r w:rsidR="00620171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S</w:t>
      </w:r>
      <w:r w:rsidR="00620171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tudy </w:t>
      </w: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A</w:t>
      </w:r>
      <w:r w:rsidR="00620171"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broad</w:t>
      </w:r>
    </w:p>
    <w:p w14:paraId="52C29604" w14:textId="6A541E14" w:rsidR="009E5DF4" w:rsidRPr="00436740" w:rsidRDefault="001B4D02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 faculty </w:t>
      </w:r>
      <w:r w:rsidR="007666EE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member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submitted a question to the senate concerning a possible bill, the Senator Paul Simon Study Abroad Program Act (S. 1198/H.R. 4555) in the U.S. Senate. The bill would amend the Higher Education Act of 1965 for providing and expanding study abroad opportunities for undergraduate students. Senator McClellan will investigate the issues </w:t>
      </w:r>
      <w:r w:rsidR="007666EE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and how they relate to the faculty members concerns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and </w:t>
      </w:r>
      <w:r w:rsidR="007666EE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will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provide a response</w:t>
      </w:r>
      <w:r w:rsidR="0090708A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14:paraId="03A26BB3" w14:textId="5AA58018" w:rsidR="0090708A" w:rsidRPr="00436740" w:rsidRDefault="0090708A" w:rsidP="0062017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Announcements</w:t>
      </w:r>
    </w:p>
    <w:p w14:paraId="237A128D" w14:textId="121033A9" w:rsidR="00E91857" w:rsidRPr="00436740" w:rsidRDefault="00E91857" w:rsidP="0090708A">
      <w:pPr>
        <w:shd w:val="clear" w:color="auto" w:fill="FFFFFF"/>
        <w:spacing w:line="235" w:lineRule="atLeast"/>
        <w:rPr>
          <w:rFonts w:ascii="Cambria" w:eastAsia="Times New Roman" w:hAnsi="Cambria" w:cs="Calibri"/>
          <w:color w:val="000000"/>
          <w:sz w:val="20"/>
          <w:szCs w:val="20"/>
        </w:rPr>
      </w:pPr>
      <w:r w:rsidRPr="00436740">
        <w:rPr>
          <w:rFonts w:ascii="Cambria" w:eastAsia="Times New Roman" w:hAnsi="Cambria" w:cs="Calibri"/>
          <w:color w:val="000000"/>
          <w:sz w:val="20"/>
          <w:szCs w:val="20"/>
        </w:rPr>
        <w:t xml:space="preserve">Dr. Scott Bowman, special assistant to the provost for inclusion and diversity, will attend the first hour of the November 20, Faculty Senate meeting. </w:t>
      </w:r>
    </w:p>
    <w:p w14:paraId="407A8EDB" w14:textId="373CCBDC" w:rsidR="001627DD" w:rsidRPr="00436740" w:rsidRDefault="00CF2E56" w:rsidP="0090708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>Senators were instructed to read program proposals and have questions ready for the upcoming curriculum committee presentation</w:t>
      </w:r>
      <w:r w:rsidR="001627DD" w:rsidRPr="00436740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14:paraId="52518538" w14:textId="77777777" w:rsidR="007D35DB" w:rsidRPr="00436740" w:rsidRDefault="007D35DB" w:rsidP="007D35D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b/>
          <w:color w:val="000000"/>
          <w:sz w:val="20"/>
          <w:szCs w:val="20"/>
        </w:rPr>
        <w:t>Approval of Minutes</w:t>
      </w:r>
    </w:p>
    <w:p w14:paraId="1A4AD0F9" w14:textId="0012922E" w:rsidR="007D35DB" w:rsidRPr="00436740" w:rsidRDefault="00F215BA" w:rsidP="007D35DB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The </w:t>
      </w:r>
      <w:r w:rsidR="00EA1606" w:rsidRPr="00436740">
        <w:rPr>
          <w:rFonts w:ascii="Cambria" w:eastAsia="Times New Roman" w:hAnsi="Cambria" w:cs="Arial"/>
          <w:color w:val="000000"/>
          <w:sz w:val="20"/>
          <w:szCs w:val="20"/>
        </w:rPr>
        <w:t>November 6</w:t>
      </w:r>
      <w:r w:rsidR="007D35DB" w:rsidRPr="00436740">
        <w:rPr>
          <w:rFonts w:ascii="Cambria" w:eastAsia="Times New Roman" w:hAnsi="Cambria" w:cs="Arial"/>
          <w:color w:val="000000"/>
          <w:sz w:val="20"/>
          <w:szCs w:val="20"/>
        </w:rPr>
        <w:t>, 2019 minutes were approved by senators.</w:t>
      </w:r>
    </w:p>
    <w:p w14:paraId="48D424D2" w14:textId="78901B97" w:rsidR="00AE58FD" w:rsidRPr="00436740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Meeting adjourned at </w:t>
      </w:r>
      <w:r w:rsidR="00CB4E61" w:rsidRPr="00436740">
        <w:rPr>
          <w:rFonts w:ascii="Cambria" w:eastAsia="Times New Roman" w:hAnsi="Cambria" w:cs="Arial"/>
          <w:color w:val="000000"/>
          <w:sz w:val="20"/>
          <w:szCs w:val="20"/>
        </w:rPr>
        <w:t>6:</w:t>
      </w:r>
      <w:r w:rsidR="00841644" w:rsidRPr="00436740">
        <w:rPr>
          <w:rFonts w:ascii="Cambria" w:eastAsia="Times New Roman" w:hAnsi="Cambria" w:cs="Arial"/>
          <w:color w:val="000000"/>
          <w:sz w:val="20"/>
          <w:szCs w:val="20"/>
        </w:rPr>
        <w:t>05</w:t>
      </w:r>
      <w:r w:rsidR="00CB4E61"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436740">
        <w:rPr>
          <w:rFonts w:ascii="Cambria" w:eastAsia="Times New Roman" w:hAnsi="Cambria" w:cs="Arial"/>
          <w:color w:val="000000"/>
          <w:sz w:val="20"/>
          <w:szCs w:val="20"/>
        </w:rPr>
        <w:t>p.m.</w:t>
      </w:r>
    </w:p>
    <w:p w14:paraId="58A5653E" w14:textId="1746A327" w:rsidR="008433C9" w:rsidRPr="00436740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436740">
        <w:rPr>
          <w:rFonts w:ascii="Cambria" w:eastAsia="Times New Roman" w:hAnsi="Cambria" w:cs="Arial"/>
          <w:color w:val="000000"/>
          <w:sz w:val="20"/>
          <w:szCs w:val="20"/>
        </w:rPr>
        <w:t xml:space="preserve">Minutes submitted by </w:t>
      </w:r>
      <w:r w:rsidR="002176CA" w:rsidRPr="00436740">
        <w:rPr>
          <w:rFonts w:ascii="Cambria" w:eastAsia="Times New Roman" w:hAnsi="Cambria" w:cs="Arial"/>
          <w:color w:val="000000"/>
          <w:sz w:val="20"/>
          <w:szCs w:val="20"/>
        </w:rPr>
        <w:t>David Nolan</w:t>
      </w:r>
    </w:p>
    <w:sectPr w:rsidR="008433C9" w:rsidRPr="00436740" w:rsidSect="004367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E643D"/>
    <w:multiLevelType w:val="hybridMultilevel"/>
    <w:tmpl w:val="8AB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F9"/>
    <w:multiLevelType w:val="hybridMultilevel"/>
    <w:tmpl w:val="34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259"/>
    <w:multiLevelType w:val="hybridMultilevel"/>
    <w:tmpl w:val="E0C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42D5"/>
    <w:multiLevelType w:val="hybridMultilevel"/>
    <w:tmpl w:val="6EA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72C6"/>
    <w:multiLevelType w:val="hybridMultilevel"/>
    <w:tmpl w:val="72C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357209"/>
    <w:multiLevelType w:val="hybridMultilevel"/>
    <w:tmpl w:val="3842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1" w15:restartNumberingAfterBreak="0">
    <w:nsid w:val="352D3BEE"/>
    <w:multiLevelType w:val="hybridMultilevel"/>
    <w:tmpl w:val="C34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6602BE"/>
    <w:multiLevelType w:val="hybridMultilevel"/>
    <w:tmpl w:val="C1D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03D16"/>
    <w:multiLevelType w:val="hybridMultilevel"/>
    <w:tmpl w:val="505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427C77"/>
    <w:multiLevelType w:val="hybridMultilevel"/>
    <w:tmpl w:val="6E72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F4E9B"/>
    <w:multiLevelType w:val="hybridMultilevel"/>
    <w:tmpl w:val="CB3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4331"/>
    <w:multiLevelType w:val="hybridMultilevel"/>
    <w:tmpl w:val="D01E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78F4"/>
    <w:multiLevelType w:val="hybridMultilevel"/>
    <w:tmpl w:val="D22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66919"/>
    <w:multiLevelType w:val="hybridMultilevel"/>
    <w:tmpl w:val="7352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274F"/>
    <w:multiLevelType w:val="hybridMultilevel"/>
    <w:tmpl w:val="694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01AC1"/>
    <w:multiLevelType w:val="hybridMultilevel"/>
    <w:tmpl w:val="3EB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6"/>
  </w:num>
  <w:num w:numId="8">
    <w:abstractNumId w:val="24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22"/>
  </w:num>
  <w:num w:numId="14">
    <w:abstractNumId w:val="7"/>
  </w:num>
  <w:num w:numId="15">
    <w:abstractNumId w:val="23"/>
  </w:num>
  <w:num w:numId="16">
    <w:abstractNumId w:val="4"/>
  </w:num>
  <w:num w:numId="17">
    <w:abstractNumId w:val="21"/>
  </w:num>
  <w:num w:numId="18">
    <w:abstractNumId w:val="1"/>
  </w:num>
  <w:num w:numId="19">
    <w:abstractNumId w:val="2"/>
  </w:num>
  <w:num w:numId="20">
    <w:abstractNumId w:val="14"/>
  </w:num>
  <w:num w:numId="21">
    <w:abstractNumId w:val="17"/>
  </w:num>
  <w:num w:numId="22">
    <w:abstractNumId w:val="15"/>
  </w:num>
  <w:num w:numId="23">
    <w:abstractNumId w:val="19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WZIrtANvE19xh/r0wNC/3YLypBpWj2+y4gNMvK2++0Q4GJSWfb9kocDnfvhiEHpjc5hY+nprhPkbWYRPWr5TnA==" w:salt="O0cQ2BvzpYjbELniQuh5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15D5B"/>
    <w:rsid w:val="00032D73"/>
    <w:rsid w:val="000334D0"/>
    <w:rsid w:val="00035891"/>
    <w:rsid w:val="00046369"/>
    <w:rsid w:val="00065F16"/>
    <w:rsid w:val="00066FFF"/>
    <w:rsid w:val="00074F00"/>
    <w:rsid w:val="00094661"/>
    <w:rsid w:val="0012371D"/>
    <w:rsid w:val="00132829"/>
    <w:rsid w:val="0013339B"/>
    <w:rsid w:val="001627DD"/>
    <w:rsid w:val="001B4D02"/>
    <w:rsid w:val="001D3695"/>
    <w:rsid w:val="001D75FF"/>
    <w:rsid w:val="001F1A7E"/>
    <w:rsid w:val="002176CA"/>
    <w:rsid w:val="00220B3B"/>
    <w:rsid w:val="00230053"/>
    <w:rsid w:val="00233AA5"/>
    <w:rsid w:val="0025400B"/>
    <w:rsid w:val="00270B9B"/>
    <w:rsid w:val="0027205B"/>
    <w:rsid w:val="0027652C"/>
    <w:rsid w:val="00276AB2"/>
    <w:rsid w:val="00276E00"/>
    <w:rsid w:val="00292176"/>
    <w:rsid w:val="00297A10"/>
    <w:rsid w:val="002A3352"/>
    <w:rsid w:val="002E1E19"/>
    <w:rsid w:val="00316A6C"/>
    <w:rsid w:val="00322525"/>
    <w:rsid w:val="00323FF7"/>
    <w:rsid w:val="003417E6"/>
    <w:rsid w:val="0036115E"/>
    <w:rsid w:val="00362135"/>
    <w:rsid w:val="00363F4E"/>
    <w:rsid w:val="0037143A"/>
    <w:rsid w:val="003A6A12"/>
    <w:rsid w:val="003A773E"/>
    <w:rsid w:val="003C4DA4"/>
    <w:rsid w:val="003D76A2"/>
    <w:rsid w:val="003E49ED"/>
    <w:rsid w:val="003E762E"/>
    <w:rsid w:val="003F6677"/>
    <w:rsid w:val="00417B02"/>
    <w:rsid w:val="004331CA"/>
    <w:rsid w:val="00436740"/>
    <w:rsid w:val="00440489"/>
    <w:rsid w:val="0045136A"/>
    <w:rsid w:val="00452F16"/>
    <w:rsid w:val="004628DB"/>
    <w:rsid w:val="00476365"/>
    <w:rsid w:val="004A54F4"/>
    <w:rsid w:val="004A5EAA"/>
    <w:rsid w:val="004B44E4"/>
    <w:rsid w:val="004B7480"/>
    <w:rsid w:val="004D25D3"/>
    <w:rsid w:val="004D2BB0"/>
    <w:rsid w:val="004F6930"/>
    <w:rsid w:val="004F7172"/>
    <w:rsid w:val="00500D66"/>
    <w:rsid w:val="0051137F"/>
    <w:rsid w:val="005218BF"/>
    <w:rsid w:val="0053230C"/>
    <w:rsid w:val="00580A77"/>
    <w:rsid w:val="00584BD4"/>
    <w:rsid w:val="0058667A"/>
    <w:rsid w:val="00592BE3"/>
    <w:rsid w:val="005C27A2"/>
    <w:rsid w:val="005D5DFA"/>
    <w:rsid w:val="005F4C73"/>
    <w:rsid w:val="005F5E83"/>
    <w:rsid w:val="00620171"/>
    <w:rsid w:val="0064697F"/>
    <w:rsid w:val="006953F4"/>
    <w:rsid w:val="0069558B"/>
    <w:rsid w:val="0069630F"/>
    <w:rsid w:val="006A47A3"/>
    <w:rsid w:val="006A5C74"/>
    <w:rsid w:val="006B428E"/>
    <w:rsid w:val="006B6388"/>
    <w:rsid w:val="006C0364"/>
    <w:rsid w:val="006C6707"/>
    <w:rsid w:val="006D1132"/>
    <w:rsid w:val="007011E3"/>
    <w:rsid w:val="00725C56"/>
    <w:rsid w:val="00731AE7"/>
    <w:rsid w:val="0073442E"/>
    <w:rsid w:val="007533CB"/>
    <w:rsid w:val="0075522B"/>
    <w:rsid w:val="00762D18"/>
    <w:rsid w:val="007666EE"/>
    <w:rsid w:val="00776A62"/>
    <w:rsid w:val="007846B3"/>
    <w:rsid w:val="007B2CB8"/>
    <w:rsid w:val="007C4F1F"/>
    <w:rsid w:val="007D0193"/>
    <w:rsid w:val="007D35DB"/>
    <w:rsid w:val="007D5390"/>
    <w:rsid w:val="008100D7"/>
    <w:rsid w:val="00813127"/>
    <w:rsid w:val="00841644"/>
    <w:rsid w:val="00841CA1"/>
    <w:rsid w:val="008433C9"/>
    <w:rsid w:val="0086341B"/>
    <w:rsid w:val="00866679"/>
    <w:rsid w:val="00880756"/>
    <w:rsid w:val="00883D08"/>
    <w:rsid w:val="00885F8F"/>
    <w:rsid w:val="00897E9F"/>
    <w:rsid w:val="008A2FF6"/>
    <w:rsid w:val="008A5819"/>
    <w:rsid w:val="008C4DF3"/>
    <w:rsid w:val="008C71FA"/>
    <w:rsid w:val="008D2E29"/>
    <w:rsid w:val="008D631F"/>
    <w:rsid w:val="008E6C6D"/>
    <w:rsid w:val="0090708A"/>
    <w:rsid w:val="00912E2C"/>
    <w:rsid w:val="00945445"/>
    <w:rsid w:val="00947308"/>
    <w:rsid w:val="009478BC"/>
    <w:rsid w:val="00956319"/>
    <w:rsid w:val="00974DA0"/>
    <w:rsid w:val="00980BB8"/>
    <w:rsid w:val="009C56C9"/>
    <w:rsid w:val="009E5DF4"/>
    <w:rsid w:val="00A07969"/>
    <w:rsid w:val="00A24C2B"/>
    <w:rsid w:val="00A25724"/>
    <w:rsid w:val="00A36E7B"/>
    <w:rsid w:val="00A42473"/>
    <w:rsid w:val="00A4436A"/>
    <w:rsid w:val="00A569BD"/>
    <w:rsid w:val="00A61421"/>
    <w:rsid w:val="00A70614"/>
    <w:rsid w:val="00A72968"/>
    <w:rsid w:val="00AA70EA"/>
    <w:rsid w:val="00AB40C6"/>
    <w:rsid w:val="00AC7F91"/>
    <w:rsid w:val="00AE0D21"/>
    <w:rsid w:val="00AE5A04"/>
    <w:rsid w:val="00B10E56"/>
    <w:rsid w:val="00B11F35"/>
    <w:rsid w:val="00B252EA"/>
    <w:rsid w:val="00B44065"/>
    <w:rsid w:val="00B55976"/>
    <w:rsid w:val="00B65C1A"/>
    <w:rsid w:val="00B75B2D"/>
    <w:rsid w:val="00B82411"/>
    <w:rsid w:val="00B86E6D"/>
    <w:rsid w:val="00B974E2"/>
    <w:rsid w:val="00BC192E"/>
    <w:rsid w:val="00BD53D8"/>
    <w:rsid w:val="00BE689E"/>
    <w:rsid w:val="00C11937"/>
    <w:rsid w:val="00C1702F"/>
    <w:rsid w:val="00C2230D"/>
    <w:rsid w:val="00C23946"/>
    <w:rsid w:val="00C27E25"/>
    <w:rsid w:val="00C3128E"/>
    <w:rsid w:val="00C34D11"/>
    <w:rsid w:val="00C539A0"/>
    <w:rsid w:val="00C62680"/>
    <w:rsid w:val="00C65375"/>
    <w:rsid w:val="00C758F0"/>
    <w:rsid w:val="00C75F15"/>
    <w:rsid w:val="00CB09BD"/>
    <w:rsid w:val="00CB2D1E"/>
    <w:rsid w:val="00CB4E61"/>
    <w:rsid w:val="00CC2BE8"/>
    <w:rsid w:val="00CC78F6"/>
    <w:rsid w:val="00CD34D5"/>
    <w:rsid w:val="00CF2E56"/>
    <w:rsid w:val="00D26A42"/>
    <w:rsid w:val="00D27F3F"/>
    <w:rsid w:val="00D35803"/>
    <w:rsid w:val="00D51F08"/>
    <w:rsid w:val="00D81FE1"/>
    <w:rsid w:val="00D858A4"/>
    <w:rsid w:val="00D9508E"/>
    <w:rsid w:val="00D954FF"/>
    <w:rsid w:val="00D9750A"/>
    <w:rsid w:val="00DA0AE1"/>
    <w:rsid w:val="00DA14B0"/>
    <w:rsid w:val="00DB4632"/>
    <w:rsid w:val="00DC6966"/>
    <w:rsid w:val="00DE5EFD"/>
    <w:rsid w:val="00DE6FF1"/>
    <w:rsid w:val="00E02D09"/>
    <w:rsid w:val="00E61106"/>
    <w:rsid w:val="00E63863"/>
    <w:rsid w:val="00E70FFC"/>
    <w:rsid w:val="00E91857"/>
    <w:rsid w:val="00E92408"/>
    <w:rsid w:val="00E92B1F"/>
    <w:rsid w:val="00E93966"/>
    <w:rsid w:val="00E952ED"/>
    <w:rsid w:val="00EA1606"/>
    <w:rsid w:val="00EB7999"/>
    <w:rsid w:val="00ED5B07"/>
    <w:rsid w:val="00EE347F"/>
    <w:rsid w:val="00EF1FEE"/>
    <w:rsid w:val="00EF42C5"/>
    <w:rsid w:val="00F019B9"/>
    <w:rsid w:val="00F215BA"/>
    <w:rsid w:val="00F22A9B"/>
    <w:rsid w:val="00F363B0"/>
    <w:rsid w:val="00F43743"/>
    <w:rsid w:val="00FA675E"/>
    <w:rsid w:val="00FD2206"/>
    <w:rsid w:val="00FD3568"/>
    <w:rsid w:val="00FD620E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0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8-01-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university-policies/08-01-2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txstate.edu/university-policies/07-07-05.html" TargetMode="External"/><Relationship Id="rId11" Type="http://schemas.openxmlformats.org/officeDocument/2006/relationships/hyperlink" Target="https://policies.txstate.edu/division-policies/academic-affairs/04-01-10.html" TargetMode="External"/><Relationship Id="rId5" Type="http://schemas.openxmlformats.org/officeDocument/2006/relationships/hyperlink" Target="https://policies.txstate.edu/division-policies/academic-affairs/02-02-02.html" TargetMode="External"/><Relationship Id="rId10" Type="http://schemas.openxmlformats.org/officeDocument/2006/relationships/hyperlink" Target="https://policies.txstate.edu/university-policies/05-04-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txstate.edu/university-policies/07-11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1121</Words>
  <Characters>6395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4</cp:revision>
  <cp:lastPrinted>2019-11-04T14:26:00Z</cp:lastPrinted>
  <dcterms:created xsi:type="dcterms:W3CDTF">2019-11-20T17:41:00Z</dcterms:created>
  <dcterms:modified xsi:type="dcterms:W3CDTF">2019-11-21T17:36:00Z</dcterms:modified>
</cp:coreProperties>
</file>