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921" w:rsidRDefault="00680F82" w:rsidP="00D03921">
      <w:pPr>
        <w:spacing w:before="100" w:beforeAutospacing="1"/>
        <w:ind w:left="-360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University Research Enhancement Committee</w:t>
      </w:r>
      <w:r w:rsidR="00861B40">
        <w:rPr>
          <w:rFonts w:eastAsia="Times New Roman" w:cstheme="minorHAnsi"/>
          <w:sz w:val="21"/>
          <w:szCs w:val="21"/>
        </w:rPr>
        <w:t xml:space="preserve"> Report, Spring 201</w:t>
      </w:r>
      <w:r w:rsidR="00D03921">
        <w:rPr>
          <w:rFonts w:eastAsia="Times New Roman" w:cstheme="minorHAnsi"/>
          <w:sz w:val="21"/>
          <w:szCs w:val="21"/>
        </w:rPr>
        <w:t>9</w:t>
      </w:r>
    </w:p>
    <w:p w:rsidR="00D03921" w:rsidRDefault="00D03921" w:rsidP="00D03921">
      <w:pPr>
        <w:spacing w:before="100" w:beforeAutospacing="1"/>
        <w:ind w:left="-360"/>
        <w:rPr>
          <w:rFonts w:eastAsia="Times New Roman" w:cstheme="minorHAnsi"/>
          <w:sz w:val="21"/>
          <w:szCs w:val="21"/>
        </w:rPr>
      </w:pPr>
    </w:p>
    <w:p w:rsidR="002C1BB6" w:rsidRDefault="002C1BB6" w:rsidP="00C35CBC">
      <w:pPr>
        <w:numPr>
          <w:ilvl w:val="0"/>
          <w:numId w:val="1"/>
        </w:numPr>
        <w:tabs>
          <w:tab w:val="clear" w:pos="720"/>
        </w:tabs>
        <w:ind w:left="0"/>
        <w:contextualSpacing/>
        <w:rPr>
          <w:rFonts w:eastAsia="Times New Roman" w:cstheme="minorHAnsi"/>
          <w:sz w:val="21"/>
          <w:szCs w:val="21"/>
        </w:rPr>
      </w:pPr>
      <w:r w:rsidRPr="002C1BB6">
        <w:rPr>
          <w:rFonts w:eastAsia="Times New Roman" w:cstheme="minorHAnsi"/>
          <w:sz w:val="21"/>
          <w:szCs w:val="21"/>
        </w:rPr>
        <w:t>Specifying the formatting of tables in the application narrative</w:t>
      </w:r>
    </w:p>
    <w:p w:rsidR="00C35CBC" w:rsidRDefault="00C35CBC" w:rsidP="00C35CBC">
      <w:pPr>
        <w:ind w:left="360"/>
        <w:contextualSpacing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Agreed</w:t>
      </w:r>
      <w:r w:rsidR="00DF0780">
        <w:rPr>
          <w:rFonts w:eastAsia="Times New Roman" w:cstheme="minorHAnsi"/>
          <w:sz w:val="21"/>
          <w:szCs w:val="21"/>
        </w:rPr>
        <w:t>:</w:t>
      </w:r>
      <w:r>
        <w:rPr>
          <w:rFonts w:eastAsia="Times New Roman" w:cstheme="minorHAnsi"/>
          <w:sz w:val="21"/>
          <w:szCs w:val="21"/>
        </w:rPr>
        <w:t xml:space="preserve"> </w:t>
      </w:r>
      <w:r w:rsidR="00DF0780">
        <w:rPr>
          <w:rFonts w:eastAsia="Times New Roman" w:cstheme="minorHAnsi"/>
          <w:sz w:val="21"/>
          <w:szCs w:val="21"/>
        </w:rPr>
        <w:t>t</w:t>
      </w:r>
      <w:r>
        <w:rPr>
          <w:rFonts w:eastAsia="Times New Roman" w:cstheme="minorHAnsi"/>
          <w:sz w:val="21"/>
          <w:szCs w:val="21"/>
        </w:rPr>
        <w:t>ables can be single spaced</w:t>
      </w:r>
      <w:r w:rsidR="00FD0BCB">
        <w:rPr>
          <w:rFonts w:eastAsia="Times New Roman" w:cstheme="minorHAnsi"/>
          <w:sz w:val="21"/>
          <w:szCs w:val="21"/>
        </w:rPr>
        <w:t xml:space="preserve">, </w:t>
      </w:r>
      <w:r w:rsidR="009D29CD">
        <w:rPr>
          <w:rFonts w:eastAsia="Times New Roman" w:cstheme="minorHAnsi"/>
          <w:sz w:val="21"/>
          <w:szCs w:val="21"/>
        </w:rPr>
        <w:t xml:space="preserve">page </w:t>
      </w:r>
      <w:r w:rsidR="00FD0BCB">
        <w:rPr>
          <w:rFonts w:eastAsia="Times New Roman" w:cstheme="minorHAnsi"/>
          <w:sz w:val="21"/>
          <w:szCs w:val="21"/>
        </w:rPr>
        <w:t>width should conform to 1” margins requirement</w:t>
      </w:r>
    </w:p>
    <w:p w:rsidR="009D29CD" w:rsidRDefault="009D29CD" w:rsidP="00C35CBC">
      <w:pPr>
        <w:ind w:left="360"/>
        <w:contextualSpacing/>
        <w:rPr>
          <w:rFonts w:eastAsia="Times New Roman" w:cstheme="minorHAnsi"/>
          <w:color w:val="2F5496" w:themeColor="accent1" w:themeShade="BF"/>
          <w:sz w:val="21"/>
          <w:szCs w:val="21"/>
        </w:rPr>
      </w:pPr>
      <w:r>
        <w:rPr>
          <w:rFonts w:eastAsia="Times New Roman" w:cstheme="minorHAnsi"/>
          <w:color w:val="2F5496" w:themeColor="accent1" w:themeShade="BF"/>
          <w:sz w:val="21"/>
          <w:szCs w:val="21"/>
        </w:rPr>
        <w:t>Endorsed by Faculty Senate by majority vote</w:t>
      </w:r>
    </w:p>
    <w:p w:rsidR="00680F82" w:rsidRPr="009D29CD" w:rsidRDefault="00680F82" w:rsidP="00C35CBC">
      <w:pPr>
        <w:ind w:left="360"/>
        <w:contextualSpacing/>
        <w:rPr>
          <w:rFonts w:eastAsia="Times New Roman" w:cstheme="minorHAnsi"/>
          <w:color w:val="2F5496" w:themeColor="accent1" w:themeShade="BF"/>
          <w:sz w:val="21"/>
          <w:szCs w:val="21"/>
        </w:rPr>
      </w:pPr>
    </w:p>
    <w:p w:rsidR="002C1BB6" w:rsidRDefault="002C1BB6" w:rsidP="00C35CBC">
      <w:pPr>
        <w:numPr>
          <w:ilvl w:val="0"/>
          <w:numId w:val="1"/>
        </w:numPr>
        <w:tabs>
          <w:tab w:val="clear" w:pos="720"/>
        </w:tabs>
        <w:ind w:left="0"/>
        <w:contextualSpacing/>
        <w:rPr>
          <w:rFonts w:eastAsia="Times New Roman" w:cstheme="minorHAnsi"/>
          <w:sz w:val="21"/>
          <w:szCs w:val="21"/>
        </w:rPr>
      </w:pPr>
      <w:r w:rsidRPr="002C1BB6">
        <w:rPr>
          <w:rFonts w:eastAsia="Times New Roman" w:cstheme="minorHAnsi"/>
          <w:sz w:val="21"/>
          <w:szCs w:val="21"/>
        </w:rPr>
        <w:t>Should a faculty member listed as a consultant on a proposal also be able to submit a proposal of their own</w:t>
      </w:r>
    </w:p>
    <w:p w:rsidR="00C35CBC" w:rsidRDefault="00DF0780" w:rsidP="00C35CBC">
      <w:pPr>
        <w:ind w:left="360"/>
        <w:contextualSpacing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Agreed: Faculty who are proposed as paid consultants on an REP proposal ma</w:t>
      </w:r>
      <w:r w:rsidR="004F2C83">
        <w:rPr>
          <w:rFonts w:eastAsia="Times New Roman" w:cstheme="minorHAnsi"/>
          <w:sz w:val="21"/>
          <w:szCs w:val="21"/>
        </w:rPr>
        <w:t>y</w:t>
      </w:r>
      <w:r>
        <w:rPr>
          <w:rFonts w:eastAsia="Times New Roman" w:cstheme="minorHAnsi"/>
          <w:sz w:val="21"/>
          <w:szCs w:val="21"/>
        </w:rPr>
        <w:t xml:space="preserve"> not submit another proposal</w:t>
      </w:r>
      <w:r w:rsidR="00FD0BCB">
        <w:rPr>
          <w:rFonts w:eastAsia="Times New Roman" w:cstheme="minorHAnsi"/>
          <w:sz w:val="21"/>
          <w:szCs w:val="21"/>
        </w:rPr>
        <w:t xml:space="preserve">. To enforce, the names of </w:t>
      </w:r>
      <w:r w:rsidR="00F95C6A">
        <w:rPr>
          <w:rFonts w:eastAsia="Times New Roman" w:cstheme="minorHAnsi"/>
          <w:sz w:val="21"/>
          <w:szCs w:val="21"/>
        </w:rPr>
        <w:t xml:space="preserve">any </w:t>
      </w:r>
      <w:r w:rsidR="00FD0BCB">
        <w:rPr>
          <w:rFonts w:eastAsia="Times New Roman" w:cstheme="minorHAnsi"/>
          <w:sz w:val="21"/>
          <w:szCs w:val="21"/>
        </w:rPr>
        <w:t xml:space="preserve">paid consultants and their affiliation will be </w:t>
      </w:r>
      <w:r w:rsidR="00F95C6A">
        <w:rPr>
          <w:rFonts w:eastAsia="Times New Roman" w:cstheme="minorHAnsi"/>
          <w:sz w:val="21"/>
          <w:szCs w:val="21"/>
        </w:rPr>
        <w:t>requested in</w:t>
      </w:r>
      <w:r w:rsidR="00FD0BCB">
        <w:rPr>
          <w:rFonts w:eastAsia="Times New Roman" w:cstheme="minorHAnsi"/>
          <w:sz w:val="21"/>
          <w:szCs w:val="21"/>
        </w:rPr>
        <w:t xml:space="preserve"> the budget justification</w:t>
      </w:r>
      <w:r w:rsidR="00F95C6A">
        <w:rPr>
          <w:rFonts w:eastAsia="Times New Roman" w:cstheme="minorHAnsi"/>
          <w:sz w:val="21"/>
          <w:szCs w:val="21"/>
        </w:rPr>
        <w:t xml:space="preserve"> section.</w:t>
      </w:r>
    </w:p>
    <w:p w:rsidR="009D29CD" w:rsidRDefault="009D29CD" w:rsidP="00C35CBC">
      <w:pPr>
        <w:ind w:left="360"/>
        <w:contextualSpacing/>
        <w:rPr>
          <w:rFonts w:eastAsia="Times New Roman" w:cstheme="minorHAnsi"/>
          <w:color w:val="2F5496" w:themeColor="accent1" w:themeShade="BF"/>
          <w:sz w:val="21"/>
          <w:szCs w:val="21"/>
        </w:rPr>
      </w:pPr>
      <w:r>
        <w:rPr>
          <w:rFonts w:eastAsia="Times New Roman" w:cstheme="minorHAnsi"/>
          <w:color w:val="2F5496" w:themeColor="accent1" w:themeShade="BF"/>
          <w:sz w:val="21"/>
          <w:szCs w:val="21"/>
        </w:rPr>
        <w:t>The FS declined to endorse this recommendation.</w:t>
      </w:r>
    </w:p>
    <w:p w:rsidR="00680F82" w:rsidRPr="009D29CD" w:rsidRDefault="00680F82" w:rsidP="00C35CBC">
      <w:pPr>
        <w:ind w:left="360"/>
        <w:contextualSpacing/>
        <w:rPr>
          <w:rFonts w:eastAsia="Times New Roman" w:cstheme="minorHAnsi"/>
          <w:color w:val="2F5496" w:themeColor="accent1" w:themeShade="BF"/>
          <w:sz w:val="21"/>
          <w:szCs w:val="21"/>
        </w:rPr>
      </w:pPr>
    </w:p>
    <w:p w:rsidR="002C1BB6" w:rsidRDefault="002C1BB6" w:rsidP="00C35CBC">
      <w:pPr>
        <w:numPr>
          <w:ilvl w:val="0"/>
          <w:numId w:val="1"/>
        </w:numPr>
        <w:tabs>
          <w:tab w:val="clear" w:pos="720"/>
        </w:tabs>
        <w:ind w:left="0"/>
        <w:contextualSpacing/>
        <w:rPr>
          <w:rFonts w:eastAsia="Times New Roman" w:cstheme="minorHAnsi"/>
          <w:sz w:val="21"/>
          <w:szCs w:val="21"/>
        </w:rPr>
      </w:pPr>
      <w:r w:rsidRPr="002C1BB6">
        <w:rPr>
          <w:rFonts w:eastAsia="Times New Roman" w:cstheme="minorHAnsi"/>
          <w:sz w:val="21"/>
          <w:szCs w:val="21"/>
        </w:rPr>
        <w:t>Assigning bonus points</w:t>
      </w:r>
      <w:r w:rsidR="00680F82">
        <w:rPr>
          <w:rFonts w:eastAsia="Times New Roman" w:cstheme="minorHAnsi"/>
          <w:sz w:val="21"/>
          <w:szCs w:val="21"/>
        </w:rPr>
        <w:t xml:space="preserve"> to first-time assistant professor PI applications</w:t>
      </w:r>
    </w:p>
    <w:p w:rsidR="000D6D35" w:rsidRDefault="00BE54B4" w:rsidP="000D6D35">
      <w:pPr>
        <w:contextualSpacing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Discussion items:</w:t>
      </w:r>
    </w:p>
    <w:p w:rsidR="002C1BB6" w:rsidRPr="002C1BB6" w:rsidRDefault="002C1BB6" w:rsidP="000D6D35">
      <w:pPr>
        <w:numPr>
          <w:ilvl w:val="1"/>
          <w:numId w:val="1"/>
        </w:numPr>
        <w:ind w:left="360" w:hanging="180"/>
        <w:contextualSpacing/>
        <w:rPr>
          <w:rFonts w:eastAsia="Times New Roman" w:cstheme="minorHAnsi"/>
          <w:sz w:val="21"/>
          <w:szCs w:val="21"/>
        </w:rPr>
      </w:pPr>
      <w:r w:rsidRPr="002C1BB6">
        <w:rPr>
          <w:rFonts w:eastAsia="Times New Roman" w:cstheme="minorHAnsi"/>
          <w:sz w:val="21"/>
          <w:szCs w:val="21"/>
        </w:rPr>
        <w:t>Are first time assistant professors competitive without bonus points?</w:t>
      </w:r>
    </w:p>
    <w:p w:rsidR="000D6D35" w:rsidRDefault="000D6D35" w:rsidP="00BE54B4">
      <w:pPr>
        <w:ind w:left="360"/>
        <w:rPr>
          <w:rFonts w:eastAsia="Times New Roman" w:cstheme="minorHAnsi"/>
          <w:sz w:val="21"/>
          <w:szCs w:val="21"/>
        </w:rPr>
      </w:pPr>
      <w:r w:rsidRPr="000D6D35">
        <w:rPr>
          <w:rFonts w:eastAsia="Times New Roman" w:cstheme="minorHAnsi"/>
          <w:sz w:val="21"/>
          <w:szCs w:val="21"/>
        </w:rPr>
        <w:t xml:space="preserve">OSP will calculate the 2018-19 outcomes without the bonus points for the committee to compare the two sets of results before making a </w:t>
      </w:r>
      <w:r w:rsidR="00680F82">
        <w:rPr>
          <w:rFonts w:eastAsia="Times New Roman" w:cstheme="minorHAnsi"/>
          <w:sz w:val="21"/>
          <w:szCs w:val="21"/>
        </w:rPr>
        <w:t>recommendation</w:t>
      </w:r>
      <w:r w:rsidRPr="000D6D35">
        <w:rPr>
          <w:rFonts w:eastAsia="Times New Roman" w:cstheme="minorHAnsi"/>
          <w:sz w:val="21"/>
          <w:szCs w:val="21"/>
        </w:rPr>
        <w:t>.</w:t>
      </w:r>
    </w:p>
    <w:p w:rsidR="00680F82" w:rsidRPr="00680F82" w:rsidRDefault="00680F82" w:rsidP="00680F82">
      <w:pPr>
        <w:ind w:left="360"/>
        <w:contextualSpacing/>
        <w:rPr>
          <w:rFonts w:eastAsia="Times New Roman" w:cstheme="minorHAnsi"/>
          <w:color w:val="2F5496" w:themeColor="accent1" w:themeShade="BF"/>
          <w:sz w:val="21"/>
          <w:szCs w:val="21"/>
        </w:rPr>
      </w:pPr>
      <w:r>
        <w:rPr>
          <w:rFonts w:eastAsia="Times New Roman" w:cstheme="minorHAnsi"/>
          <w:color w:val="2F5496" w:themeColor="accent1" w:themeShade="BF"/>
          <w:sz w:val="21"/>
          <w:szCs w:val="21"/>
        </w:rPr>
        <w:t>After reviewing the data provided by OSP, the</w:t>
      </w:r>
      <w:r>
        <w:rPr>
          <w:rFonts w:eastAsia="Times New Roman" w:cstheme="minorHAnsi"/>
          <w:color w:val="2F5496" w:themeColor="accent1" w:themeShade="BF"/>
          <w:sz w:val="21"/>
          <w:szCs w:val="21"/>
        </w:rPr>
        <w:t xml:space="preserve"> UREC recommended discontinuing the use of bonus points for the next two application cycles and then reviewing how first</w:t>
      </w:r>
      <w:r>
        <w:rPr>
          <w:rFonts w:eastAsia="Times New Roman" w:cstheme="minorHAnsi"/>
          <w:color w:val="2F5496" w:themeColor="accent1" w:themeShade="BF"/>
          <w:sz w:val="21"/>
          <w:szCs w:val="21"/>
        </w:rPr>
        <w:t>-</w:t>
      </w:r>
      <w:r>
        <w:rPr>
          <w:rFonts w:eastAsia="Times New Roman" w:cstheme="minorHAnsi"/>
          <w:color w:val="2F5496" w:themeColor="accent1" w:themeShade="BF"/>
          <w:sz w:val="21"/>
          <w:szCs w:val="21"/>
        </w:rPr>
        <w:t>time assistant professor applications fared in the review process. The FS endorsed this proposal.</w:t>
      </w:r>
    </w:p>
    <w:p w:rsidR="00BE54B4" w:rsidRDefault="00BE54B4" w:rsidP="00BE54B4">
      <w:pPr>
        <w:numPr>
          <w:ilvl w:val="1"/>
          <w:numId w:val="1"/>
        </w:numPr>
        <w:ind w:left="360" w:hanging="180"/>
        <w:contextualSpacing/>
        <w:rPr>
          <w:rFonts w:eastAsia="Times New Roman" w:cstheme="minorHAnsi"/>
          <w:sz w:val="21"/>
          <w:szCs w:val="21"/>
        </w:rPr>
      </w:pPr>
      <w:r w:rsidRPr="002C1BB6">
        <w:rPr>
          <w:rFonts w:eastAsia="Times New Roman" w:cstheme="minorHAnsi"/>
          <w:sz w:val="21"/>
          <w:szCs w:val="21"/>
        </w:rPr>
        <w:t>Should bonus points be used as a means to address salary compression experienced by associate professors?</w:t>
      </w:r>
    </w:p>
    <w:p w:rsidR="00D7644B" w:rsidRDefault="00BE54B4" w:rsidP="00D7644B">
      <w:pPr>
        <w:ind w:left="360"/>
        <w:contextualSpacing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The committee agreed that salary compression is a problem that should be addressed, but that it is not appropriate to use the REP as a means to do so</w:t>
      </w:r>
      <w:r w:rsidR="00861B40">
        <w:rPr>
          <w:rFonts w:eastAsia="Times New Roman" w:cstheme="minorHAnsi"/>
          <w:sz w:val="21"/>
          <w:szCs w:val="21"/>
        </w:rPr>
        <w:t xml:space="preserve"> and would set a </w:t>
      </w:r>
      <w:r w:rsidR="009D29CD">
        <w:rPr>
          <w:rFonts w:eastAsia="Times New Roman" w:cstheme="minorHAnsi"/>
          <w:sz w:val="21"/>
          <w:szCs w:val="21"/>
        </w:rPr>
        <w:t>problematic</w:t>
      </w:r>
      <w:r w:rsidR="00861B40">
        <w:rPr>
          <w:rFonts w:eastAsia="Times New Roman" w:cstheme="minorHAnsi"/>
          <w:sz w:val="21"/>
          <w:szCs w:val="21"/>
        </w:rPr>
        <w:t xml:space="preserve"> precedent.</w:t>
      </w:r>
    </w:p>
    <w:p w:rsidR="00680F82" w:rsidRDefault="00680F82" w:rsidP="00D7644B">
      <w:pPr>
        <w:ind w:left="360"/>
        <w:contextualSpacing/>
        <w:rPr>
          <w:rFonts w:eastAsia="Times New Roman" w:cstheme="minorHAnsi"/>
          <w:sz w:val="21"/>
          <w:szCs w:val="21"/>
        </w:rPr>
      </w:pPr>
    </w:p>
    <w:p w:rsidR="00861B40" w:rsidRDefault="00861B40" w:rsidP="00D7644B">
      <w:pPr>
        <w:pStyle w:val="ListParagraph"/>
        <w:numPr>
          <w:ilvl w:val="0"/>
          <w:numId w:val="3"/>
        </w:numPr>
        <w:ind w:left="0"/>
        <w:rPr>
          <w:rFonts w:eastAsia="Times New Roman" w:cstheme="minorHAnsi"/>
          <w:sz w:val="21"/>
          <w:szCs w:val="21"/>
        </w:rPr>
      </w:pPr>
      <w:r w:rsidRPr="00D7644B">
        <w:rPr>
          <w:rFonts w:eastAsia="Times New Roman" w:cstheme="minorHAnsi"/>
          <w:sz w:val="21"/>
          <w:szCs w:val="21"/>
        </w:rPr>
        <w:t>The committee</w:t>
      </w:r>
      <w:r w:rsidR="00D7644B">
        <w:rPr>
          <w:rFonts w:eastAsia="Times New Roman" w:cstheme="minorHAnsi"/>
          <w:sz w:val="21"/>
          <w:szCs w:val="21"/>
        </w:rPr>
        <w:t xml:space="preserve"> also discussed the items forwarded by the Council on Funded Research (via Alex)</w:t>
      </w:r>
    </w:p>
    <w:p w:rsidR="00D7644B" w:rsidRPr="00D7644B" w:rsidRDefault="00821F7B" w:rsidP="00D7644B">
      <w:pPr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It was pointed out that the council’s purview has always been external funding and there was surprise that it would </w:t>
      </w:r>
      <w:r w:rsidR="00680F82">
        <w:rPr>
          <w:rFonts w:eastAsia="Times New Roman" w:cstheme="minorHAnsi"/>
          <w:sz w:val="21"/>
          <w:szCs w:val="21"/>
        </w:rPr>
        <w:t xml:space="preserve">forward </w:t>
      </w:r>
      <w:r>
        <w:rPr>
          <w:rFonts w:eastAsia="Times New Roman" w:cstheme="minorHAnsi"/>
          <w:sz w:val="21"/>
          <w:szCs w:val="21"/>
        </w:rPr>
        <w:t xml:space="preserve">concerns </w:t>
      </w:r>
      <w:r w:rsidR="00680F82">
        <w:rPr>
          <w:rFonts w:eastAsia="Times New Roman" w:cstheme="minorHAnsi"/>
          <w:sz w:val="21"/>
          <w:szCs w:val="21"/>
        </w:rPr>
        <w:t xml:space="preserve">about the </w:t>
      </w:r>
      <w:r w:rsidR="003E7794">
        <w:rPr>
          <w:rFonts w:eastAsia="Times New Roman" w:cstheme="minorHAnsi"/>
          <w:sz w:val="21"/>
          <w:szCs w:val="21"/>
        </w:rPr>
        <w:t xml:space="preserve">internally funded </w:t>
      </w:r>
      <w:r w:rsidR="00680F82">
        <w:rPr>
          <w:rFonts w:eastAsia="Times New Roman" w:cstheme="minorHAnsi"/>
          <w:sz w:val="21"/>
          <w:szCs w:val="21"/>
        </w:rPr>
        <w:t>RE</w:t>
      </w:r>
      <w:r w:rsidR="00680F82">
        <w:rPr>
          <w:rFonts w:eastAsia="Times New Roman" w:cstheme="minorHAnsi"/>
          <w:sz w:val="21"/>
          <w:szCs w:val="21"/>
        </w:rPr>
        <w:t>P</w:t>
      </w:r>
      <w:r w:rsidR="003E7794">
        <w:rPr>
          <w:rFonts w:eastAsia="Times New Roman" w:cstheme="minorHAnsi"/>
          <w:sz w:val="21"/>
          <w:szCs w:val="21"/>
        </w:rPr>
        <w:t xml:space="preserve">, especially because the concerns were </w:t>
      </w:r>
      <w:r w:rsidR="00680F82">
        <w:rPr>
          <w:rFonts w:eastAsia="Times New Roman" w:cstheme="minorHAnsi"/>
          <w:sz w:val="21"/>
          <w:szCs w:val="21"/>
        </w:rPr>
        <w:t xml:space="preserve">based </w:t>
      </w:r>
      <w:r w:rsidR="003E7794">
        <w:rPr>
          <w:rFonts w:eastAsia="Times New Roman" w:cstheme="minorHAnsi"/>
          <w:sz w:val="21"/>
          <w:szCs w:val="21"/>
        </w:rPr>
        <w:t xml:space="preserve">solely </w:t>
      </w:r>
      <w:r w:rsidR="00680F82">
        <w:rPr>
          <w:rFonts w:eastAsia="Times New Roman" w:cstheme="minorHAnsi"/>
          <w:sz w:val="21"/>
          <w:szCs w:val="21"/>
        </w:rPr>
        <w:t>on personal perceptions of its members</w:t>
      </w:r>
      <w:r>
        <w:rPr>
          <w:rFonts w:eastAsia="Times New Roman" w:cstheme="minorHAnsi"/>
          <w:sz w:val="21"/>
          <w:szCs w:val="21"/>
        </w:rPr>
        <w:t>.</w:t>
      </w:r>
    </w:p>
    <w:p w:rsidR="002C1BB6" w:rsidRDefault="002C1BB6" w:rsidP="002C1BB6">
      <w:pPr>
        <w:rPr>
          <w:sz w:val="22"/>
          <w:szCs w:val="22"/>
        </w:rPr>
      </w:pPr>
    </w:p>
    <w:p w:rsidR="00D03921" w:rsidRDefault="00D03921" w:rsidP="002C1BB6">
      <w:pPr>
        <w:rPr>
          <w:sz w:val="22"/>
          <w:szCs w:val="22"/>
        </w:rPr>
      </w:pPr>
    </w:p>
    <w:p w:rsidR="00D03921" w:rsidRPr="002C1BB6" w:rsidRDefault="00D03921" w:rsidP="002C1BB6">
      <w:pPr>
        <w:rPr>
          <w:sz w:val="22"/>
          <w:szCs w:val="22"/>
        </w:rPr>
      </w:pPr>
      <w:r>
        <w:rPr>
          <w:sz w:val="22"/>
          <w:szCs w:val="22"/>
        </w:rPr>
        <w:t>Submitted by Michel Conroy, UREC Chair, 2013 - 2019</w:t>
      </w:r>
      <w:bookmarkStart w:id="0" w:name="_GoBack"/>
      <w:bookmarkEnd w:id="0"/>
    </w:p>
    <w:sectPr w:rsidR="00D03921" w:rsidRPr="002C1BB6" w:rsidSect="00576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36361"/>
    <w:multiLevelType w:val="hybridMultilevel"/>
    <w:tmpl w:val="78F25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2554C8"/>
    <w:multiLevelType w:val="hybridMultilevel"/>
    <w:tmpl w:val="AA54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01576"/>
    <w:multiLevelType w:val="multilevel"/>
    <w:tmpl w:val="EAC2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B6"/>
    <w:rsid w:val="000D6D35"/>
    <w:rsid w:val="002C1BB6"/>
    <w:rsid w:val="003E7794"/>
    <w:rsid w:val="004F2C83"/>
    <w:rsid w:val="00576C79"/>
    <w:rsid w:val="00676663"/>
    <w:rsid w:val="00680F82"/>
    <w:rsid w:val="00821F7B"/>
    <w:rsid w:val="00861B40"/>
    <w:rsid w:val="009D29CD"/>
    <w:rsid w:val="00A00B78"/>
    <w:rsid w:val="00BE54B4"/>
    <w:rsid w:val="00C35CBC"/>
    <w:rsid w:val="00D03921"/>
    <w:rsid w:val="00D413F7"/>
    <w:rsid w:val="00D7644B"/>
    <w:rsid w:val="00DF0780"/>
    <w:rsid w:val="00F95C6A"/>
    <w:rsid w:val="00FC1440"/>
    <w:rsid w:val="00FD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47DBF"/>
  <w15:chartTrackingRefBased/>
  <w15:docId w15:val="{1455655F-E6E9-364F-9BDE-6A377EB2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2019-04-17T05:04:00Z</dcterms:created>
  <dcterms:modified xsi:type="dcterms:W3CDTF">2019-10-30T15:57:00Z</dcterms:modified>
</cp:coreProperties>
</file>