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90730" w:rsidR="00F11E80" w:rsidP="00F11E80" w:rsidRDefault="00F11E80" w14:paraId="2CC700E9" w14:textId="2E41E649">
      <w:pPr>
        <w:pStyle w:val="DefaultText"/>
        <w:rPr>
          <w:rFonts w:ascii="Calibri" w:hAnsi="Calibri"/>
          <w:szCs w:val="24"/>
        </w:rPr>
      </w:pPr>
      <w:r w:rsidRPr="00190730">
        <w:rPr>
          <w:rFonts w:ascii="Calibri" w:hAnsi="Calibri"/>
          <w:szCs w:val="24"/>
        </w:rPr>
        <w:t xml:space="preserve">This checklist should be used </w:t>
      </w:r>
      <w:r w:rsidRPr="00F11E80">
        <w:rPr>
          <w:rFonts w:ascii="Calibri" w:hAnsi="Calibri"/>
          <w:b/>
          <w:szCs w:val="24"/>
          <w:u w:val="single"/>
        </w:rPr>
        <w:t xml:space="preserve">when an employee transfers from one department to </w:t>
      </w:r>
      <w:r w:rsidRPr="00F11E80" w:rsidR="001774E4">
        <w:rPr>
          <w:rFonts w:ascii="Calibri" w:hAnsi="Calibri"/>
          <w:b/>
          <w:szCs w:val="24"/>
          <w:u w:val="single"/>
        </w:rPr>
        <w:t>another</w:t>
      </w:r>
      <w:r w:rsidRPr="00190730" w:rsidR="001774E4">
        <w:rPr>
          <w:rFonts w:ascii="Calibri" w:hAnsi="Calibri"/>
          <w:szCs w:val="24"/>
        </w:rPr>
        <w:t xml:space="preserve"> but</w:t>
      </w:r>
      <w:r w:rsidRPr="00190730">
        <w:rPr>
          <w:rFonts w:ascii="Calibri" w:hAnsi="Calibri"/>
          <w:szCs w:val="24"/>
        </w:rPr>
        <w:t xml:space="preserve"> does not separate employment with the university.</w:t>
      </w:r>
    </w:p>
    <w:p w:rsidR="002E3100" w:rsidRDefault="002E3100" w14:paraId="697AB33F" w14:textId="77777777"/>
    <w:p w:rsidRPr="00871D64" w:rsidR="00F11E80" w:rsidP="00F11E80" w:rsidRDefault="00F11E80" w14:paraId="233B7877" w14:textId="77777777">
      <w:pPr>
        <w:pStyle w:val="ListParagraph"/>
        <w:numPr>
          <w:ilvl w:val="0"/>
          <w:numId w:val="1"/>
        </w:numPr>
      </w:pPr>
      <w:r w:rsidRPr="00F11E80">
        <w:rPr>
          <w:rFonts w:ascii="Calibri" w:hAnsi="Calibri"/>
          <w:szCs w:val="24"/>
        </w:rPr>
        <w:t>Complete time entry in SAP</w:t>
      </w:r>
    </w:p>
    <w:p w:rsidR="00871D64" w:rsidP="00871D64" w:rsidRDefault="00871D64" w14:paraId="3B893B62" w14:textId="77777777">
      <w:pPr>
        <w:pStyle w:val="ListParagraph"/>
      </w:pPr>
    </w:p>
    <w:p w:rsidR="00F11E80" w:rsidP="00F11E80" w:rsidRDefault="00F11E80" w14:paraId="1AB7E363" w14:textId="0C13640B">
      <w:pPr>
        <w:pStyle w:val="ListParagraph"/>
        <w:numPr>
          <w:ilvl w:val="0"/>
          <w:numId w:val="1"/>
        </w:numPr>
      </w:pPr>
      <w:r>
        <w:t xml:space="preserve">Advise employee to return all university property and equipment. Keys </w:t>
      </w:r>
      <w:r w:rsidR="00872A0B">
        <w:t xml:space="preserve">issued at the request of the outbound department </w:t>
      </w:r>
      <w:r>
        <w:t xml:space="preserve">must be returned to </w:t>
      </w:r>
      <w:r w:rsidR="00B67B2E">
        <w:t>Ingress Management Services</w:t>
      </w:r>
      <w:r w:rsidR="00872A0B">
        <w:t xml:space="preserve"> (IMS)</w:t>
      </w:r>
      <w:r w:rsidR="00B67B2E">
        <w:t xml:space="preserve"> in Facilities </w:t>
      </w:r>
      <w:proofErr w:type="spellStart"/>
      <w:r w:rsidR="00B67B2E">
        <w:t>Bldg</w:t>
      </w:r>
      <w:proofErr w:type="spellEnd"/>
      <w:r w:rsidR="00B67B2E">
        <w:t xml:space="preserve"> 780 at 151-1 E. Sessom Dr, Rm 104</w:t>
      </w:r>
      <w:r>
        <w:t xml:space="preserve">. The employee will be issued a receipt to return to their </w:t>
      </w:r>
      <w:r w:rsidR="00872A0B">
        <w:t xml:space="preserve">outbound </w:t>
      </w:r>
      <w:r>
        <w:t xml:space="preserve">department. </w:t>
      </w:r>
    </w:p>
    <w:p w:rsidR="00871D64" w:rsidP="00871D64" w:rsidRDefault="00871D64" w14:paraId="1B9B1D11" w14:textId="77777777">
      <w:pPr>
        <w:pStyle w:val="ListParagraph"/>
      </w:pPr>
    </w:p>
    <w:p w:rsidR="00F11E80" w:rsidP="00F11E80" w:rsidRDefault="00F11E80" w14:paraId="28B6CF52" w14:textId="77777777">
      <w:pPr>
        <w:pStyle w:val="ListParagraph"/>
        <w:numPr>
          <w:ilvl w:val="0"/>
          <w:numId w:val="1"/>
        </w:numPr>
      </w:pPr>
      <w:r>
        <w:t xml:space="preserve">Retain departmental personnel records for five years. </w:t>
      </w:r>
    </w:p>
    <w:p w:rsidR="00871D64" w:rsidP="00871D64" w:rsidRDefault="00871D64" w14:paraId="083C54D5" w14:textId="77777777">
      <w:pPr>
        <w:pStyle w:val="ListParagraph"/>
      </w:pPr>
    </w:p>
    <w:p w:rsidRPr="00871D64" w:rsidR="00F11E80" w:rsidP="00F11E80" w:rsidRDefault="00F11E80" w14:paraId="0D8F3344" w14:textId="77777777">
      <w:pPr>
        <w:rPr>
          <w:b/>
        </w:rPr>
      </w:pPr>
      <w:r w:rsidRPr="00871D64">
        <w:rPr>
          <w:b/>
        </w:rPr>
        <w:t>Notify the following offices to discontinue authorization/access:</w:t>
      </w:r>
    </w:p>
    <w:p w:rsidRPr="00871D64" w:rsidR="00F11E80" w:rsidP="00871D64" w:rsidRDefault="00F11E80" w14:paraId="49AE80E8" w14:textId="1C20F9DB">
      <w:pPr>
        <w:pStyle w:val="ListParagraph"/>
        <w:numPr>
          <w:ilvl w:val="0"/>
          <w:numId w:val="2"/>
        </w:numPr>
        <w:rPr>
          <w:rFonts w:ascii="Calibri" w:hAnsi="Calibri"/>
          <w:szCs w:val="24"/>
        </w:rPr>
      </w:pPr>
      <w:r w:rsidRPr="00871D64">
        <w:rPr>
          <w:rFonts w:ascii="Calibri" w:hAnsi="Calibri"/>
          <w:szCs w:val="24"/>
        </w:rPr>
        <w:t xml:space="preserve">IT Assistance Center (ITAC) for telephone changes and IT access removal by </w:t>
      </w:r>
      <w:r w:rsidR="003639D4">
        <w:rPr>
          <w:rFonts w:ascii="Calibri" w:hAnsi="Calibri"/>
          <w:szCs w:val="24"/>
        </w:rPr>
        <w:t xml:space="preserve">visiting the </w:t>
      </w:r>
      <w:hyperlink w:history="1" r:id="rId8">
        <w:r w:rsidRPr="003639D4" w:rsidR="003639D4">
          <w:rPr>
            <w:rStyle w:val="Hyperlink"/>
            <w:rFonts w:ascii="Calibri" w:hAnsi="Calibri"/>
            <w:szCs w:val="24"/>
          </w:rPr>
          <w:t>Employee Separation Support Website</w:t>
        </w:r>
      </w:hyperlink>
      <w:r w:rsidR="003639D4">
        <w:rPr>
          <w:rFonts w:ascii="Calibri" w:hAnsi="Calibri"/>
          <w:szCs w:val="24"/>
        </w:rPr>
        <w:t>.</w:t>
      </w:r>
    </w:p>
    <w:p w:rsidRPr="00871D64" w:rsidR="00F11E80" w:rsidP="00871D64" w:rsidRDefault="00F11E80" w14:paraId="46942FE1" w14:textId="77777777">
      <w:pPr>
        <w:pStyle w:val="DefaultText"/>
        <w:tabs>
          <w:tab w:val="left" w:pos="720"/>
          <w:tab w:val="left" w:pos="1440"/>
          <w:tab w:val="left" w:pos="2520"/>
        </w:tabs>
        <w:ind w:left="720"/>
        <w:rPr>
          <w:rFonts w:ascii="Calibri" w:hAnsi="Calibri"/>
          <w:i/>
          <w:sz w:val="22"/>
          <w:szCs w:val="24"/>
        </w:rPr>
      </w:pPr>
      <w:r w:rsidRPr="00871D64">
        <w:rPr>
          <w:rFonts w:ascii="Calibri" w:hAnsi="Calibri"/>
          <w:i/>
          <w:sz w:val="22"/>
          <w:szCs w:val="24"/>
        </w:rPr>
        <w:t>Note: ITAC will not deactivate the employee’s NetID since this person will remain employed at Texas State. It is critical that you revoke access to your department-specific applications.</w:t>
      </w:r>
    </w:p>
    <w:p w:rsidR="00871D64" w:rsidP="00871D64" w:rsidRDefault="00871D64" w14:paraId="3DFD9E49" w14:textId="77777777">
      <w:pPr>
        <w:pStyle w:val="DefaultText"/>
        <w:tabs>
          <w:tab w:val="left" w:pos="720"/>
          <w:tab w:val="left" w:pos="1440"/>
          <w:tab w:val="left" w:pos="2520"/>
        </w:tabs>
        <w:ind w:left="720"/>
        <w:rPr>
          <w:rFonts w:ascii="Calibri" w:hAnsi="Calibri"/>
          <w:szCs w:val="24"/>
        </w:rPr>
      </w:pPr>
    </w:p>
    <w:p w:rsidR="00F11E80" w:rsidP="3BFE8076" w:rsidRDefault="00872A0B" w14:paraId="45AE1E4D" w14:textId="7F4E6D40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160"/>
        </w:tabs>
        <w:ind w:right="-806"/>
        <w:rPr>
          <w:rFonts w:ascii="Calibri" w:hAnsi="Calibri"/>
        </w:rPr>
      </w:pPr>
      <w:r w:rsidRPr="3BFE8076" w:rsidR="00872A0B">
        <w:rPr>
          <w:rFonts w:ascii="Calibri" w:hAnsi="Calibri"/>
        </w:rPr>
        <w:t xml:space="preserve">Submit a customer request in </w:t>
      </w:r>
      <w:hyperlink r:id="Rc839f7356b9043de">
        <w:r w:rsidRPr="3BFE8076" w:rsidR="00872A0B">
          <w:rPr>
            <w:rStyle w:val="Hyperlink"/>
            <w:rFonts w:ascii="Calibri" w:hAnsi="Calibri"/>
          </w:rPr>
          <w:t>AiM</w:t>
        </w:r>
      </w:hyperlink>
      <w:r w:rsidRPr="3BFE8076" w:rsidR="00872A0B">
        <w:rPr>
          <w:rFonts w:ascii="Calibri" w:hAnsi="Calibri"/>
        </w:rPr>
        <w:t xml:space="preserve"> </w:t>
      </w:r>
      <w:r w:rsidRPr="3BFE8076" w:rsidR="00F11E80">
        <w:rPr>
          <w:rFonts w:ascii="Calibri" w:hAnsi="Calibri"/>
        </w:rPr>
        <w:t xml:space="preserve">to remove </w:t>
      </w:r>
      <w:r w:rsidRPr="3BFE8076" w:rsidR="00872A0B">
        <w:rPr>
          <w:rFonts w:ascii="Calibri" w:hAnsi="Calibri"/>
        </w:rPr>
        <w:t xml:space="preserve">departmental card access </w:t>
      </w:r>
      <w:r w:rsidRPr="3BFE8076" w:rsidR="00F11E80">
        <w:rPr>
          <w:rFonts w:ascii="Calibri" w:hAnsi="Calibri"/>
        </w:rPr>
        <w:t>permissions</w:t>
      </w:r>
      <w:r w:rsidRPr="3BFE8076" w:rsidR="00872A0B">
        <w:rPr>
          <w:rFonts w:ascii="Calibri" w:hAnsi="Calibri"/>
        </w:rPr>
        <w:t>.</w:t>
      </w:r>
      <w:r w:rsidRPr="3BFE8076" w:rsidR="00F11E80">
        <w:rPr>
          <w:rFonts w:ascii="Calibri" w:hAnsi="Calibri"/>
        </w:rPr>
        <w:t xml:space="preserve"> (</w:t>
      </w:r>
      <w:r w:rsidRPr="3BFE8076" w:rsidR="516B9B53">
        <w:rPr>
          <w:rFonts w:ascii="Calibri" w:hAnsi="Calibri"/>
        </w:rPr>
        <w:t>512.245</w:t>
      </w:r>
      <w:r w:rsidRPr="3BFE8076" w:rsidR="00871D64">
        <w:rPr>
          <w:rFonts w:ascii="Calibri" w:hAnsi="Calibri"/>
        </w:rPr>
        <w:t>.</w:t>
      </w:r>
      <w:r w:rsidRPr="3BFE8076" w:rsidR="76BACDE9">
        <w:rPr>
          <w:rFonts w:ascii="Calibri" w:hAnsi="Calibri"/>
        </w:rPr>
        <w:t>2824</w:t>
      </w:r>
      <w:r w:rsidRPr="3BFE8076" w:rsidR="00F11E80">
        <w:rPr>
          <w:rFonts w:ascii="Calibri" w:hAnsi="Calibri"/>
        </w:rPr>
        <w:t>)</w:t>
      </w:r>
      <w:r w:rsidRPr="3BFE8076" w:rsidR="00B67B2E">
        <w:rPr>
          <w:rFonts w:ascii="Calibri" w:hAnsi="Calibri"/>
        </w:rPr>
        <w:t xml:space="preserve"> </w:t>
      </w:r>
      <w:hyperlink r:id="Re58881d4d2a54140">
        <w:r w:rsidRPr="3BFE8076" w:rsidR="005218DE">
          <w:rPr>
            <w:rStyle w:val="Hyperlink"/>
            <w:rFonts w:ascii="Calibri" w:hAnsi="Calibri" w:cs="Calibri" w:asciiTheme="minorAscii" w:hAnsiTheme="minorAscii" w:cstheme="minorAscii"/>
          </w:rPr>
          <w:t>ingress_mgmt_svs@txstate.edu</w:t>
        </w:r>
      </w:hyperlink>
    </w:p>
    <w:p w:rsidRPr="00871D64" w:rsidR="00871D64" w:rsidP="00871D64" w:rsidRDefault="00871D64" w14:paraId="43CD4A43" w14:textId="77777777">
      <w:pPr>
        <w:pStyle w:val="DefaultText"/>
        <w:tabs>
          <w:tab w:val="left" w:pos="720"/>
          <w:tab w:val="left" w:pos="1440"/>
          <w:tab w:val="left" w:pos="2160"/>
        </w:tabs>
        <w:ind w:left="2520"/>
        <w:rPr>
          <w:rFonts w:ascii="Calibri" w:hAnsi="Calibri"/>
          <w:szCs w:val="24"/>
        </w:rPr>
      </w:pPr>
    </w:p>
    <w:p w:rsidRPr="00190730" w:rsidR="00F11E80" w:rsidP="3BFE8076" w:rsidRDefault="00F11E80" w14:paraId="35A6C176" w14:textId="202B82CC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520"/>
        </w:tabs>
        <w:rPr>
          <w:rFonts w:ascii="Calibri" w:hAnsi="Calibri"/>
        </w:rPr>
      </w:pPr>
      <w:r w:rsidRPr="3BFE8076" w:rsidR="00F11E80">
        <w:rPr>
          <w:rFonts w:ascii="Calibri" w:hAnsi="Calibri"/>
        </w:rPr>
        <w:t xml:space="preserve">Travel for </w:t>
      </w:r>
      <w:r w:rsidRPr="3BFE8076" w:rsidR="00B67B2E">
        <w:rPr>
          <w:rFonts w:ascii="Calibri" w:hAnsi="Calibri"/>
        </w:rPr>
        <w:t xml:space="preserve">State </w:t>
      </w:r>
      <w:r w:rsidRPr="3BFE8076" w:rsidR="00F11E80">
        <w:rPr>
          <w:rFonts w:ascii="Calibri" w:hAnsi="Calibri"/>
        </w:rPr>
        <w:t xml:space="preserve">Travel </w:t>
      </w:r>
      <w:r w:rsidRPr="3BFE8076" w:rsidR="00B67B2E">
        <w:rPr>
          <w:rFonts w:ascii="Calibri" w:hAnsi="Calibri"/>
        </w:rPr>
        <w:t xml:space="preserve">Charge </w:t>
      </w:r>
      <w:r w:rsidRPr="3BFE8076" w:rsidR="00F11E80">
        <w:rPr>
          <w:rFonts w:ascii="Calibri" w:hAnsi="Calibri"/>
        </w:rPr>
        <w:t>Card (</w:t>
      </w:r>
      <w:r w:rsidRPr="3BFE8076" w:rsidR="516B9B53">
        <w:rPr>
          <w:rFonts w:ascii="Calibri" w:hAnsi="Calibri"/>
        </w:rPr>
        <w:t>512.245</w:t>
      </w:r>
      <w:r w:rsidRPr="3BFE8076" w:rsidR="00871D64">
        <w:rPr>
          <w:rFonts w:ascii="Calibri" w:hAnsi="Calibri"/>
        </w:rPr>
        <w:t>.</w:t>
      </w:r>
      <w:r w:rsidRPr="3BFE8076" w:rsidR="00F11E80">
        <w:rPr>
          <w:rFonts w:ascii="Calibri" w:hAnsi="Calibri"/>
        </w:rPr>
        <w:t>2775)</w:t>
      </w:r>
    </w:p>
    <w:p w:rsidRPr="00190730" w:rsidR="00F11E80" w:rsidP="00F11E80" w:rsidRDefault="00F11E80" w14:paraId="59588C87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szCs w:val="24"/>
        </w:rPr>
      </w:pPr>
    </w:p>
    <w:p w:rsidR="00F11E80" w:rsidP="3BFE8076" w:rsidRDefault="00F11E80" w14:paraId="35140DE1" w14:textId="3B4B5443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520"/>
        </w:tabs>
        <w:rPr>
          <w:rFonts w:ascii="Calibri" w:hAnsi="Calibri"/>
        </w:rPr>
      </w:pPr>
      <w:r w:rsidRPr="3BFE8076" w:rsidR="00F11E80">
        <w:rPr>
          <w:rFonts w:ascii="Calibri" w:hAnsi="Calibri"/>
        </w:rPr>
        <w:t xml:space="preserve">Purchasing for P-card </w:t>
      </w:r>
      <w:r w:rsidRPr="3BFE8076" w:rsidR="00871D64">
        <w:rPr>
          <w:rFonts w:ascii="Calibri" w:hAnsi="Calibri"/>
        </w:rPr>
        <w:t>(</w:t>
      </w:r>
      <w:r w:rsidRPr="3BFE8076" w:rsidR="516B9B53">
        <w:rPr>
          <w:rFonts w:ascii="Calibri" w:hAnsi="Calibri"/>
        </w:rPr>
        <w:t>512.245</w:t>
      </w:r>
      <w:r w:rsidRPr="3BFE8076" w:rsidR="00871D64">
        <w:rPr>
          <w:rFonts w:ascii="Calibri" w:hAnsi="Calibri"/>
        </w:rPr>
        <w:t>.</w:t>
      </w:r>
      <w:r w:rsidRPr="3BFE8076" w:rsidR="00F11E80">
        <w:rPr>
          <w:rFonts w:ascii="Calibri" w:hAnsi="Calibri"/>
        </w:rPr>
        <w:t>2521)</w:t>
      </w:r>
    </w:p>
    <w:p w:rsidR="00F11E80" w:rsidP="00F11E80" w:rsidRDefault="00F11E80" w14:paraId="5D654DB9" w14:textId="77777777">
      <w:pPr>
        <w:pStyle w:val="DefaultText"/>
        <w:tabs>
          <w:tab w:val="left" w:pos="720"/>
          <w:tab w:val="left" w:pos="1440"/>
          <w:tab w:val="left" w:pos="2520"/>
        </w:tabs>
        <w:ind w:left="2520"/>
        <w:rPr>
          <w:rFonts w:ascii="Calibri" w:hAnsi="Calibri"/>
          <w:szCs w:val="24"/>
        </w:rPr>
      </w:pPr>
    </w:p>
    <w:p w:rsidRPr="00871D64" w:rsidR="00F11E80" w:rsidP="00871D64" w:rsidRDefault="00F11E80" w14:paraId="12639C02" w14:textId="77777777">
      <w:pPr>
        <w:pStyle w:val="DefaultText"/>
        <w:numPr>
          <w:ilvl w:val="0"/>
          <w:numId w:val="2"/>
        </w:numPr>
        <w:tabs>
          <w:tab w:val="left" w:pos="720"/>
          <w:tab w:val="left" w:pos="1440"/>
          <w:tab w:val="left" w:pos="2520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Financial Reporting &amp; Analysis if transferring employee is an account manager. Send the</w:t>
      </w:r>
      <w:r w:rsidR="00871D64">
        <w:rPr>
          <w:rFonts w:ascii="Calibri" w:hAnsi="Calibri"/>
          <w:szCs w:val="24"/>
        </w:rPr>
        <w:t xml:space="preserve"> </w:t>
      </w:r>
      <w:hyperlink w:history="1" r:id="rId11">
        <w:r w:rsidRPr="00871D64">
          <w:rPr>
            <w:rStyle w:val="Hyperlink"/>
            <w:rFonts w:ascii="Calibri" w:hAnsi="Calibri"/>
            <w:szCs w:val="24"/>
          </w:rPr>
          <w:t>Account Manager Change Request</w:t>
        </w:r>
      </w:hyperlink>
      <w:r w:rsidRPr="00871D64">
        <w:rPr>
          <w:rFonts w:ascii="Calibri" w:hAnsi="Calibri"/>
          <w:szCs w:val="24"/>
        </w:rPr>
        <w:t xml:space="preserve"> form to  </w:t>
      </w:r>
      <w:hyperlink w:history="1" r:id="rId12">
        <w:r w:rsidRPr="00871D64">
          <w:rPr>
            <w:rStyle w:val="Hyperlink"/>
            <w:rFonts w:ascii="Calibri" w:hAnsi="Calibri"/>
            <w:szCs w:val="24"/>
          </w:rPr>
          <w:t>fiaccountrequest@txstate.edu</w:t>
        </w:r>
      </w:hyperlink>
      <w:r w:rsidRPr="00871D64">
        <w:rPr>
          <w:rFonts w:ascii="Calibri" w:hAnsi="Calibri"/>
          <w:szCs w:val="24"/>
        </w:rPr>
        <w:t>.</w:t>
      </w:r>
    </w:p>
    <w:p w:rsidRPr="00190730" w:rsidR="00F11E80" w:rsidP="00F11E80" w:rsidRDefault="00F11E80" w14:paraId="1264BE7D" w14:textId="77777777">
      <w:pPr>
        <w:pStyle w:val="DefaultText"/>
        <w:tabs>
          <w:tab w:val="left" w:pos="720"/>
          <w:tab w:val="left" w:pos="1440"/>
          <w:tab w:val="left" w:pos="2520"/>
        </w:tabs>
        <w:ind w:left="2520"/>
        <w:rPr>
          <w:rFonts w:ascii="Calibri" w:hAnsi="Calibri"/>
          <w:szCs w:val="24"/>
        </w:rPr>
      </w:pPr>
    </w:p>
    <w:p w:rsidRPr="00871D64" w:rsidR="00F11E80" w:rsidP="00871D64" w:rsidRDefault="00F11E80" w14:paraId="3DEC7902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b/>
          <w:szCs w:val="24"/>
        </w:rPr>
      </w:pPr>
      <w:r w:rsidRPr="00871D64">
        <w:rPr>
          <w:rFonts w:ascii="Calibri" w:hAnsi="Calibri"/>
          <w:b/>
          <w:szCs w:val="24"/>
        </w:rPr>
        <w:t>Applicable for regular staff only:</w:t>
      </w:r>
    </w:p>
    <w:p w:rsidRPr="00190730" w:rsidR="00F11E80" w:rsidP="00F11E80" w:rsidRDefault="00F11E80" w14:paraId="33EB1306" w14:textId="77777777">
      <w:pPr>
        <w:pStyle w:val="DefaultText"/>
        <w:tabs>
          <w:tab w:val="left" w:pos="720"/>
          <w:tab w:val="left" w:pos="1440"/>
          <w:tab w:val="left" w:pos="2520"/>
        </w:tabs>
        <w:ind w:left="2520"/>
        <w:rPr>
          <w:rFonts w:ascii="Calibri" w:hAnsi="Calibri"/>
          <w:szCs w:val="24"/>
        </w:rPr>
      </w:pPr>
    </w:p>
    <w:p w:rsidRPr="00871D64" w:rsidR="00F11E80" w:rsidP="00871D64" w:rsidRDefault="00F11E80" w14:paraId="5C45AA17" w14:textId="77777777">
      <w:pPr>
        <w:pStyle w:val="DefaultText"/>
        <w:numPr>
          <w:ilvl w:val="0"/>
          <w:numId w:val="3"/>
        </w:numPr>
        <w:tabs>
          <w:tab w:val="left" w:pos="720"/>
          <w:tab w:val="left" w:pos="1440"/>
          <w:tab w:val="left" w:pos="2520"/>
        </w:tabs>
        <w:rPr>
          <w:rFonts w:ascii="Calibri" w:hAnsi="Calibri"/>
          <w:szCs w:val="24"/>
        </w:rPr>
      </w:pPr>
      <w:r w:rsidRPr="00190730">
        <w:rPr>
          <w:rFonts w:ascii="Calibri" w:hAnsi="Calibri"/>
          <w:szCs w:val="24"/>
        </w:rPr>
        <w:t xml:space="preserve">Submit a </w:t>
      </w:r>
      <w:hyperlink w:history="1" r:id="rId13">
        <w:r w:rsidRPr="007076C6">
          <w:rPr>
            <w:rStyle w:val="Hyperlink"/>
            <w:rFonts w:ascii="Calibri" w:hAnsi="Calibri"/>
            <w:szCs w:val="24"/>
          </w:rPr>
          <w:t>Request for Payment of Leave</w:t>
        </w:r>
      </w:hyperlink>
      <w:r w:rsidRPr="00190730">
        <w:rPr>
          <w:rFonts w:ascii="Calibri" w:hAnsi="Calibri"/>
          <w:szCs w:val="24"/>
        </w:rPr>
        <w:t xml:space="preserve"> form to Human Resources for any remaining FLSA</w:t>
      </w:r>
      <w:r w:rsidR="00871D64">
        <w:rPr>
          <w:rFonts w:ascii="Calibri" w:hAnsi="Calibri"/>
          <w:szCs w:val="24"/>
        </w:rPr>
        <w:t xml:space="preserve"> </w:t>
      </w:r>
      <w:r w:rsidRPr="00871D64">
        <w:rPr>
          <w:rFonts w:ascii="Calibri" w:hAnsi="Calibri"/>
          <w:szCs w:val="24"/>
        </w:rPr>
        <w:t>Overtime balance.</w:t>
      </w:r>
    </w:p>
    <w:p w:rsidR="00F11E80" w:rsidP="00871D64" w:rsidRDefault="00F11E80" w14:paraId="779B172F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szCs w:val="24"/>
        </w:rPr>
      </w:pPr>
    </w:p>
    <w:p w:rsidR="00F11E80" w:rsidP="00871D64" w:rsidRDefault="00F11E80" w14:paraId="13D55652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i/>
          <w:szCs w:val="24"/>
        </w:rPr>
      </w:pPr>
      <w:r w:rsidRPr="00190730">
        <w:rPr>
          <w:rFonts w:ascii="Calibri" w:hAnsi="Calibri"/>
          <w:szCs w:val="24"/>
        </w:rPr>
        <w:t xml:space="preserve">A </w:t>
      </w:r>
      <w:r w:rsidRPr="00190730">
        <w:rPr>
          <w:rFonts w:ascii="Calibri" w:hAnsi="Calibri"/>
          <w:i/>
          <w:szCs w:val="24"/>
        </w:rPr>
        <w:t>Change in Position</w:t>
      </w:r>
      <w:r w:rsidRPr="00190730">
        <w:rPr>
          <w:rFonts w:ascii="Calibri" w:hAnsi="Calibri"/>
          <w:szCs w:val="24"/>
        </w:rPr>
        <w:t xml:space="preserve"> Personnel Change Request (PCR) should be completed by the gaining department</w:t>
      </w:r>
      <w:r w:rsidRPr="00190730">
        <w:rPr>
          <w:rFonts w:ascii="Calibri" w:hAnsi="Calibri"/>
          <w:i/>
          <w:szCs w:val="24"/>
        </w:rPr>
        <w:t>.</w:t>
      </w:r>
    </w:p>
    <w:p w:rsidR="00871D64" w:rsidP="00871D64" w:rsidRDefault="00871D64" w14:paraId="7A5D3F28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i/>
          <w:szCs w:val="24"/>
        </w:rPr>
      </w:pPr>
    </w:p>
    <w:p w:rsidR="00871D64" w:rsidP="00871D64" w:rsidRDefault="00871D64" w14:paraId="664CEAA6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i/>
          <w:szCs w:val="24"/>
        </w:rPr>
      </w:pPr>
    </w:p>
    <w:p w:rsidR="00871D64" w:rsidP="00871D64" w:rsidRDefault="00871D64" w14:paraId="2FD2CBBB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szCs w:val="24"/>
        </w:rPr>
      </w:pPr>
    </w:p>
    <w:p w:rsidR="00F11E80" w:rsidP="00F11E80" w:rsidRDefault="00F11E80" w14:paraId="44DE8E37" w14:textId="77777777">
      <w:pPr>
        <w:pStyle w:val="DefaultText"/>
        <w:tabs>
          <w:tab w:val="left" w:pos="720"/>
          <w:tab w:val="left" w:pos="1440"/>
          <w:tab w:val="left" w:pos="2520"/>
        </w:tabs>
        <w:ind w:left="2520"/>
        <w:rPr>
          <w:rFonts w:ascii="Calibri" w:hAnsi="Calibri"/>
          <w:szCs w:val="24"/>
        </w:rPr>
      </w:pPr>
    </w:p>
    <w:p w:rsidRPr="00871D64" w:rsidR="00F11E80" w:rsidP="00871D64" w:rsidRDefault="00F11E80" w14:paraId="2902A02F" w14:textId="77777777">
      <w:pPr>
        <w:pStyle w:val="DefaultText"/>
        <w:tabs>
          <w:tab w:val="left" w:pos="720"/>
          <w:tab w:val="left" w:pos="1440"/>
          <w:tab w:val="left" w:pos="2520"/>
        </w:tabs>
        <w:jc w:val="center"/>
        <w:rPr>
          <w:rFonts w:ascii="Calibri" w:hAnsi="Calibri"/>
          <w:b/>
          <w:i/>
          <w:sz w:val="28"/>
          <w:szCs w:val="22"/>
        </w:rPr>
      </w:pPr>
      <w:r w:rsidRPr="00871D64">
        <w:rPr>
          <w:rFonts w:ascii="Calibri" w:hAnsi="Calibri"/>
          <w:b/>
          <w:i/>
          <w:sz w:val="28"/>
          <w:szCs w:val="22"/>
        </w:rPr>
        <w:t>This form is for departmental use only – do not send to Human Resources</w:t>
      </w:r>
    </w:p>
    <w:p w:rsidR="00F11E80" w:rsidP="00F11E80" w:rsidRDefault="00F11E80" w14:paraId="64C7FA7F" w14:textId="77777777">
      <w:pPr>
        <w:pStyle w:val="DefaultText"/>
        <w:tabs>
          <w:tab w:val="left" w:pos="720"/>
          <w:tab w:val="left" w:pos="1440"/>
          <w:tab w:val="left" w:pos="2520"/>
        </w:tabs>
        <w:rPr>
          <w:rFonts w:ascii="Calibri" w:hAnsi="Calibri"/>
          <w:szCs w:val="24"/>
        </w:rPr>
      </w:pPr>
    </w:p>
    <w:p w:rsidR="00F11E80" w:rsidP="00F11E80" w:rsidRDefault="00F11E80" w14:paraId="66E1C8A7" w14:textId="77777777"/>
    <w:sectPr w:rsidR="00F11E80" w:rsidSect="00F11E80">
      <w:headerReference w:type="default" r:id="rId14"/>
      <w:pgSz w:w="12240" w:h="15840" w:orient="portrait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D32" w:rsidP="00F11E80" w:rsidRDefault="00C07D32" w14:paraId="2799F84B" w14:textId="77777777">
      <w:pPr>
        <w:spacing w:after="0" w:line="240" w:lineRule="auto"/>
      </w:pPr>
      <w:r>
        <w:separator/>
      </w:r>
    </w:p>
  </w:endnote>
  <w:endnote w:type="continuationSeparator" w:id="0">
    <w:p w:rsidR="00C07D32" w:rsidP="00F11E80" w:rsidRDefault="00C07D32" w14:paraId="4CDB0E5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D32" w:rsidP="00F11E80" w:rsidRDefault="00C07D32" w14:paraId="434488E7" w14:textId="77777777">
      <w:pPr>
        <w:spacing w:after="0" w:line="240" w:lineRule="auto"/>
      </w:pPr>
      <w:r>
        <w:separator/>
      </w:r>
    </w:p>
  </w:footnote>
  <w:footnote w:type="continuationSeparator" w:id="0">
    <w:p w:rsidR="00C07D32" w:rsidP="00F11E80" w:rsidRDefault="00C07D32" w14:paraId="6AD289E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80"/>
      <w:gridCol w:w="7200"/>
    </w:tblGrid>
    <w:tr w:rsidR="00F11E80" w:rsidTr="00F8534D" w14:paraId="1C164D7C" w14:textId="77777777">
      <w:tc>
        <w:tcPr>
          <w:tcW w:w="2880" w:type="dxa"/>
          <w:tcBorders>
            <w:right w:val="single" w:color="auto" w:sz="4" w:space="0"/>
          </w:tcBorders>
        </w:tcPr>
        <w:p w:rsidR="00F11E80" w:rsidP="00F11E80" w:rsidRDefault="00F11E80" w14:paraId="75C72963" w14:textId="77777777">
          <w:r w:rsidRPr="00753FA4">
            <w:rPr>
              <w:noProof/>
              <w:sz w:val="24"/>
            </w:rPr>
            <w:drawing>
              <wp:inline distT="0" distB="0" distL="0" distR="0" wp14:anchorId="4A51E981" wp14:editId="4377CB89">
                <wp:extent cx="1600200" cy="548640"/>
                <wp:effectExtent l="0" t="0" r="0" b="0"/>
                <wp:docPr id="40" name="Picture 40" descr="C:\Users\lg1187\Documents\Logos\HR logo\HR3color_h_primary_presentation_tran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g1187\Documents\Logos\HR logo\HR3color_h_primary_presentation_tran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color="auto" w:sz="4" w:space="0"/>
          </w:tcBorders>
          <w:vAlign w:val="center"/>
        </w:tcPr>
        <w:p w:rsidRPr="00F11E80" w:rsidR="00F11E80" w:rsidP="00F11E80" w:rsidRDefault="00F11E80" w14:paraId="748BC43B" w14:textId="77777777">
          <w:pPr>
            <w:spacing w:line="300" w:lineRule="auto"/>
            <w:jc w:val="center"/>
            <w:rPr>
              <w:rFonts w:ascii="Arial" w:hAnsi="Arial" w:cs="Arial"/>
              <w:b/>
              <w:spacing w:val="30"/>
              <w:sz w:val="28"/>
              <w:szCs w:val="32"/>
            </w:rPr>
          </w:pPr>
          <w:r w:rsidRPr="00F11E80">
            <w:rPr>
              <w:rFonts w:ascii="Arial" w:hAnsi="Arial" w:cs="Arial"/>
              <w:b/>
              <w:spacing w:val="30"/>
              <w:sz w:val="28"/>
              <w:szCs w:val="32"/>
            </w:rPr>
            <w:t>Transfer to Another Department Checklist</w:t>
          </w:r>
        </w:p>
        <w:p w:rsidRPr="00E56F88" w:rsidR="00F11E80" w:rsidP="00F11E80" w:rsidRDefault="003639D4" w14:paraId="30F402A5" w14:textId="7BEA7EBE">
          <w:pPr>
            <w:spacing w:line="300" w:lineRule="auto"/>
            <w:jc w:val="center"/>
            <w:rPr>
              <w:rFonts w:ascii="Arial" w:hAnsi="Arial" w:cs="Arial"/>
              <w:b/>
              <w:color w:val="501214"/>
              <w:sz w:val="18"/>
              <w:szCs w:val="18"/>
            </w:rPr>
          </w:pPr>
          <w:r>
            <w:rPr>
              <w:rFonts w:ascii="Arial" w:hAnsi="Arial" w:cs="Arial"/>
              <w:b/>
              <w:spacing w:val="30"/>
              <w:sz w:val="18"/>
              <w:szCs w:val="18"/>
            </w:rPr>
            <w:t>Dec</w:t>
          </w:r>
          <w:r w:rsidR="00872A0B">
            <w:rPr>
              <w:rFonts w:ascii="Arial" w:hAnsi="Arial" w:cs="Arial"/>
              <w:b/>
              <w:spacing w:val="30"/>
              <w:sz w:val="18"/>
              <w:szCs w:val="18"/>
            </w:rPr>
            <w:t>ember</w:t>
          </w:r>
          <w:r w:rsidR="00F11E80">
            <w:rPr>
              <w:rFonts w:ascii="Arial" w:hAnsi="Arial" w:cs="Arial"/>
              <w:b/>
              <w:spacing w:val="30"/>
              <w:sz w:val="18"/>
              <w:szCs w:val="18"/>
            </w:rPr>
            <w:t xml:space="preserve"> 20</w:t>
          </w:r>
          <w:r>
            <w:rPr>
              <w:rFonts w:ascii="Arial" w:hAnsi="Arial" w:cs="Arial"/>
              <w:b/>
              <w:spacing w:val="30"/>
              <w:sz w:val="18"/>
              <w:szCs w:val="18"/>
            </w:rPr>
            <w:t>22</w:t>
          </w:r>
        </w:p>
      </w:tc>
    </w:tr>
  </w:tbl>
  <w:p w:rsidRPr="00F11E80" w:rsidR="00F11E80" w:rsidP="00F11E80" w:rsidRDefault="00F11E80" w14:paraId="1EA743D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37BB6"/>
    <w:multiLevelType w:val="hybridMultilevel"/>
    <w:tmpl w:val="8C006400"/>
    <w:lvl w:ilvl="0" w:tplc="161C9548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/>
        <w:caps w:val="0"/>
        <w:strike w:val="0"/>
        <w:dstrike w:val="0"/>
        <w:spacing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1D0A04"/>
    <w:multiLevelType w:val="hybridMultilevel"/>
    <w:tmpl w:val="A7087F54"/>
    <w:lvl w:ilvl="0" w:tplc="161C9548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/>
        <w:caps w:val="0"/>
        <w:strike w:val="0"/>
        <w:dstrike w:val="0"/>
        <w:spacing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7271AA"/>
    <w:multiLevelType w:val="hybridMultilevel"/>
    <w:tmpl w:val="B17683B4"/>
    <w:lvl w:ilvl="0" w:tplc="161C9548">
      <w:start w:val="1"/>
      <w:numFmt w:val="bullet"/>
      <w:lvlText w:val=""/>
      <w:lvlJc w:val="left"/>
      <w:pPr>
        <w:ind w:left="720" w:hanging="360"/>
      </w:pPr>
      <w:rPr>
        <w:rFonts w:hint="default" w:ascii="Wingdings" w:hAnsi="Wingdings"/>
        <w:caps w:val="0"/>
        <w:strike w:val="0"/>
        <w:dstrike w:val="0"/>
        <w:spacing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21349406">
    <w:abstractNumId w:val="2"/>
  </w:num>
  <w:num w:numId="2" w16cid:durableId="891038510">
    <w:abstractNumId w:val="1"/>
  </w:num>
  <w:num w:numId="3" w16cid:durableId="90402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80"/>
    <w:rsid w:val="001774E4"/>
    <w:rsid w:val="00277036"/>
    <w:rsid w:val="002B6ED1"/>
    <w:rsid w:val="002E3100"/>
    <w:rsid w:val="00362583"/>
    <w:rsid w:val="003639D4"/>
    <w:rsid w:val="005218DE"/>
    <w:rsid w:val="00616830"/>
    <w:rsid w:val="007410CC"/>
    <w:rsid w:val="007C3FAA"/>
    <w:rsid w:val="008313F6"/>
    <w:rsid w:val="00871D64"/>
    <w:rsid w:val="00872A0B"/>
    <w:rsid w:val="008C21EE"/>
    <w:rsid w:val="009D1627"/>
    <w:rsid w:val="00AD304F"/>
    <w:rsid w:val="00B67B2E"/>
    <w:rsid w:val="00C07D32"/>
    <w:rsid w:val="00C871C6"/>
    <w:rsid w:val="00D118F5"/>
    <w:rsid w:val="00F11E80"/>
    <w:rsid w:val="3BFE8076"/>
    <w:rsid w:val="516B9B53"/>
    <w:rsid w:val="76BAC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6931F"/>
  <w15:chartTrackingRefBased/>
  <w15:docId w15:val="{7C526411-5AF3-47F5-99F6-D055CE62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1E8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11E80"/>
  </w:style>
  <w:style w:type="paragraph" w:styleId="Footer">
    <w:name w:val="footer"/>
    <w:basedOn w:val="Normal"/>
    <w:link w:val="FooterChar"/>
    <w:uiPriority w:val="99"/>
    <w:unhideWhenUsed/>
    <w:rsid w:val="00F11E8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11E80"/>
  </w:style>
  <w:style w:type="table" w:styleId="TableGrid">
    <w:name w:val="Table Grid"/>
    <w:basedOn w:val="TableNormal"/>
    <w:uiPriority w:val="39"/>
    <w:rsid w:val="00F11E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Text" w:customStyle="1">
    <w:name w:val="Default Text"/>
    <w:basedOn w:val="Normal"/>
    <w:rsid w:val="00F11E80"/>
    <w:pPr>
      <w:spacing w:after="0" w:line="240" w:lineRule="auto"/>
    </w:pPr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F11E80"/>
    <w:pPr>
      <w:ind w:left="720"/>
      <w:contextualSpacing/>
    </w:pPr>
  </w:style>
  <w:style w:type="character" w:styleId="Hyperlink">
    <w:name w:val="Hyperlink"/>
    <w:rsid w:val="00F11E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68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3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703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63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itac.txst.edu/support/separations" TargetMode="External" Id="rId8" /><Relationship Type="http://schemas.openxmlformats.org/officeDocument/2006/relationships/hyperlink" Target="http://www.hr.txstate.edu/Forms/leaveandtimeforms.html" TargetMode="Externa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yperlink" Target="mailto:fiaccountrequest@txstate.edu" TargetMode="Externa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gato-docs.its.txstate.edu/jcr:7e67a16c-30ac-4a4a-b567-f86d85f8e084/Account%20Manager%20Change%20Request.doc" TargetMode="Externa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4" /><Relationship Type="http://schemas.openxmlformats.org/officeDocument/2006/relationships/header" Target="header1.xml" Id="rId14" /><Relationship Type="http://schemas.openxmlformats.org/officeDocument/2006/relationships/hyperlink" Target="https://ready.facilities.txstate.edu/ready" TargetMode="External" Id="Rc839f7356b9043de" /><Relationship Type="http://schemas.openxmlformats.org/officeDocument/2006/relationships/hyperlink" Target="mailto:ingress_mgmt_svs@txstate.edu" TargetMode="External" Id="Re58881d4d2a5414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5429F-F677-4688-89BA-B4E5F41E217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Texas State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Department Transfer Checklist_12.2022</dc:title>
  <dc:subject/>
  <dc:creator>Gonzalez, Laura</dc:creator>
  <keywords/>
  <dc:description/>
  <lastModifiedBy>Wiley, Asanti S</lastModifiedBy>
  <revision>3</revision>
  <lastPrinted>2019-09-05T19:17:00.0000000Z</lastPrinted>
  <dcterms:created xsi:type="dcterms:W3CDTF">2022-12-01T19:35:00.0000000Z</dcterms:created>
  <dcterms:modified xsi:type="dcterms:W3CDTF">2025-07-24T17:40:12.8830018Z</dcterms:modified>
  <category/>
</coreProperties>
</file>