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7A2" w:rsidP="00851062" w:rsidRDefault="007407A2" w14:paraId="5C168B77" w14:textId="77777777">
      <w:pPr>
        <w:ind w:left="720" w:hanging="360"/>
      </w:pPr>
    </w:p>
    <w:p w:rsidRPr="00846334" w:rsidR="00851062" w:rsidP="00851062" w:rsidRDefault="00851062" w14:paraId="129499EC" w14:textId="77777777">
      <w:pPr>
        <w:pStyle w:val="ListParagraph"/>
        <w:numPr>
          <w:ilvl w:val="0"/>
          <w:numId w:val="1"/>
        </w:numPr>
        <w:rPr>
          <w:b/>
        </w:rPr>
      </w:pPr>
      <w:r w:rsidRPr="00846334">
        <w:rPr>
          <w:rFonts w:ascii="Calibri" w:hAnsi="Calibri"/>
          <w:b/>
          <w:szCs w:val="24"/>
        </w:rPr>
        <w:t>Complete time entry in SAP</w:t>
      </w:r>
    </w:p>
    <w:p w:rsidR="00851062" w:rsidP="00851062" w:rsidRDefault="00851062" w14:paraId="69E1BEC9" w14:textId="77777777">
      <w:pPr>
        <w:pStyle w:val="ListParagraph"/>
      </w:pPr>
    </w:p>
    <w:p w:rsidRPr="00846334" w:rsidR="00851062" w:rsidP="00846334" w:rsidRDefault="00846334" w14:paraId="14610CE0" w14:textId="195B4B3A">
      <w:pPr>
        <w:pStyle w:val="ListParagraph"/>
        <w:numPr>
          <w:ilvl w:val="0"/>
          <w:numId w:val="1"/>
        </w:numPr>
        <w:rPr>
          <w:b/>
        </w:rPr>
      </w:pPr>
      <w:r w:rsidRPr="00846334">
        <w:rPr>
          <w:b/>
        </w:rPr>
        <w:t xml:space="preserve">Immediately notify IT Assistance Center (ITAC) to prepare for telephone and IT access removal using online form:  </w:t>
      </w:r>
      <w:hyperlink w:history="1" r:id="rId8">
        <w:r w:rsidRPr="0065441F" w:rsidR="00C35916">
          <w:rPr>
            <w:rStyle w:val="Hyperlink"/>
            <w:b/>
          </w:rPr>
          <w:t>https://itac.txst.edu/support/separations</w:t>
        </w:r>
      </w:hyperlink>
      <w:r w:rsidR="00C35916">
        <w:rPr>
          <w:b/>
        </w:rPr>
        <w:t xml:space="preserve">. </w:t>
      </w:r>
      <w:r w:rsidRPr="00846334">
        <w:rPr>
          <w:b/>
        </w:rPr>
        <w:t>Use the emergency form for any involuntary termination.</w:t>
      </w:r>
    </w:p>
    <w:p w:rsidRPr="00846334" w:rsidR="00846334" w:rsidP="00851062" w:rsidRDefault="00846334" w14:paraId="6A379768" w14:textId="77777777">
      <w:pPr>
        <w:pStyle w:val="ListParagraph"/>
        <w:rPr>
          <w:sz w:val="6"/>
        </w:rPr>
      </w:pPr>
    </w:p>
    <w:p w:rsidRPr="00846334" w:rsidR="00846334" w:rsidP="00846334" w:rsidRDefault="00846334" w14:paraId="71B86D29" w14:textId="77777777">
      <w:pPr>
        <w:pStyle w:val="ListParagraph"/>
        <w:spacing w:after="0"/>
        <w:rPr>
          <w:i/>
          <w:sz w:val="20"/>
        </w:rPr>
      </w:pPr>
      <w:r w:rsidRPr="00846334">
        <w:rPr>
          <w:i/>
          <w:sz w:val="20"/>
        </w:rPr>
        <w:t>Note:  ITAC will revoke access but will not deactivate a student’s NetID. Student NetID’s remain active for up to one year after the last period of enrollment. Therefore, it is critical that you revoke access to your department-specific applications and electronic file repositories.</w:t>
      </w:r>
    </w:p>
    <w:p w:rsidR="00851062" w:rsidP="00851062" w:rsidRDefault="00851062" w14:paraId="4B40ABD0" w14:textId="77777777">
      <w:pPr>
        <w:pStyle w:val="ListParagraph"/>
      </w:pPr>
    </w:p>
    <w:p w:rsidRPr="007407A2" w:rsidR="00846334" w:rsidP="319190AF" w:rsidRDefault="000C63A9" w14:paraId="6E8F360D" w14:textId="618EA9E6">
      <w:pPr>
        <w:pStyle w:val="DefaultText"/>
        <w:numPr>
          <w:ilvl w:val="0"/>
          <w:numId w:val="1"/>
        </w:numPr>
        <w:tabs>
          <w:tab w:val="left" w:pos="720"/>
          <w:tab w:val="left" w:pos="1440"/>
          <w:tab w:val="left" w:pos="2520"/>
        </w:tabs>
        <w:rPr>
          <w:rStyle w:val="Hyperlink"/>
          <w:rFonts w:ascii="Calibri" w:hAnsi="Calibri" w:cs="Calibri" w:asciiTheme="minorAscii" w:hAnsiTheme="minorAscii" w:cstheme="minorAscii"/>
          <w:color w:val="auto"/>
          <w:sz w:val="22"/>
          <w:szCs w:val="22"/>
          <w:u w:val="none"/>
        </w:rPr>
      </w:pPr>
      <w:r w:rsidRPr="319190AF" w:rsidR="000C63A9">
        <w:rPr>
          <w:rFonts w:ascii="Calibri" w:hAnsi="Calibri" w:eastAsia="Calibri" w:cs="Calibri" w:asciiTheme="minorAscii" w:hAnsiTheme="minorAscii" w:eastAsiaTheme="minorAscii" w:cstheme="minorAscii"/>
          <w:b w:val="1"/>
          <w:bCs w:val="1"/>
          <w:snapToGrid/>
          <w:sz w:val="22"/>
          <w:szCs w:val="22"/>
        </w:rPr>
        <w:t>Submit a customer request in</w:t>
      </w:r>
      <w:r w:rsidRPr="319190AF" w:rsidR="007407A2">
        <w:rPr>
          <w:rFonts w:ascii="Calibri" w:hAnsi="Calibri" w:eastAsia="Calibri" w:cs="Calibri" w:asciiTheme="minorAscii" w:hAnsiTheme="minorAscii" w:eastAsiaTheme="minorAscii" w:cstheme="minorAscii"/>
          <w:b w:val="1"/>
          <w:bCs w:val="1"/>
          <w:snapToGrid/>
          <w:sz w:val="22"/>
          <w:szCs w:val="22"/>
        </w:rPr>
        <w:t xml:space="preserve"> </w:t>
      </w:r>
      <w:hyperlink w:history="1" r:id="R89b77af70ce546f5">
        <w:r w:rsidRPr="319190AF" w:rsidR="007407A2">
          <w:rPr>
            <w:rStyle w:val="Hyperlink"/>
            <w:rFonts w:ascii="Calibri" w:hAnsi="Calibri" w:cs="Calibri" w:asciiTheme="minorAscii" w:hAnsiTheme="minorAscii" w:cstheme="minorAscii"/>
            <w:sz w:val="22"/>
            <w:szCs w:val="22"/>
          </w:rPr>
          <w:t>AiM</w:t>
        </w:r>
      </w:hyperlink>
      <w:r w:rsidRPr="319190AF" w:rsidR="00846334">
        <w:rPr>
          <w:rFonts w:ascii="Calibri" w:hAnsi="Calibri" w:eastAsia="Calibri" w:cs="Calibri" w:asciiTheme="minorAscii" w:hAnsiTheme="minorAscii" w:eastAsiaTheme="minorAscii" w:cstheme="minorAscii"/>
          <w:b w:val="1"/>
          <w:bCs w:val="1"/>
          <w:snapToGrid/>
          <w:sz w:val="22"/>
          <w:szCs w:val="22"/>
        </w:rPr>
        <w:t xml:space="preserve"> to remove </w:t>
      </w:r>
      <w:r w:rsidRPr="319190AF" w:rsidR="0053311B">
        <w:rPr>
          <w:rFonts w:ascii="Calibri" w:hAnsi="Calibri" w:eastAsia="Calibri" w:cs="Calibri" w:asciiTheme="minorAscii" w:hAnsiTheme="minorAscii" w:eastAsiaTheme="minorAscii" w:cstheme="minorAscii"/>
          <w:b w:val="1"/>
          <w:bCs w:val="1"/>
          <w:snapToGrid/>
          <w:sz w:val="22"/>
          <w:szCs w:val="22"/>
        </w:rPr>
        <w:t xml:space="preserve">job-related </w:t>
      </w:r>
      <w:r w:rsidRPr="319190AF" w:rsidR="00846334">
        <w:rPr>
          <w:rFonts w:ascii="Calibri" w:hAnsi="Calibri" w:eastAsia="Calibri" w:cs="Calibri" w:asciiTheme="minorAscii" w:hAnsiTheme="minorAscii" w:eastAsiaTheme="minorAscii" w:cstheme="minorAscii"/>
          <w:b w:val="1"/>
          <w:bCs w:val="1"/>
          <w:snapToGrid/>
          <w:sz w:val="22"/>
          <w:szCs w:val="22"/>
        </w:rPr>
        <w:t xml:space="preserve">card </w:t>
      </w:r>
      <w:r w:rsidRPr="319190AF" w:rsidR="000C63A9">
        <w:rPr>
          <w:rFonts w:ascii="Calibri" w:hAnsi="Calibri" w:eastAsia="Calibri" w:cs="Calibri" w:asciiTheme="minorAscii" w:hAnsiTheme="minorAscii" w:eastAsiaTheme="minorAscii" w:cstheme="minorAscii"/>
          <w:b w:val="1"/>
          <w:bCs w:val="1"/>
          <w:snapToGrid/>
          <w:sz w:val="22"/>
          <w:szCs w:val="22"/>
        </w:rPr>
        <w:t xml:space="preserve">access </w:t>
      </w:r>
      <w:r w:rsidRPr="319190AF" w:rsidR="00846334">
        <w:rPr>
          <w:rFonts w:ascii="Calibri" w:hAnsi="Calibri" w:eastAsia="Calibri" w:cs="Calibri" w:asciiTheme="minorAscii" w:hAnsiTheme="minorAscii" w:eastAsiaTheme="minorAscii" w:cstheme="minorAscii"/>
          <w:b w:val="1"/>
          <w:bCs w:val="1"/>
          <w:snapToGrid/>
          <w:sz w:val="22"/>
          <w:szCs w:val="22"/>
        </w:rPr>
        <w:t>permissions</w:t>
      </w:r>
      <w:r w:rsidRPr="319190AF" w:rsidR="00F87975">
        <w:rPr>
          <w:rFonts w:ascii="Calibri" w:hAnsi="Calibri" w:eastAsia="Calibri" w:cs="Calibri" w:asciiTheme="minorAscii" w:hAnsiTheme="minorAscii" w:eastAsiaTheme="minorAscii" w:cstheme="minorAscii"/>
          <w:snapToGrid/>
          <w:sz w:val="22"/>
          <w:szCs w:val="22"/>
        </w:rPr>
        <w:t>.</w:t>
      </w:r>
      <w:r w:rsidRPr="319190AF" w:rsidR="00F87975">
        <w:rPr>
          <w:rFonts w:ascii="Calibri" w:hAnsi="Calibri" w:eastAsia="Calibri" w:cs="" w:eastAsiaTheme="minorAscii" w:cstheme="minorBidi"/>
          <w:snapToGrid/>
          <w:sz w:val="22"/>
          <w:szCs w:val="22"/>
        </w:rPr>
        <w:t xml:space="preserve"> </w:t>
      </w:r>
      <w:r w:rsidRPr="319190AF" w:rsidR="000C63A9">
        <w:rPr>
          <w:rFonts w:ascii="Calibri" w:hAnsi="Calibri" w:eastAsia="Calibri" w:cs="" w:eastAsiaTheme="minorAscii" w:cstheme="minorBidi"/>
          <w:snapToGrid/>
          <w:sz w:val="22"/>
          <w:szCs w:val="22"/>
        </w:rPr>
        <w:t>E</w:t>
      </w:r>
      <w:r w:rsidRPr="319190AF" w:rsidR="00846334">
        <w:rPr>
          <w:rFonts w:ascii="Calibri" w:hAnsi="Calibri" w:eastAsia="Calibri" w:cs="" w:eastAsiaTheme="minorAscii" w:cstheme="minorBidi"/>
          <w:snapToGrid/>
          <w:sz w:val="22"/>
          <w:szCs w:val="22"/>
        </w:rPr>
        <w:t xml:space="preserve">mployee</w:t>
      </w:r>
      <w:r w:rsidRPr="319190AF" w:rsidR="00846334">
        <w:rPr>
          <w:rFonts w:ascii="Calibri" w:hAnsi="Calibri" w:eastAsia="Calibri" w:cs="" w:eastAsiaTheme="minorAscii" w:cstheme="minorBidi"/>
          <w:snapToGrid/>
          <w:sz w:val="22"/>
          <w:szCs w:val="22"/>
        </w:rPr>
        <w:t xml:space="preserve"> </w:t>
      </w:r>
      <w:r w:rsidRPr="319190AF" w:rsidR="000C63A9">
        <w:rPr>
          <w:rFonts w:ascii="Calibri" w:hAnsi="Calibri" w:eastAsia="Calibri" w:cs="" w:eastAsiaTheme="minorAscii" w:cstheme="minorBidi"/>
          <w:snapToGrid/>
          <w:sz w:val="22"/>
          <w:szCs w:val="22"/>
        </w:rPr>
        <w:t xml:space="preserve">must </w:t>
      </w:r>
      <w:r w:rsidRPr="319190AF" w:rsidR="00846334">
        <w:rPr>
          <w:rFonts w:ascii="Calibri" w:hAnsi="Calibri" w:eastAsia="Calibri" w:cs="" w:eastAsiaTheme="minorAscii" w:cstheme="minorBidi"/>
          <w:snapToGrid/>
          <w:sz w:val="22"/>
          <w:szCs w:val="22"/>
        </w:rPr>
        <w:t xml:space="preserve">return all university property and equipment. Keys must be returned to </w:t>
      </w:r>
      <w:r w:rsidRPr="319190AF" w:rsidR="000C63A9">
        <w:rPr>
          <w:rFonts w:ascii="Calibri" w:hAnsi="Calibri" w:eastAsia="Calibri" w:cs="" w:eastAsiaTheme="minorAscii" w:cstheme="minorBidi"/>
          <w:snapToGrid/>
          <w:sz w:val="22"/>
          <w:szCs w:val="22"/>
        </w:rPr>
        <w:t>Ingress Management Services (</w:t>
      </w:r>
      <w:r w:rsidRPr="319190AF" w:rsidR="00F87975">
        <w:rPr>
          <w:rFonts w:ascii="Calibri" w:hAnsi="Calibri" w:eastAsia="Calibri" w:cs="" w:eastAsiaTheme="minorAscii" w:cstheme="minorBidi"/>
          <w:snapToGrid/>
          <w:sz w:val="22"/>
          <w:szCs w:val="22"/>
        </w:rPr>
        <w:t>IMS</w:t>
      </w:r>
      <w:r w:rsidRPr="319190AF" w:rsidR="000C63A9">
        <w:rPr>
          <w:rFonts w:ascii="Calibri" w:hAnsi="Calibri" w:eastAsia="Calibri" w:cs="" w:eastAsiaTheme="minorAscii" w:cstheme="minorBidi"/>
          <w:snapToGrid/>
          <w:sz w:val="22"/>
          <w:szCs w:val="22"/>
        </w:rPr>
        <w:t>)</w:t>
      </w:r>
      <w:r w:rsidRPr="319190AF" w:rsidR="00F87975">
        <w:rPr>
          <w:rFonts w:ascii="Calibri" w:hAnsi="Calibri" w:eastAsia="Calibri" w:cs="" w:eastAsiaTheme="minorAscii" w:cstheme="minorBidi"/>
          <w:snapToGrid/>
          <w:sz w:val="22"/>
          <w:szCs w:val="22"/>
        </w:rPr>
        <w:t xml:space="preserve"> in Facilities </w:t>
      </w:r>
      <w:r w:rsidRPr="319190AF" w:rsidR="00F87975">
        <w:rPr>
          <w:rFonts w:ascii="Calibri" w:hAnsi="Calibri" w:eastAsia="Calibri" w:cs="" w:eastAsiaTheme="minorAscii" w:cstheme="minorBidi"/>
          <w:snapToGrid/>
          <w:sz w:val="22"/>
          <w:szCs w:val="22"/>
        </w:rPr>
        <w:t>Bldg</w:t>
      </w:r>
      <w:r w:rsidRPr="319190AF" w:rsidR="00F87975">
        <w:rPr>
          <w:rFonts w:ascii="Calibri" w:hAnsi="Calibri" w:eastAsia="Calibri" w:cs="" w:eastAsiaTheme="minorAscii" w:cstheme="minorBidi"/>
          <w:snapToGrid/>
          <w:sz w:val="22"/>
          <w:szCs w:val="22"/>
        </w:rPr>
        <w:t xml:space="preserve"> 780 at 151-1 E. Sessom Dr, Rm 104.</w:t>
      </w:r>
      <w:r w:rsidRPr="319190AF" w:rsidR="00846334">
        <w:rPr>
          <w:rFonts w:ascii="Calibri" w:hAnsi="Calibri" w:eastAsia="Calibri" w:cs="" w:eastAsiaTheme="minorAscii" w:cstheme="minorBidi"/>
          <w:snapToGrid/>
          <w:sz w:val="22"/>
          <w:szCs w:val="22"/>
        </w:rPr>
        <w:t xml:space="preserve"> The employee will be issued a receipt to return to their department.</w:t>
      </w:r>
      <w:r w:rsidRPr="319190AF" w:rsidR="000C63A9">
        <w:rPr>
          <w:rFonts w:ascii="Calibri" w:hAnsi="Calibri" w:eastAsia="Calibri" w:cs="" w:eastAsiaTheme="minorAscii" w:cstheme="minorBidi"/>
          <w:snapToGrid/>
          <w:sz w:val="22"/>
          <w:szCs w:val="22"/>
        </w:rPr>
        <w:t xml:space="preserve"> </w:t>
      </w:r>
      <w:r w:rsidRPr="319190AF" w:rsidR="000C63A9">
        <w:rPr>
          <w:rFonts w:ascii="Calibri" w:hAnsi="Calibri" w:eastAsia="Calibri" w:cs="Calibri" w:asciiTheme="minorAscii" w:hAnsiTheme="minorAscii" w:eastAsiaTheme="minorAscii" w:cstheme="minorAscii"/>
          <w:snapToGrid/>
          <w:sz w:val="22"/>
          <w:szCs w:val="22"/>
        </w:rPr>
        <w:t>(</w:t>
      </w:r>
      <w:r w:rsidRPr="319190AF" w:rsidR="458FBDFC">
        <w:rPr>
          <w:rFonts w:ascii="Calibri" w:hAnsi="Calibri" w:eastAsia="Calibri" w:cs="Calibri" w:asciiTheme="minorAscii" w:hAnsiTheme="minorAscii" w:eastAsiaTheme="minorAscii" w:cstheme="minorAscii"/>
          <w:snapToGrid/>
          <w:sz w:val="22"/>
          <w:szCs w:val="22"/>
        </w:rPr>
        <w:t>512.</w:t>
      </w:r>
      <w:r w:rsidRPr="319190AF" w:rsidR="000C63A9">
        <w:rPr>
          <w:rFonts w:ascii="Calibri" w:hAnsi="Calibri" w:eastAsia="Calibri" w:cs="Calibri" w:asciiTheme="minorAscii" w:hAnsiTheme="minorAscii" w:eastAsiaTheme="minorAscii" w:cstheme="minorAscii"/>
          <w:snapToGrid/>
          <w:sz w:val="22"/>
          <w:szCs w:val="22"/>
        </w:rPr>
        <w:t>245</w:t>
      </w:r>
      <w:r w:rsidRPr="319190AF" w:rsidR="00110A3B">
        <w:rPr>
          <w:rFonts w:ascii="Calibri" w:hAnsi="Calibri" w:eastAsia="Calibri" w:cs="Calibri" w:asciiTheme="minorAscii" w:hAnsiTheme="minorAscii" w:eastAsiaTheme="minorAscii" w:cstheme="minorAscii"/>
          <w:snapToGrid/>
          <w:sz w:val="22"/>
          <w:szCs w:val="22"/>
        </w:rPr>
        <w:t>.</w:t>
      </w:r>
      <w:r w:rsidRPr="319190AF" w:rsidR="24F80F91">
        <w:rPr>
          <w:rFonts w:ascii="Calibri" w:hAnsi="Calibri" w:eastAsia="Calibri" w:cs="Calibri" w:asciiTheme="minorAscii" w:hAnsiTheme="minorAscii" w:eastAsiaTheme="minorAscii" w:cstheme="minorAscii"/>
          <w:snapToGrid/>
          <w:sz w:val="22"/>
          <w:szCs w:val="22"/>
        </w:rPr>
        <w:t>2824</w:t>
      </w:r>
      <w:r w:rsidRPr="319190AF" w:rsidR="000C63A9">
        <w:rPr>
          <w:rFonts w:ascii="Calibri" w:hAnsi="Calibri" w:eastAsia="Calibri" w:cs="Calibri" w:asciiTheme="minorAscii" w:hAnsiTheme="minorAscii" w:eastAsiaTheme="minorAscii" w:cstheme="minorAscii"/>
          <w:snapToGrid/>
          <w:sz w:val="22"/>
          <w:szCs w:val="22"/>
        </w:rPr>
        <w:t xml:space="preserve">) </w:t>
      </w:r>
      <w:hyperlink w:history="1" r:id="R0feb4b28f2314947">
        <w:r w:rsidRPr="319190AF" w:rsidR="007407A2">
          <w:rPr>
            <w:rStyle w:val="Hyperlink"/>
            <w:rFonts w:ascii="Calibri" w:hAnsi="Calibri" w:cs="Calibri" w:asciiTheme="minorAscii" w:hAnsiTheme="minorAscii" w:cstheme="minorAscii"/>
            <w:sz w:val="22"/>
            <w:szCs w:val="22"/>
          </w:rPr>
          <w:t>ingress_mgmt_svs@txstate.edu</w:t>
        </w:r>
      </w:hyperlink>
    </w:p>
    <w:p w:rsidR="007407A2" w:rsidP="007407A2" w:rsidRDefault="007407A2" w14:paraId="6C48DDD0" w14:textId="77777777">
      <w:pPr>
        <w:pStyle w:val="DefaultText"/>
        <w:tabs>
          <w:tab w:val="left" w:pos="720"/>
          <w:tab w:val="left" w:pos="1440"/>
          <w:tab w:val="left" w:pos="2520"/>
        </w:tabs>
        <w:ind w:left="720"/>
        <w:rPr>
          <w:rFonts w:ascii="Calibri" w:hAnsi="Calibri"/>
          <w:szCs w:val="24"/>
        </w:rPr>
      </w:pPr>
    </w:p>
    <w:p w:rsidRPr="00AC468F" w:rsidR="00846334" w:rsidP="00846334" w:rsidRDefault="00846334" w14:paraId="07197282" w14:textId="77777777">
      <w:pPr>
        <w:pStyle w:val="ListParagraph"/>
        <w:numPr>
          <w:ilvl w:val="0"/>
          <w:numId w:val="1"/>
        </w:numPr>
        <w:spacing w:after="0"/>
      </w:pPr>
      <w:r w:rsidRPr="00846334">
        <w:rPr>
          <w:b/>
        </w:rPr>
        <w:t>Submit separation Personnel Change Request (PCR)</w:t>
      </w:r>
    </w:p>
    <w:p w:rsidRPr="00C4211C" w:rsidR="00846334" w:rsidP="00846334" w:rsidRDefault="00846334" w14:paraId="764A9A59" w14:textId="77777777">
      <w:pPr>
        <w:spacing w:after="0"/>
        <w:ind w:left="720"/>
      </w:pPr>
      <w:r w:rsidRPr="009F2E78">
        <w:t xml:space="preserve">Prior to completion of the separation PCR, </w:t>
      </w:r>
      <w:r>
        <w:t xml:space="preserve">follow these steps to verify </w:t>
      </w:r>
      <w:r w:rsidRPr="009F2E78">
        <w:t>the last date of employment.</w:t>
      </w:r>
    </w:p>
    <w:p w:rsidRPr="00F317BB" w:rsidR="00846334" w:rsidP="00846334" w:rsidRDefault="00846334" w14:paraId="27104038" w14:textId="77777777">
      <w:pPr>
        <w:pStyle w:val="ListParagraph"/>
        <w:numPr>
          <w:ilvl w:val="0"/>
          <w:numId w:val="4"/>
        </w:numPr>
        <w:tabs>
          <w:tab w:val="left" w:pos="0"/>
        </w:tabs>
        <w:spacing w:after="0" w:line="276" w:lineRule="auto"/>
        <w:ind w:left="1440"/>
      </w:pPr>
      <w:r w:rsidRPr="00F317BB">
        <w:t xml:space="preserve">In SAP, use transaction CATS_DA </w:t>
      </w:r>
      <w:r w:rsidRPr="00AC468F">
        <w:rPr>
          <w:i/>
        </w:rPr>
        <w:t>Display Working Times</w:t>
      </w:r>
      <w:r>
        <w:t xml:space="preserve">. </w:t>
      </w:r>
      <w:r w:rsidRPr="00F317BB">
        <w:t>Select “ALL” for Reporting Period and enter the personnel assignment number for your employee’s appointment.</w:t>
      </w:r>
    </w:p>
    <w:p w:rsidRPr="00F317BB" w:rsidR="00846334" w:rsidP="00846334" w:rsidRDefault="00846334" w14:paraId="357C6FCC" w14:textId="77777777">
      <w:pPr>
        <w:pStyle w:val="ListParagraph"/>
        <w:numPr>
          <w:ilvl w:val="0"/>
          <w:numId w:val="4"/>
        </w:numPr>
        <w:spacing w:after="0" w:line="276" w:lineRule="auto"/>
        <w:ind w:left="1440"/>
      </w:pPr>
      <w:r w:rsidRPr="00F317BB">
        <w:t xml:space="preserve">Verify last date for time entry </w:t>
      </w:r>
      <w:r>
        <w:t xml:space="preserve">is the actual last day worked. </w:t>
      </w:r>
      <w:r w:rsidRPr="00F317BB">
        <w:t>The PCR should not be created until you can establish the correct separation date based on time entry.</w:t>
      </w:r>
    </w:p>
    <w:p w:rsidRPr="00F317BB" w:rsidR="00846334" w:rsidP="00846334" w:rsidRDefault="00846334" w14:paraId="01D9BB95" w14:textId="77777777">
      <w:pPr>
        <w:pStyle w:val="ListParagraph"/>
        <w:numPr>
          <w:ilvl w:val="0"/>
          <w:numId w:val="4"/>
        </w:numPr>
        <w:spacing w:after="0" w:line="276" w:lineRule="auto"/>
        <w:ind w:left="1440"/>
      </w:pPr>
      <w:r w:rsidRPr="00F317BB">
        <w:t>Using the SAP Portal, select one of the following E-PCR template options:</w:t>
      </w:r>
    </w:p>
    <w:p w:rsidRPr="006A527D" w:rsidR="00846334" w:rsidP="00846334" w:rsidRDefault="00846334" w14:paraId="18FDE7C6" w14:textId="77777777">
      <w:pPr>
        <w:pStyle w:val="ListParagraph"/>
        <w:numPr>
          <w:ilvl w:val="0"/>
          <w:numId w:val="4"/>
        </w:numPr>
        <w:spacing w:after="0" w:line="276" w:lineRule="auto"/>
      </w:pPr>
      <w:r w:rsidRPr="006A527D">
        <w:t>SEPARATION – employee has only one active assignment</w:t>
      </w:r>
    </w:p>
    <w:p w:rsidRPr="00C4211C" w:rsidR="00846334" w:rsidP="00846334" w:rsidRDefault="00846334" w14:paraId="5FB14396" w14:textId="77777777">
      <w:pPr>
        <w:pStyle w:val="ListParagraph"/>
        <w:numPr>
          <w:ilvl w:val="0"/>
          <w:numId w:val="4"/>
        </w:numPr>
        <w:spacing w:after="0" w:line="276" w:lineRule="auto"/>
      </w:pPr>
      <w:r w:rsidRPr="00C4211C">
        <w:t>END ADDITIONAL APPOINTMENT – employee has multiple assignments and at least one will remain active.</w:t>
      </w:r>
    </w:p>
    <w:p w:rsidRPr="00F317BB" w:rsidR="00846334" w:rsidP="00846334" w:rsidRDefault="00846334" w14:paraId="2E7ACC3A" w14:textId="77777777">
      <w:pPr>
        <w:pStyle w:val="ListParagraph"/>
        <w:numPr>
          <w:ilvl w:val="0"/>
          <w:numId w:val="5"/>
        </w:numPr>
        <w:spacing w:after="0" w:line="276" w:lineRule="auto"/>
        <w:ind w:left="1440"/>
      </w:pPr>
      <w:r w:rsidRPr="00F317BB">
        <w:t>Enter the Effective Date</w:t>
      </w:r>
      <w:r>
        <w:t xml:space="preserve"> on the PCR</w:t>
      </w:r>
      <w:r w:rsidRPr="00F317BB">
        <w:t xml:space="preserve"> </w:t>
      </w:r>
      <w:r>
        <w:t>using the</w:t>
      </w:r>
      <w:r w:rsidRPr="00F317BB">
        <w:t xml:space="preserve"> date established </w:t>
      </w:r>
      <w:r>
        <w:t>from time entry</w:t>
      </w:r>
      <w:r w:rsidRPr="00F317BB">
        <w:t>.</w:t>
      </w:r>
    </w:p>
    <w:p w:rsidRPr="00D12056" w:rsidR="00846334" w:rsidP="00846334" w:rsidRDefault="00846334" w14:paraId="37F994C7" w14:textId="77777777">
      <w:pPr>
        <w:pStyle w:val="ListParagraph"/>
        <w:numPr>
          <w:ilvl w:val="0"/>
          <w:numId w:val="5"/>
        </w:numPr>
        <w:spacing w:after="0" w:line="276" w:lineRule="auto"/>
        <w:ind w:left="1440"/>
      </w:pPr>
      <w:r w:rsidRPr="00F317BB">
        <w:t xml:space="preserve">Complete </w:t>
      </w:r>
      <w:r>
        <w:t>the remainder of the PCR</w:t>
      </w:r>
      <w:r w:rsidRPr="00F317BB">
        <w:t xml:space="preserve"> including the Comments section.</w:t>
      </w:r>
      <w:r>
        <w:t xml:space="preserve"> </w:t>
      </w:r>
      <w:r w:rsidRPr="00D12056">
        <w:t>If a student separated due to graduation or if the employee is leaving employment at Texas State permanently, please indicate this information in the Comments sectio</w:t>
      </w:r>
      <w:r>
        <w:t>n</w:t>
      </w:r>
      <w:r w:rsidRPr="00D12056">
        <w:t>. Human Resources will then inactivate the employee’s file.</w:t>
      </w:r>
    </w:p>
    <w:p w:rsidRPr="001F3621" w:rsidR="00846334" w:rsidP="00846334" w:rsidRDefault="00846334" w14:paraId="7CCD699C" w14:textId="77777777">
      <w:pPr>
        <w:pStyle w:val="ListParagraph"/>
        <w:numPr>
          <w:ilvl w:val="0"/>
          <w:numId w:val="6"/>
        </w:numPr>
        <w:spacing w:after="0" w:line="276" w:lineRule="auto"/>
        <w:ind w:left="1440"/>
      </w:pPr>
      <w:r w:rsidRPr="00F317BB">
        <w:t>Forward the PCR for approval and routing to the HR Master Data Center for processing.</w:t>
      </w:r>
    </w:p>
    <w:p w:rsidRPr="00871D64" w:rsidR="00851062" w:rsidP="00851062" w:rsidRDefault="00851062" w14:paraId="6F598546" w14:textId="77777777">
      <w:pPr>
        <w:pStyle w:val="DefaultText"/>
        <w:tabs>
          <w:tab w:val="left" w:pos="720"/>
          <w:tab w:val="left" w:pos="1440"/>
          <w:tab w:val="left" w:pos="2160"/>
        </w:tabs>
        <w:ind w:left="2520"/>
        <w:rPr>
          <w:rFonts w:ascii="Calibri" w:hAnsi="Calibri"/>
          <w:szCs w:val="24"/>
        </w:rPr>
      </w:pPr>
    </w:p>
    <w:p w:rsidRPr="00AC468F" w:rsidR="00846334" w:rsidP="00846334" w:rsidRDefault="00846334" w14:paraId="585AB528" w14:textId="77777777">
      <w:pPr>
        <w:pStyle w:val="ListParagraph"/>
        <w:numPr>
          <w:ilvl w:val="0"/>
          <w:numId w:val="7"/>
        </w:numPr>
        <w:spacing w:after="0"/>
      </w:pPr>
      <w:r w:rsidRPr="00846334">
        <w:rPr>
          <w:b/>
        </w:rPr>
        <w:t>Perform exit interview</w:t>
      </w:r>
    </w:p>
    <w:p w:rsidR="00846334" w:rsidP="00846334" w:rsidRDefault="00846334" w14:paraId="2AE49A92" w14:textId="77777777">
      <w:pPr>
        <w:spacing w:after="0"/>
        <w:ind w:left="720"/>
      </w:pPr>
      <w:r w:rsidRPr="00C4211C">
        <w:t>In an effort to understand your employee’s reason for leaving or for the purpose of improving working conditions, you may ask your employee to participate in an exit interview. This is not an employee appraisal, but is an opportunity for your employee to point out how much they enjoyed their position or it can be used as an opportunity to point ou</w:t>
      </w:r>
      <w:r>
        <w:t>t valid concerns.</w:t>
      </w:r>
      <w:r w:rsidRPr="00C4211C">
        <w:t xml:space="preserve"> </w:t>
      </w:r>
    </w:p>
    <w:p w:rsidR="00846334" w:rsidP="00846334" w:rsidRDefault="00846334" w14:paraId="1F0AA11E" w14:textId="77777777">
      <w:pPr>
        <w:spacing w:after="0"/>
        <w:ind w:left="720"/>
      </w:pPr>
    </w:p>
    <w:p w:rsidRPr="00C4211C" w:rsidR="00846334" w:rsidP="00846334" w:rsidRDefault="00846334" w14:paraId="75D3B9B6" w14:textId="77777777">
      <w:pPr>
        <w:pStyle w:val="ListParagraph"/>
        <w:numPr>
          <w:ilvl w:val="0"/>
          <w:numId w:val="7"/>
        </w:numPr>
        <w:spacing w:after="0"/>
      </w:pPr>
      <w:r w:rsidRPr="00846334">
        <w:rPr>
          <w:b/>
        </w:rPr>
        <w:t>Retain departmental personnel records for five years</w:t>
      </w:r>
    </w:p>
    <w:p w:rsidR="00851062" w:rsidP="00851062" w:rsidRDefault="00851062" w14:paraId="568875B3" w14:textId="77777777">
      <w:pPr>
        <w:pStyle w:val="DefaultText"/>
        <w:tabs>
          <w:tab w:val="left" w:pos="720"/>
          <w:tab w:val="left" w:pos="1440"/>
          <w:tab w:val="left" w:pos="2520"/>
        </w:tabs>
        <w:rPr>
          <w:rFonts w:ascii="Calibri" w:hAnsi="Calibri"/>
          <w:szCs w:val="24"/>
        </w:rPr>
      </w:pPr>
    </w:p>
    <w:p w:rsidRPr="00846334" w:rsidR="002E3100" w:rsidP="00846334" w:rsidRDefault="00851062" w14:paraId="5795E475" w14:textId="77777777">
      <w:pPr>
        <w:pStyle w:val="DefaultText"/>
        <w:tabs>
          <w:tab w:val="left" w:pos="720"/>
          <w:tab w:val="left" w:pos="1440"/>
          <w:tab w:val="left" w:pos="2520"/>
        </w:tabs>
        <w:jc w:val="center"/>
        <w:rPr>
          <w:rFonts w:ascii="Calibri" w:hAnsi="Calibri"/>
          <w:b/>
          <w:i/>
          <w:sz w:val="28"/>
          <w:szCs w:val="22"/>
        </w:rPr>
      </w:pPr>
      <w:r w:rsidRPr="00871D64">
        <w:rPr>
          <w:rFonts w:ascii="Calibri" w:hAnsi="Calibri"/>
          <w:b/>
          <w:i/>
          <w:sz w:val="28"/>
          <w:szCs w:val="22"/>
        </w:rPr>
        <w:t>This form is for departmental use only – do not send to Human Resources</w:t>
      </w:r>
    </w:p>
    <w:sectPr w:rsidRPr="00846334" w:rsidR="002E3100" w:rsidSect="000C63A9">
      <w:headerReference w:type="default" r:id="rId11"/>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3DFE" w:rsidP="00846334" w:rsidRDefault="00AD3DFE" w14:paraId="6F9AE747" w14:textId="77777777">
      <w:pPr>
        <w:spacing w:after="0" w:line="240" w:lineRule="auto"/>
      </w:pPr>
      <w:r>
        <w:separator/>
      </w:r>
    </w:p>
  </w:endnote>
  <w:endnote w:type="continuationSeparator" w:id="0">
    <w:p w:rsidR="00AD3DFE" w:rsidP="00846334" w:rsidRDefault="00AD3DFE" w14:paraId="4A81C5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3DFE" w:rsidP="00846334" w:rsidRDefault="00AD3DFE" w14:paraId="7EA03CE1" w14:textId="77777777">
      <w:pPr>
        <w:spacing w:after="0" w:line="240" w:lineRule="auto"/>
      </w:pPr>
      <w:r>
        <w:separator/>
      </w:r>
    </w:p>
  </w:footnote>
  <w:footnote w:type="continuationSeparator" w:id="0">
    <w:p w:rsidR="00AD3DFE" w:rsidP="00846334" w:rsidRDefault="00AD3DFE" w14:paraId="66C4C26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80"/>
      <w:gridCol w:w="7200"/>
    </w:tblGrid>
    <w:tr w:rsidR="000C63A9" w:rsidTr="000C63A9" w14:paraId="371F020C" w14:textId="77777777">
      <w:tc>
        <w:tcPr>
          <w:tcW w:w="2880" w:type="dxa"/>
          <w:tcBorders>
            <w:right w:val="single" w:color="auto" w:sz="4" w:space="0"/>
          </w:tcBorders>
        </w:tcPr>
        <w:p w:rsidR="000C63A9" w:rsidP="000C63A9" w:rsidRDefault="000C63A9" w14:paraId="0BD854A7" w14:textId="77777777">
          <w:r w:rsidRPr="00753FA4">
            <w:rPr>
              <w:noProof/>
              <w:sz w:val="24"/>
            </w:rPr>
            <w:drawing>
              <wp:inline distT="0" distB="0" distL="0" distR="0" wp14:anchorId="375D09A6" wp14:editId="0747EF6A">
                <wp:extent cx="1600200" cy="548640"/>
                <wp:effectExtent l="0" t="0" r="0" b="0"/>
                <wp:docPr id="40" name="Picture 40"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left w:val="single" w:color="auto" w:sz="4" w:space="0"/>
          </w:tcBorders>
          <w:vAlign w:val="center"/>
        </w:tcPr>
        <w:p w:rsidR="000C63A9" w:rsidP="000C63A9" w:rsidRDefault="000C63A9" w14:paraId="053446EA" w14:textId="77777777">
          <w:pPr>
            <w:spacing w:line="300" w:lineRule="auto"/>
            <w:jc w:val="center"/>
            <w:rPr>
              <w:rFonts w:ascii="Arial" w:hAnsi="Arial" w:cs="Arial"/>
              <w:b/>
              <w:spacing w:val="30"/>
              <w:sz w:val="28"/>
              <w:szCs w:val="32"/>
            </w:rPr>
          </w:pPr>
          <w:r>
            <w:rPr>
              <w:rFonts w:ascii="Arial" w:hAnsi="Arial" w:cs="Arial"/>
              <w:b/>
              <w:spacing w:val="30"/>
              <w:sz w:val="28"/>
              <w:szCs w:val="32"/>
            </w:rPr>
            <w:t>Hourly Employee Separation</w:t>
          </w:r>
          <w:r w:rsidRPr="00F11E80">
            <w:rPr>
              <w:rFonts w:ascii="Arial" w:hAnsi="Arial" w:cs="Arial"/>
              <w:b/>
              <w:spacing w:val="30"/>
              <w:sz w:val="28"/>
              <w:szCs w:val="32"/>
            </w:rPr>
            <w:t xml:space="preserve"> Checklist</w:t>
          </w:r>
        </w:p>
        <w:p w:rsidRPr="00846334" w:rsidR="000C63A9" w:rsidP="000C63A9" w:rsidRDefault="000C63A9" w14:paraId="419133FB" w14:textId="77777777">
          <w:pPr>
            <w:spacing w:line="300" w:lineRule="auto"/>
            <w:jc w:val="center"/>
            <w:rPr>
              <w:rFonts w:ascii="Arial" w:hAnsi="Arial" w:cs="Arial"/>
              <w:b/>
              <w:spacing w:val="30"/>
              <w:szCs w:val="32"/>
            </w:rPr>
          </w:pPr>
          <w:r w:rsidRPr="00846334">
            <w:rPr>
              <w:rFonts w:ascii="Arial" w:hAnsi="Arial" w:cs="Arial"/>
              <w:b/>
              <w:spacing w:val="30"/>
              <w:szCs w:val="32"/>
            </w:rPr>
            <w:t>(Student Worker, Non-Student Non-Regular Staff)</w:t>
          </w:r>
        </w:p>
        <w:p w:rsidRPr="00E56F88" w:rsidR="000C63A9" w:rsidP="000C63A9" w:rsidRDefault="007407A2" w14:paraId="7A840E21" w14:textId="40BF59CB">
          <w:pPr>
            <w:spacing w:line="300" w:lineRule="auto"/>
            <w:jc w:val="center"/>
            <w:rPr>
              <w:rFonts w:ascii="Arial" w:hAnsi="Arial" w:cs="Arial"/>
              <w:b/>
              <w:color w:val="501214"/>
              <w:sz w:val="18"/>
              <w:szCs w:val="18"/>
            </w:rPr>
          </w:pPr>
          <w:r>
            <w:rPr>
              <w:rFonts w:ascii="Arial" w:hAnsi="Arial" w:cs="Arial"/>
              <w:b/>
              <w:spacing w:val="30"/>
              <w:sz w:val="18"/>
              <w:szCs w:val="18"/>
            </w:rPr>
            <w:t>September</w:t>
          </w:r>
          <w:r w:rsidR="000C63A9">
            <w:rPr>
              <w:rFonts w:ascii="Arial" w:hAnsi="Arial" w:cs="Arial"/>
              <w:b/>
              <w:spacing w:val="30"/>
              <w:sz w:val="18"/>
              <w:szCs w:val="18"/>
            </w:rPr>
            <w:t xml:space="preserve"> 2019</w:t>
          </w:r>
        </w:p>
      </w:tc>
    </w:tr>
  </w:tbl>
  <w:p w:rsidRPr="00F11E80" w:rsidR="000C63A9" w:rsidP="000C63A9" w:rsidRDefault="000C63A9" w14:paraId="3B9E5C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C67"/>
    <w:multiLevelType w:val="hybridMultilevel"/>
    <w:tmpl w:val="548AABC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0F9F6833"/>
    <w:multiLevelType w:val="hybridMultilevel"/>
    <w:tmpl w:val="5C96427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12C37BB6"/>
    <w:multiLevelType w:val="hybridMultilevel"/>
    <w:tmpl w:val="8C006400"/>
    <w:lvl w:ilvl="0" w:tplc="161C9548">
      <w:start w:val="1"/>
      <w:numFmt w:val="bullet"/>
      <w:lvlText w:val=""/>
      <w:lvlJc w:val="left"/>
      <w:pPr>
        <w:ind w:left="720" w:hanging="360"/>
      </w:pPr>
      <w:rPr>
        <w:rFonts w:hint="default" w:ascii="Wingdings" w:hAnsi="Wingdings"/>
        <w:caps w:val="0"/>
        <w:strike w:val="0"/>
        <w:dstrike w:val="0"/>
        <w:spacing w:val="0"/>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1D0A04"/>
    <w:multiLevelType w:val="hybridMultilevel"/>
    <w:tmpl w:val="A7087F54"/>
    <w:lvl w:ilvl="0" w:tplc="161C9548">
      <w:start w:val="1"/>
      <w:numFmt w:val="bullet"/>
      <w:lvlText w:val=""/>
      <w:lvlJc w:val="left"/>
      <w:pPr>
        <w:ind w:left="720" w:hanging="360"/>
      </w:pPr>
      <w:rPr>
        <w:rFonts w:hint="default" w:ascii="Wingdings" w:hAnsi="Wingdings"/>
        <w:caps w:val="0"/>
        <w:strike w:val="0"/>
        <w:dstrike w:val="0"/>
        <w:spacing w:val="0"/>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2635CD3"/>
    <w:multiLevelType w:val="hybridMultilevel"/>
    <w:tmpl w:val="658C20A6"/>
    <w:lvl w:ilvl="0" w:tplc="161C9548">
      <w:start w:val="1"/>
      <w:numFmt w:val="bullet"/>
      <w:lvlText w:val=""/>
      <w:lvlJc w:val="left"/>
      <w:pPr>
        <w:ind w:left="720" w:hanging="360"/>
      </w:pPr>
      <w:rPr>
        <w:rFonts w:hint="default" w:ascii="Wingdings" w:hAnsi="Wingdings"/>
        <w:caps w:val="0"/>
        <w:strike w:val="0"/>
        <w:dstrike w:val="0"/>
        <w:spacing w:val="0"/>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A7271AA"/>
    <w:multiLevelType w:val="hybridMultilevel"/>
    <w:tmpl w:val="6160FEEA"/>
    <w:lvl w:ilvl="0" w:tplc="161C9548">
      <w:start w:val="1"/>
      <w:numFmt w:val="bullet"/>
      <w:lvlText w:val=""/>
      <w:lvlJc w:val="left"/>
      <w:pPr>
        <w:ind w:left="720" w:hanging="360"/>
      </w:pPr>
      <w:rPr>
        <w:rFonts w:hint="default" w:ascii="Wingdings" w:hAnsi="Wingdings"/>
        <w:caps w:val="0"/>
        <w:strike w:val="0"/>
        <w:dstrike w:val="0"/>
        <w:spacing w:val="0"/>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E7E67"/>
    <w:multiLevelType w:val="hybridMultilevel"/>
    <w:tmpl w:val="5A56125A"/>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2068020126">
    <w:abstractNumId w:val="5"/>
  </w:num>
  <w:num w:numId="2" w16cid:durableId="483469439">
    <w:abstractNumId w:val="3"/>
  </w:num>
  <w:num w:numId="3" w16cid:durableId="613173159">
    <w:abstractNumId w:val="2"/>
  </w:num>
  <w:num w:numId="4" w16cid:durableId="2055110552">
    <w:abstractNumId w:val="6"/>
  </w:num>
  <w:num w:numId="5" w16cid:durableId="1401370713">
    <w:abstractNumId w:val="0"/>
  </w:num>
  <w:num w:numId="6" w16cid:durableId="767694859">
    <w:abstractNumId w:val="1"/>
  </w:num>
  <w:num w:numId="7" w16cid:durableId="379473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62"/>
    <w:rsid w:val="000C1EB0"/>
    <w:rsid w:val="000C63A9"/>
    <w:rsid w:val="00110A3B"/>
    <w:rsid w:val="002E3100"/>
    <w:rsid w:val="00362583"/>
    <w:rsid w:val="00480D85"/>
    <w:rsid w:val="004C6A1C"/>
    <w:rsid w:val="0053311B"/>
    <w:rsid w:val="00680358"/>
    <w:rsid w:val="007407A2"/>
    <w:rsid w:val="00846334"/>
    <w:rsid w:val="00851062"/>
    <w:rsid w:val="00AD3DFE"/>
    <w:rsid w:val="00BD69E7"/>
    <w:rsid w:val="00C35916"/>
    <w:rsid w:val="00C76407"/>
    <w:rsid w:val="00D01D2F"/>
    <w:rsid w:val="00F87975"/>
    <w:rsid w:val="24F80F91"/>
    <w:rsid w:val="319190AF"/>
    <w:rsid w:val="458FBDFC"/>
    <w:rsid w:val="70A3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54E2"/>
  <w15:chartTrackingRefBased/>
  <w15:docId w15:val="{2838D0E0-41C5-49AC-8E2A-73E9EEB9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106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510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1062"/>
  </w:style>
  <w:style w:type="table" w:styleId="TableGrid">
    <w:name w:val="Table Grid"/>
    <w:basedOn w:val="TableNormal"/>
    <w:uiPriority w:val="39"/>
    <w:rsid w:val="00851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Text" w:customStyle="1">
    <w:name w:val="Default Text"/>
    <w:basedOn w:val="Normal"/>
    <w:rsid w:val="00851062"/>
    <w:pPr>
      <w:spacing w:after="0" w:line="240" w:lineRule="auto"/>
    </w:pPr>
    <w:rPr>
      <w:rFonts w:ascii="Times New Roman" w:hAnsi="Times New Roman" w:eastAsia="Times New Roman" w:cs="Times New Roman"/>
      <w:snapToGrid w:val="0"/>
      <w:sz w:val="24"/>
      <w:szCs w:val="20"/>
    </w:rPr>
  </w:style>
  <w:style w:type="paragraph" w:styleId="ListParagraph">
    <w:name w:val="List Paragraph"/>
    <w:basedOn w:val="Normal"/>
    <w:uiPriority w:val="34"/>
    <w:qFormat/>
    <w:rsid w:val="00851062"/>
    <w:pPr>
      <w:ind w:left="720"/>
      <w:contextualSpacing/>
    </w:pPr>
  </w:style>
  <w:style w:type="character" w:styleId="Hyperlink">
    <w:name w:val="Hyperlink"/>
    <w:rsid w:val="00851062"/>
    <w:rPr>
      <w:color w:val="0000FF"/>
      <w:u w:val="single"/>
    </w:rPr>
  </w:style>
  <w:style w:type="paragraph" w:styleId="Footer">
    <w:name w:val="footer"/>
    <w:basedOn w:val="Normal"/>
    <w:link w:val="FooterChar"/>
    <w:uiPriority w:val="99"/>
    <w:unhideWhenUsed/>
    <w:rsid w:val="008463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6334"/>
  </w:style>
  <w:style w:type="paragraph" w:styleId="BalloonText">
    <w:name w:val="Balloon Text"/>
    <w:basedOn w:val="Normal"/>
    <w:link w:val="BalloonTextChar"/>
    <w:uiPriority w:val="99"/>
    <w:semiHidden/>
    <w:unhideWhenUsed/>
    <w:rsid w:val="00BD69E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BD69E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F87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tac.txst.edu/support/separations"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www.facilities.txstate.edu/management/management_request.html" TargetMode="External" Id="R89b77af70ce546f5" /><Relationship Type="http://schemas.openxmlformats.org/officeDocument/2006/relationships/hyperlink" Target="mailto:ingress_mgmt_svs@txstate.edu" TargetMode="External" Id="R0feb4b28f231494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E43F-3392-46AA-9600-A3956E539C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Texas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Gonzalez, Laura</dc:creator>
  <keywords/>
  <dc:description/>
  <lastModifiedBy>Wiley, Asanti S</lastModifiedBy>
  <revision>3</revision>
  <dcterms:created xsi:type="dcterms:W3CDTF">2022-08-17T19:03:00.0000000Z</dcterms:created>
  <dcterms:modified xsi:type="dcterms:W3CDTF">2025-07-24T17:38:08.3040537Z</dcterms:modified>
</coreProperties>
</file>