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22660" w14:textId="77777777" w:rsidR="005A2A21" w:rsidRDefault="00C73F3D">
      <w:pPr>
        <w:pStyle w:val="Heading1"/>
        <w:spacing w:before="68"/>
        <w:ind w:left="1721" w:right="1623"/>
        <w:jc w:val="center"/>
      </w:pPr>
      <w:proofErr w:type="spellStart"/>
      <w:r>
        <w:t>McCOY</w:t>
      </w:r>
      <w:proofErr w:type="spellEnd"/>
      <w:r>
        <w:t xml:space="preserve"> COLLEGE OF BUSINESS ADMINISTRATION</w:t>
      </w:r>
    </w:p>
    <w:p w14:paraId="7E471653" w14:textId="77777777" w:rsidR="005A2A21" w:rsidRDefault="005A2A21">
      <w:pPr>
        <w:pStyle w:val="BodyText"/>
        <w:spacing w:before="6"/>
        <w:rPr>
          <w:b/>
          <w:sz w:val="19"/>
        </w:rPr>
      </w:pPr>
    </w:p>
    <w:p w14:paraId="08306C1C" w14:textId="77777777" w:rsidR="005A2A21" w:rsidRDefault="00C73F3D">
      <w:pPr>
        <w:spacing w:before="90"/>
        <w:ind w:left="101"/>
        <w:rPr>
          <w:b/>
          <w:sz w:val="24"/>
        </w:rPr>
      </w:pPr>
      <w:r>
        <w:rPr>
          <w:b/>
          <w:sz w:val="24"/>
        </w:rPr>
        <w:t>CBAPPS 4.01</w:t>
      </w:r>
    </w:p>
    <w:p w14:paraId="44B02EAF" w14:textId="77777777" w:rsidR="005A2A21" w:rsidRDefault="005A2A21">
      <w:pPr>
        <w:pStyle w:val="BodyText"/>
        <w:spacing w:before="7"/>
        <w:rPr>
          <w:b/>
          <w:sz w:val="23"/>
        </w:rPr>
      </w:pPr>
    </w:p>
    <w:p w14:paraId="35FBD87A" w14:textId="77777777" w:rsidR="005A2A21" w:rsidRDefault="00C73F3D">
      <w:pPr>
        <w:pStyle w:val="BodyText"/>
        <w:ind w:left="101"/>
      </w:pPr>
      <w:r>
        <w:t>Faculty Recruitment</w:t>
      </w:r>
    </w:p>
    <w:p w14:paraId="19AC7F30" w14:textId="77777777" w:rsidR="005A2A21" w:rsidRDefault="005A2A21">
      <w:pPr>
        <w:pStyle w:val="BodyText"/>
        <w:spacing w:before="10"/>
        <w:rPr>
          <w:sz w:val="25"/>
        </w:rPr>
      </w:pPr>
    </w:p>
    <w:p w14:paraId="09981721" w14:textId="77777777" w:rsidR="005A2A21" w:rsidRDefault="00C73F3D">
      <w:pPr>
        <w:pStyle w:val="Heading1"/>
      </w:pPr>
      <w:r>
        <w:t>PURPOSE</w:t>
      </w:r>
    </w:p>
    <w:p w14:paraId="2ABBF36E" w14:textId="77777777" w:rsidR="005A2A21" w:rsidRDefault="005A2A21">
      <w:pPr>
        <w:pStyle w:val="BodyText"/>
        <w:spacing w:before="10"/>
        <w:rPr>
          <w:b/>
          <w:sz w:val="26"/>
        </w:rPr>
      </w:pPr>
    </w:p>
    <w:p w14:paraId="07767D69" w14:textId="77777777" w:rsidR="005A2A21" w:rsidRDefault="00C73F3D">
      <w:pPr>
        <w:pStyle w:val="BodyText"/>
        <w:spacing w:before="1" w:line="295" w:lineRule="auto"/>
        <w:ind w:left="101" w:right="468"/>
      </w:pPr>
      <w:r>
        <w:t>The purpose of this policy is to broadly define the overall recruitment policy for faculty in the McCoy College and to identify the broad requirements for recruiting entry-level faculty and experienced faculty. Individual academic departments may add their</w:t>
      </w:r>
      <w:r>
        <w:t xml:space="preserve"> own requirements for recruiting faculty to satisfy departmental needs.</w:t>
      </w:r>
    </w:p>
    <w:p w14:paraId="67B5CC54" w14:textId="77777777" w:rsidR="005A2A21" w:rsidRDefault="005A2A21">
      <w:pPr>
        <w:pStyle w:val="BodyText"/>
        <w:spacing w:before="6"/>
        <w:rPr>
          <w:sz w:val="20"/>
        </w:rPr>
      </w:pPr>
    </w:p>
    <w:p w14:paraId="446CB2A5" w14:textId="77777777" w:rsidR="005A2A21" w:rsidRDefault="00C73F3D">
      <w:pPr>
        <w:pStyle w:val="Heading1"/>
      </w:pPr>
      <w:r>
        <w:t>UNIVERSITY POLICIES</w:t>
      </w:r>
    </w:p>
    <w:p w14:paraId="190E2EA6" w14:textId="77777777" w:rsidR="005A2A21" w:rsidRDefault="005A2A21">
      <w:pPr>
        <w:pStyle w:val="BodyText"/>
        <w:spacing w:before="10"/>
        <w:rPr>
          <w:b/>
          <w:sz w:val="26"/>
        </w:rPr>
      </w:pPr>
    </w:p>
    <w:p w14:paraId="50204D74" w14:textId="77777777" w:rsidR="005A2A21" w:rsidRDefault="00C73F3D">
      <w:pPr>
        <w:pStyle w:val="BodyText"/>
        <w:spacing w:before="1"/>
        <w:ind w:left="101" w:right="4632"/>
      </w:pPr>
      <w:r>
        <w:t>AA/PPS 04.01.04 (7.01) Dean and Chair Hiring AA/PPS 04.01.01 (7.02) Faculty Hiring</w:t>
      </w:r>
    </w:p>
    <w:p w14:paraId="024828FF" w14:textId="77777777" w:rsidR="005A2A21" w:rsidRDefault="00C73F3D">
      <w:pPr>
        <w:pStyle w:val="BodyText"/>
        <w:ind w:left="101"/>
      </w:pPr>
      <w:r>
        <w:t>AA/PPS 04.01.03 (7.07) Unpaid Faculty</w:t>
      </w:r>
    </w:p>
    <w:p w14:paraId="2559678D" w14:textId="77777777" w:rsidR="005A2A21" w:rsidRDefault="00C73F3D">
      <w:pPr>
        <w:pStyle w:val="BodyText"/>
        <w:ind w:left="101" w:right="633"/>
      </w:pPr>
      <w:r>
        <w:t>AA/PPS 04.01.02 (7.14) Hiring and Employm</w:t>
      </w:r>
      <w:r>
        <w:t>ent of Temporary, Non-Continuing Faculty AA/PPS 04.01.51 (7.16) Faculty Salary Equity Study</w:t>
      </w:r>
    </w:p>
    <w:p w14:paraId="71E64671" w14:textId="77777777" w:rsidR="005A2A21" w:rsidRDefault="005A2A21">
      <w:pPr>
        <w:pStyle w:val="BodyText"/>
      </w:pPr>
    </w:p>
    <w:p w14:paraId="2A295311" w14:textId="77777777" w:rsidR="005A2A21" w:rsidRDefault="00C73F3D">
      <w:pPr>
        <w:pStyle w:val="BodyText"/>
        <w:ind w:left="101"/>
      </w:pPr>
      <w:r>
        <w:t>For additional information, see the current Faculty Handbook.</w:t>
      </w:r>
    </w:p>
    <w:p w14:paraId="0E6469F4" w14:textId="77777777" w:rsidR="005A2A21" w:rsidRDefault="005A2A21">
      <w:pPr>
        <w:pStyle w:val="BodyText"/>
        <w:spacing w:before="10"/>
        <w:rPr>
          <w:sz w:val="21"/>
        </w:rPr>
      </w:pPr>
    </w:p>
    <w:p w14:paraId="3D4160A6" w14:textId="77777777" w:rsidR="005A2A21" w:rsidRDefault="00C73F3D">
      <w:pPr>
        <w:pStyle w:val="Heading1"/>
      </w:pPr>
      <w:r>
        <w:t>GENERAL INFORMATION</w:t>
      </w:r>
    </w:p>
    <w:p w14:paraId="1025A430" w14:textId="77777777" w:rsidR="005A2A21" w:rsidRDefault="005A2A21">
      <w:pPr>
        <w:pStyle w:val="BodyText"/>
        <w:spacing w:before="2"/>
        <w:rPr>
          <w:b/>
          <w:sz w:val="27"/>
        </w:rPr>
      </w:pPr>
    </w:p>
    <w:p w14:paraId="0F187DC9" w14:textId="77777777" w:rsidR="005A2A21" w:rsidRDefault="00C73F3D">
      <w:pPr>
        <w:pStyle w:val="ListParagraph"/>
        <w:numPr>
          <w:ilvl w:val="0"/>
          <w:numId w:val="1"/>
        </w:numPr>
        <w:tabs>
          <w:tab w:val="left" w:pos="721"/>
        </w:tabs>
        <w:spacing w:line="295" w:lineRule="auto"/>
        <w:rPr>
          <w:sz w:val="24"/>
        </w:rPr>
      </w:pPr>
      <w:r>
        <w:rPr>
          <w:sz w:val="24"/>
        </w:rPr>
        <w:t>Prior to the recruitment of tenure-track and non-tenure-track faculty, departmental</w:t>
      </w:r>
      <w:r>
        <w:rPr>
          <w:spacing w:val="-15"/>
          <w:sz w:val="24"/>
        </w:rPr>
        <w:t xml:space="preserve"> </w:t>
      </w:r>
      <w:r>
        <w:rPr>
          <w:sz w:val="24"/>
        </w:rPr>
        <w:t>chairs must receive approval from the Dean for positions and must produce a written statement describing the vacant position and the desired academic and professional quali</w:t>
      </w:r>
      <w:r>
        <w:rPr>
          <w:sz w:val="24"/>
        </w:rPr>
        <w:t>fications. Once approved, Chairs shall carry out recruitment activities in a manner consistent with all University policies for processing personnel actions to include consultation with the University Equity and Access Officer. These procedures require, am</w:t>
      </w:r>
      <w:r>
        <w:rPr>
          <w:sz w:val="24"/>
        </w:rPr>
        <w:t xml:space="preserve">ong other things, the maintenance of records of all applicants (solicited or unsolicited) for each position and a record of all sources used </w:t>
      </w:r>
      <w:proofErr w:type="spellStart"/>
      <w:r>
        <w:rPr>
          <w:sz w:val="24"/>
        </w:rPr>
        <w:t>toadvertise</w:t>
      </w:r>
      <w:proofErr w:type="spellEnd"/>
      <w:r>
        <w:rPr>
          <w:sz w:val="24"/>
        </w:rPr>
        <w:t xml:space="preserve"> all vacant</w:t>
      </w:r>
      <w:r>
        <w:rPr>
          <w:spacing w:val="-5"/>
          <w:sz w:val="24"/>
        </w:rPr>
        <w:t xml:space="preserve"> </w:t>
      </w:r>
      <w:r>
        <w:rPr>
          <w:sz w:val="24"/>
        </w:rPr>
        <w:t>positions.</w:t>
      </w:r>
    </w:p>
    <w:p w14:paraId="399E5246" w14:textId="77777777" w:rsidR="005A2A21" w:rsidRDefault="005A2A21">
      <w:pPr>
        <w:pStyle w:val="BodyText"/>
        <w:spacing w:before="6"/>
        <w:rPr>
          <w:sz w:val="20"/>
        </w:rPr>
      </w:pPr>
    </w:p>
    <w:p w14:paraId="09C7217F" w14:textId="77777777" w:rsidR="005A2A21" w:rsidRDefault="00C73F3D">
      <w:pPr>
        <w:pStyle w:val="ListParagraph"/>
        <w:numPr>
          <w:ilvl w:val="0"/>
          <w:numId w:val="1"/>
        </w:numPr>
        <w:tabs>
          <w:tab w:val="left" w:pos="721"/>
        </w:tabs>
        <w:spacing w:before="1" w:line="295" w:lineRule="auto"/>
        <w:ind w:right="197"/>
        <w:rPr>
          <w:sz w:val="24"/>
        </w:rPr>
      </w:pPr>
      <w:r>
        <w:rPr>
          <w:sz w:val="24"/>
        </w:rPr>
        <w:t>Each academic department seeks entry-level tenure-track faculty graduated with t</w:t>
      </w:r>
      <w:r>
        <w:rPr>
          <w:sz w:val="24"/>
        </w:rPr>
        <w:t>erminal degrees from reputable programs, with a preference for graduates of schools</w:t>
      </w:r>
      <w:r>
        <w:rPr>
          <w:spacing w:val="-16"/>
          <w:sz w:val="24"/>
        </w:rPr>
        <w:t xml:space="preserve"> </w:t>
      </w:r>
      <w:r>
        <w:rPr>
          <w:sz w:val="24"/>
        </w:rPr>
        <w:t>or colleges accredited by AACSB (where applicable). The entry-level faculty member should show promise as an effective classroom teacher, promise as a productive researcher</w:t>
      </w:r>
      <w:r>
        <w:rPr>
          <w:sz w:val="24"/>
        </w:rPr>
        <w:t>, the ability to perform University, College and professional service, and collegiality.</w:t>
      </w:r>
    </w:p>
    <w:p w14:paraId="375CC55A" w14:textId="77777777" w:rsidR="005A2A21" w:rsidRDefault="005A2A21">
      <w:pPr>
        <w:spacing w:line="295" w:lineRule="auto"/>
        <w:rPr>
          <w:sz w:val="24"/>
        </w:rPr>
        <w:sectPr w:rsidR="005A2A21">
          <w:type w:val="continuous"/>
          <w:pgSz w:w="12240" w:h="15840"/>
          <w:pgMar w:top="1400" w:right="1440" w:bottom="280" w:left="1440" w:header="720" w:footer="720" w:gutter="0"/>
          <w:cols w:space="720"/>
        </w:sectPr>
      </w:pPr>
    </w:p>
    <w:p w14:paraId="7D0BDAB8" w14:textId="77777777" w:rsidR="005A2A21" w:rsidRDefault="00C73F3D">
      <w:pPr>
        <w:pStyle w:val="ListParagraph"/>
        <w:numPr>
          <w:ilvl w:val="0"/>
          <w:numId w:val="1"/>
        </w:numPr>
        <w:tabs>
          <w:tab w:val="left" w:pos="721"/>
        </w:tabs>
        <w:spacing w:before="74" w:line="295" w:lineRule="auto"/>
        <w:ind w:right="457"/>
        <w:rPr>
          <w:sz w:val="24"/>
        </w:rPr>
      </w:pPr>
      <w:r>
        <w:rPr>
          <w:sz w:val="24"/>
        </w:rPr>
        <w:lastRenderedPageBreak/>
        <w:t>Each academic department seeks experienced tenure-track faculty who have earned</w:t>
      </w:r>
      <w:r>
        <w:rPr>
          <w:spacing w:val="-13"/>
          <w:sz w:val="24"/>
        </w:rPr>
        <w:t xml:space="preserve"> </w:t>
      </w:r>
      <w:r>
        <w:rPr>
          <w:sz w:val="24"/>
        </w:rPr>
        <w:t>a reputation for effective classroom teaching, have a productive research/schol</w:t>
      </w:r>
      <w:r>
        <w:rPr>
          <w:sz w:val="24"/>
        </w:rPr>
        <w:t xml:space="preserve">arly record as evidenced by refereed journal articles and/or other publications accepted under </w:t>
      </w:r>
      <w:proofErr w:type="spellStart"/>
      <w:r>
        <w:rPr>
          <w:sz w:val="24"/>
        </w:rPr>
        <w:t>AACSBresearch</w:t>
      </w:r>
      <w:proofErr w:type="spellEnd"/>
      <w:r>
        <w:rPr>
          <w:sz w:val="24"/>
        </w:rPr>
        <w:t xml:space="preserve"> guidelines, a good reputation for University and College service, and a good </w:t>
      </w:r>
      <w:proofErr w:type="spellStart"/>
      <w:r>
        <w:rPr>
          <w:sz w:val="24"/>
        </w:rPr>
        <w:t>reputationfor</w:t>
      </w:r>
      <w:proofErr w:type="spellEnd"/>
      <w:r>
        <w:rPr>
          <w:sz w:val="24"/>
        </w:rPr>
        <w:t xml:space="preserve"> collegiality. All recruitment of tenure/tenure track fac</w:t>
      </w:r>
      <w:r>
        <w:rPr>
          <w:sz w:val="24"/>
        </w:rPr>
        <w:t>ulty should be consistent with the mission of the College and the needs of the academic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department.</w:t>
      </w:r>
    </w:p>
    <w:p w14:paraId="4AD2BA8E" w14:textId="77777777" w:rsidR="005A2A21" w:rsidRDefault="005A2A21">
      <w:pPr>
        <w:pStyle w:val="BodyText"/>
        <w:spacing w:before="1"/>
        <w:rPr>
          <w:sz w:val="21"/>
        </w:rPr>
      </w:pPr>
    </w:p>
    <w:p w14:paraId="114BC137" w14:textId="77777777" w:rsidR="005A2A21" w:rsidRDefault="00C73F3D">
      <w:pPr>
        <w:pStyle w:val="ListParagraph"/>
        <w:numPr>
          <w:ilvl w:val="0"/>
          <w:numId w:val="1"/>
        </w:numPr>
        <w:tabs>
          <w:tab w:val="left" w:pos="721"/>
        </w:tabs>
        <w:spacing w:line="295" w:lineRule="auto"/>
        <w:ind w:right="198"/>
        <w:rPr>
          <w:sz w:val="24"/>
        </w:rPr>
      </w:pPr>
      <w:r>
        <w:rPr>
          <w:sz w:val="24"/>
        </w:rPr>
        <w:t xml:space="preserve">Each department may seek professionally qualified faculty. The faculty member should </w:t>
      </w:r>
      <w:proofErr w:type="spellStart"/>
      <w:r>
        <w:rPr>
          <w:spacing w:val="3"/>
          <w:sz w:val="24"/>
        </w:rPr>
        <w:t>havea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master's degree in a field related to the area of the prospectiv</w:t>
      </w:r>
      <w:r>
        <w:rPr>
          <w:sz w:val="24"/>
        </w:rPr>
        <w:t>e teaching assignment, recent relevant professional experience and, when appropriate,</w:t>
      </w:r>
      <w:r>
        <w:rPr>
          <w:spacing w:val="-15"/>
          <w:sz w:val="24"/>
        </w:rPr>
        <w:t xml:space="preserve"> </w:t>
      </w:r>
      <w:r>
        <w:rPr>
          <w:sz w:val="24"/>
        </w:rPr>
        <w:t>professional certification. The faculty member with prior teaching experience should provide evidence of effective classroom teaching. All potential non- tenure-track fac</w:t>
      </w:r>
      <w:r>
        <w:rPr>
          <w:sz w:val="24"/>
        </w:rPr>
        <w:t>ulty should show promise of developing effective instructional materials and performing service activities.</w:t>
      </w:r>
    </w:p>
    <w:p w14:paraId="2240167A" w14:textId="77777777" w:rsidR="005A2A21" w:rsidRDefault="005A2A21">
      <w:pPr>
        <w:pStyle w:val="BodyText"/>
        <w:spacing w:before="1"/>
        <w:rPr>
          <w:sz w:val="21"/>
        </w:rPr>
      </w:pPr>
    </w:p>
    <w:p w14:paraId="0FAB0257" w14:textId="77777777" w:rsidR="005A2A21" w:rsidRDefault="00C73F3D">
      <w:pPr>
        <w:pStyle w:val="ListParagraph"/>
        <w:numPr>
          <w:ilvl w:val="0"/>
          <w:numId w:val="1"/>
        </w:numPr>
        <w:tabs>
          <w:tab w:val="left" w:pos="721"/>
        </w:tabs>
        <w:spacing w:before="1" w:line="295" w:lineRule="auto"/>
        <w:ind w:right="441"/>
        <w:rPr>
          <w:sz w:val="24"/>
        </w:rPr>
      </w:pP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maintain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list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acceptable</w:t>
      </w:r>
      <w:r>
        <w:rPr>
          <w:spacing w:val="-4"/>
          <w:sz w:val="24"/>
        </w:rPr>
        <w:t xml:space="preserve"> </w:t>
      </w:r>
      <w:r>
        <w:rPr>
          <w:sz w:val="24"/>
        </w:rPr>
        <w:t>degrees.</w:t>
      </w:r>
      <w:r>
        <w:rPr>
          <w:spacing w:val="-4"/>
          <w:sz w:val="24"/>
        </w:rPr>
        <w:t xml:space="preserve"> </w:t>
      </w:r>
      <w:r>
        <w:rPr>
          <w:sz w:val="24"/>
        </w:rPr>
        <w:t>More</w:t>
      </w:r>
      <w:r>
        <w:rPr>
          <w:spacing w:val="-6"/>
          <w:sz w:val="24"/>
        </w:rPr>
        <w:t xml:space="preserve"> </w:t>
      </w:r>
      <w:r>
        <w:rPr>
          <w:sz w:val="24"/>
        </w:rPr>
        <w:t>specific</w:t>
      </w:r>
      <w:r>
        <w:rPr>
          <w:spacing w:val="-7"/>
          <w:sz w:val="24"/>
        </w:rPr>
        <w:t xml:space="preserve"> </w:t>
      </w:r>
      <w:r>
        <w:rPr>
          <w:sz w:val="24"/>
        </w:rPr>
        <w:t>information can be found in departmental</w:t>
      </w:r>
      <w:r>
        <w:rPr>
          <w:spacing w:val="-23"/>
          <w:sz w:val="24"/>
        </w:rPr>
        <w:t xml:space="preserve"> </w:t>
      </w:r>
      <w:r>
        <w:rPr>
          <w:sz w:val="24"/>
        </w:rPr>
        <w:t>policies.</w:t>
      </w:r>
    </w:p>
    <w:p w14:paraId="2E858A0A" w14:textId="77777777" w:rsidR="005A2A21" w:rsidRDefault="005A2A21">
      <w:pPr>
        <w:pStyle w:val="BodyText"/>
        <w:spacing w:before="7"/>
        <w:rPr>
          <w:sz w:val="20"/>
        </w:rPr>
      </w:pPr>
    </w:p>
    <w:p w14:paraId="540D7195" w14:textId="77777777" w:rsidR="005A2A21" w:rsidRDefault="00C73F3D">
      <w:pPr>
        <w:pStyle w:val="ListParagraph"/>
        <w:numPr>
          <w:ilvl w:val="0"/>
          <w:numId w:val="1"/>
        </w:numPr>
        <w:tabs>
          <w:tab w:val="left" w:pos="721"/>
        </w:tabs>
        <w:spacing w:line="295" w:lineRule="auto"/>
        <w:ind w:right="493"/>
        <w:rPr>
          <w:sz w:val="24"/>
        </w:rPr>
      </w:pPr>
      <w:r>
        <w:rPr>
          <w:sz w:val="24"/>
        </w:rPr>
        <w:t>Faculty recruitment also includes the selection of departmental chairs. When an incumbent chair announces his/her decision to vacate the position, the Dean will set a meeting of the departmental Personnel</w:t>
      </w:r>
      <w:r>
        <w:rPr>
          <w:sz w:val="24"/>
        </w:rPr>
        <w:t xml:space="preserve"> Committee as soon as possible to determine if an outside search is desired. If the decision is made that an outside search will be conducted, a Search Committee will be appointed immediately and the search for a new chair begun no later than </w:t>
      </w:r>
      <w:proofErr w:type="spellStart"/>
      <w:r>
        <w:rPr>
          <w:spacing w:val="2"/>
          <w:sz w:val="24"/>
        </w:rPr>
        <w:t>twomonths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aft</w:t>
      </w:r>
      <w:r>
        <w:rPr>
          <w:sz w:val="24"/>
        </w:rPr>
        <w:t>er the vacancy is announced. If no outside search is required, the Dean will proceed expeditiously to select the new chair from a list of internal candidates acceptable to the departmental Personnel Committee.</w:t>
      </w:r>
    </w:p>
    <w:p w14:paraId="22CB33B4" w14:textId="77777777" w:rsidR="005A2A21" w:rsidRDefault="005A2A21">
      <w:pPr>
        <w:spacing w:line="295" w:lineRule="auto"/>
        <w:rPr>
          <w:sz w:val="24"/>
        </w:rPr>
        <w:sectPr w:rsidR="005A2A21">
          <w:pgSz w:w="12240" w:h="15840"/>
          <w:pgMar w:top="1360" w:right="1440" w:bottom="280" w:left="1440" w:header="720" w:footer="720" w:gutter="0"/>
          <w:cols w:space="720"/>
        </w:sectPr>
      </w:pPr>
    </w:p>
    <w:p w14:paraId="688B3A4F" w14:textId="77777777" w:rsidR="005A2A21" w:rsidRDefault="00C73F3D">
      <w:pPr>
        <w:pStyle w:val="Heading1"/>
        <w:spacing w:before="79"/>
      </w:pPr>
      <w:r>
        <w:lastRenderedPageBreak/>
        <w:t>CERTIFICATION STATEMENT</w:t>
      </w:r>
    </w:p>
    <w:p w14:paraId="4048D233" w14:textId="77777777" w:rsidR="005A2A21" w:rsidRDefault="005A2A21">
      <w:pPr>
        <w:pStyle w:val="BodyText"/>
        <w:spacing w:before="11"/>
        <w:rPr>
          <w:b/>
          <w:sz w:val="26"/>
        </w:rPr>
      </w:pPr>
    </w:p>
    <w:p w14:paraId="44B4BEC7" w14:textId="77777777" w:rsidR="005A2A21" w:rsidRDefault="00C73F3D">
      <w:pPr>
        <w:pStyle w:val="BodyText"/>
        <w:spacing w:line="295" w:lineRule="auto"/>
        <w:ind w:left="101" w:right="567"/>
      </w:pPr>
      <w:r>
        <w:t>This CBAPPS has been approved by the reviewers listed below and represents the McCoy College of Business Administration policy and procedure from the date of the document until superseded.</w:t>
      </w:r>
    </w:p>
    <w:p w14:paraId="6507A05F" w14:textId="77777777" w:rsidR="005A2A21" w:rsidRDefault="005A2A21">
      <w:pPr>
        <w:pStyle w:val="BodyText"/>
        <w:spacing w:before="4"/>
        <w:rPr>
          <w:sz w:val="29"/>
        </w:rPr>
      </w:pPr>
    </w:p>
    <w:p w14:paraId="70A052AC" w14:textId="77777777" w:rsidR="005A2A21" w:rsidRDefault="00C73F3D">
      <w:pPr>
        <w:pStyle w:val="BodyText"/>
        <w:spacing w:line="436" w:lineRule="auto"/>
        <w:ind w:left="101" w:right="6086"/>
      </w:pPr>
      <w:r>
        <w:t>Review Cycle: Sept. 1, E5Y Next Review Date: Sept. 1, 2019</w:t>
      </w:r>
    </w:p>
    <w:p w14:paraId="51907B7B" w14:textId="77777777" w:rsidR="005A2A21" w:rsidRDefault="00C73F3D">
      <w:pPr>
        <w:pStyle w:val="BodyText"/>
        <w:tabs>
          <w:tab w:val="left" w:pos="5093"/>
          <w:tab w:val="left" w:pos="7287"/>
        </w:tabs>
        <w:spacing w:before="102"/>
        <w:ind w:left="101"/>
      </w:pPr>
      <w:r>
        <w:t>CBAC</w:t>
      </w:r>
      <w:r>
        <w:rPr>
          <w:spacing w:val="-2"/>
        </w:rPr>
        <w:t xml:space="preserve"> </w:t>
      </w:r>
      <w:r>
        <w:t>Re</w:t>
      </w:r>
      <w:r>
        <w:t>view: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DE0636" w14:textId="77777777" w:rsidR="005A2A21" w:rsidRDefault="005A2A21">
      <w:pPr>
        <w:pStyle w:val="BodyText"/>
        <w:spacing w:before="8"/>
        <w:rPr>
          <w:sz w:val="18"/>
        </w:rPr>
      </w:pPr>
    </w:p>
    <w:p w14:paraId="16A10802" w14:textId="77777777" w:rsidR="005A2A21" w:rsidRDefault="00C73F3D">
      <w:pPr>
        <w:pStyle w:val="BodyText"/>
        <w:tabs>
          <w:tab w:val="left" w:pos="5117"/>
          <w:tab w:val="left" w:pos="7313"/>
        </w:tabs>
        <w:spacing w:before="90"/>
        <w:ind w:left="101"/>
      </w:pPr>
      <w:r>
        <w:t>Governance</w:t>
      </w:r>
      <w:r>
        <w:rPr>
          <w:spacing w:val="-5"/>
        </w:rPr>
        <w:t xml:space="preserve"> </w:t>
      </w:r>
      <w:r>
        <w:t>Review: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BCE5A8" w14:textId="77777777" w:rsidR="005A2A21" w:rsidRDefault="005A2A21">
      <w:pPr>
        <w:pStyle w:val="BodyText"/>
        <w:spacing w:before="8"/>
        <w:rPr>
          <w:sz w:val="18"/>
        </w:rPr>
      </w:pPr>
    </w:p>
    <w:p w14:paraId="7BC328F5" w14:textId="77777777" w:rsidR="005A2A21" w:rsidRDefault="00C73F3D">
      <w:pPr>
        <w:pStyle w:val="BodyText"/>
        <w:tabs>
          <w:tab w:val="left" w:pos="5086"/>
          <w:tab w:val="left" w:pos="7280"/>
        </w:tabs>
        <w:spacing w:before="6" w:line="360" w:lineRule="atLeast"/>
        <w:ind w:left="1080" w:right="2077" w:hanging="980"/>
      </w:pPr>
      <w:r>
        <w:t>Approved: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Date:</w:t>
      </w:r>
      <w:r>
        <w:rPr>
          <w:u w:val="single"/>
        </w:rPr>
        <w:tab/>
      </w:r>
      <w:r>
        <w:t xml:space="preserve"> Denise T.</w:t>
      </w:r>
      <w:r>
        <w:rPr>
          <w:spacing w:val="-1"/>
        </w:rPr>
        <w:t xml:space="preserve"> </w:t>
      </w:r>
      <w:r>
        <w:t>Smart</w:t>
      </w:r>
    </w:p>
    <w:p w14:paraId="3521127A" w14:textId="767244B0" w:rsidR="005A2A21" w:rsidRDefault="00C73F3D" w:rsidP="00C73F3D">
      <w:pPr>
        <w:pStyle w:val="BodyText"/>
        <w:spacing w:before="7"/>
        <w:ind w:left="1080"/>
        <w:rPr>
          <w:sz w:val="17"/>
        </w:rPr>
      </w:pPr>
      <w:r>
        <w:t>Dean, McCoy College of Business Administration</w:t>
      </w:r>
    </w:p>
    <w:sectPr w:rsidR="005A2A21">
      <w:pgSz w:w="12240" w:h="15840"/>
      <w:pgMar w:top="150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FD0594"/>
    <w:multiLevelType w:val="hybridMultilevel"/>
    <w:tmpl w:val="55864F5A"/>
    <w:lvl w:ilvl="0" w:tplc="C17672AC">
      <w:start w:val="1"/>
      <w:numFmt w:val="decimal"/>
      <w:lvlText w:val="%1."/>
      <w:lvlJc w:val="left"/>
      <w:pPr>
        <w:ind w:left="7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AFC5228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5C908B38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6B0632CA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BA46AB0E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B77C81F8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9B7A3A6A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6BC62D4C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116E01DE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A21"/>
    <w:rsid w:val="005A2A21"/>
    <w:rsid w:val="00C7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848005"/>
  <w15:docId w15:val="{4629B03E-6F5E-B744-B418-6568C5EF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20" w:right="11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Wierschem, David C</dc:creator>
  <cp:lastModifiedBy>Lane, Letitia L</cp:lastModifiedBy>
  <cp:revision>2</cp:revision>
  <dcterms:created xsi:type="dcterms:W3CDTF">2020-10-16T20:25:00Z</dcterms:created>
  <dcterms:modified xsi:type="dcterms:W3CDTF">2020-10-16T20:26:00Z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2020-10-16T00:00:00Z</vt:filetime>
  </property>
</Properties>
</file>