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81667" w14:textId="77777777" w:rsidR="00C20D35" w:rsidRDefault="005C3ABF">
      <w:pPr>
        <w:pStyle w:val="Heading1"/>
        <w:spacing w:before="76" w:line="477" w:lineRule="auto"/>
        <w:ind w:right="1495" w:firstLine="1329"/>
      </w:pPr>
      <w:proofErr w:type="spellStart"/>
      <w:r>
        <w:t>McCOY</w:t>
      </w:r>
      <w:proofErr w:type="spellEnd"/>
      <w:r>
        <w:t xml:space="preserve"> COLLEGE OF BUSINESS </w:t>
      </w:r>
    </w:p>
    <w:p w14:paraId="517E6B53" w14:textId="51FCCAAC" w:rsidR="00E75500" w:rsidRDefault="005C3ABF" w:rsidP="00C20D35">
      <w:pPr>
        <w:pStyle w:val="Heading1"/>
        <w:spacing w:before="76" w:line="477" w:lineRule="auto"/>
        <w:ind w:right="1495"/>
      </w:pPr>
      <w:r>
        <w:t>CBAPPS 5.02</w:t>
      </w:r>
    </w:p>
    <w:p w14:paraId="0E67DAC9" w14:textId="77777777" w:rsidR="00E75500" w:rsidRDefault="005C3ABF">
      <w:pPr>
        <w:pStyle w:val="BodyText"/>
        <w:spacing w:before="16"/>
        <w:ind w:left="201" w:right="861"/>
      </w:pPr>
      <w:r>
        <w:t>Evaluating Lecturers Senior Lecturers, Faculty of Practice and Clinical Faculty for Reappointment</w:t>
      </w:r>
    </w:p>
    <w:p w14:paraId="672A6659" w14:textId="77777777" w:rsidR="00E75500" w:rsidRDefault="00E75500">
      <w:pPr>
        <w:pStyle w:val="BodyText"/>
        <w:spacing w:before="3"/>
        <w:rPr>
          <w:sz w:val="25"/>
        </w:rPr>
      </w:pPr>
    </w:p>
    <w:p w14:paraId="20BED156" w14:textId="77777777" w:rsidR="00E75500" w:rsidRDefault="005C3ABF">
      <w:pPr>
        <w:pStyle w:val="Heading1"/>
      </w:pPr>
      <w:r>
        <w:t>PURPOSE</w:t>
      </w:r>
    </w:p>
    <w:p w14:paraId="0A37501D" w14:textId="77777777" w:rsidR="00E75500" w:rsidRDefault="00E75500">
      <w:pPr>
        <w:pStyle w:val="BodyText"/>
        <w:spacing w:before="6"/>
        <w:rPr>
          <w:b/>
          <w:sz w:val="22"/>
        </w:rPr>
      </w:pPr>
    </w:p>
    <w:p w14:paraId="054635BC" w14:textId="6D0932B5" w:rsidR="00E75500" w:rsidRDefault="005C3ABF" w:rsidP="008859BD">
      <w:pPr>
        <w:pStyle w:val="BodyText"/>
        <w:ind w:left="201" w:right="81"/>
      </w:pPr>
      <w:r>
        <w:t>The purpose of this document is to establish policies and procedures for the evaluation and reappointment of Lecturers, Senior Lecturers, Faculty of Practice, and Clinical Faculty.</w:t>
      </w:r>
      <w:r w:rsidR="008859BD">
        <w:t xml:space="preserve">  This policy statement is meant to supplement AA/PPS 04.02.10 (8.09).  </w:t>
      </w:r>
      <w:r>
        <w:t>This annual evaluation of faculty is a responsibility shared by department chairs and departmental personnel committees.</w:t>
      </w:r>
    </w:p>
    <w:p w14:paraId="5DAB6C7B" w14:textId="77777777" w:rsidR="00E75500" w:rsidRDefault="00E75500">
      <w:pPr>
        <w:pStyle w:val="BodyText"/>
        <w:spacing w:before="4"/>
        <w:rPr>
          <w:sz w:val="25"/>
        </w:rPr>
      </w:pPr>
    </w:p>
    <w:p w14:paraId="6E266945" w14:textId="77777777" w:rsidR="00E75500" w:rsidRDefault="005C3ABF">
      <w:pPr>
        <w:pStyle w:val="Heading1"/>
      </w:pPr>
      <w:r>
        <w:t>GENERAL INFORMATION</w:t>
      </w:r>
    </w:p>
    <w:p w14:paraId="02EB378F" w14:textId="77777777" w:rsidR="00E75500" w:rsidRDefault="00E75500">
      <w:pPr>
        <w:pStyle w:val="BodyText"/>
        <w:spacing w:before="6"/>
        <w:rPr>
          <w:b/>
          <w:sz w:val="22"/>
        </w:rPr>
      </w:pPr>
    </w:p>
    <w:p w14:paraId="01F2AE80" w14:textId="77777777" w:rsidR="00E75500" w:rsidRDefault="005C3ABF">
      <w:pPr>
        <w:pStyle w:val="ListParagraph"/>
        <w:numPr>
          <w:ilvl w:val="0"/>
          <w:numId w:val="1"/>
        </w:numPr>
        <w:tabs>
          <w:tab w:val="left" w:pos="562"/>
        </w:tabs>
        <w:ind w:right="534"/>
        <w:rPr>
          <w:sz w:val="24"/>
        </w:rPr>
      </w:pPr>
      <w:r>
        <w:rPr>
          <w:sz w:val="24"/>
        </w:rPr>
        <w:t>Temporary faculty have a significant and important role to play in the operation</w:t>
      </w:r>
      <w:r>
        <w:rPr>
          <w:spacing w:val="-12"/>
          <w:sz w:val="24"/>
        </w:rPr>
        <w:t xml:space="preserve"> </w:t>
      </w:r>
      <w:r>
        <w:rPr>
          <w:sz w:val="24"/>
        </w:rPr>
        <w:t>of the McCoy College. Their role may vary from department to department and sometimes from faculty member to faculty member within the same department. Individual departments should develop their own criteria for evaluation of Lecturers, Senior Lecturers, Faculty of Practice, and Clinical Faculty. All faculty should be familiar with CBAPPS 5.01 dealing with McCoy College expectations concerning teaching, scholarly activity, and</w:t>
      </w:r>
      <w:r>
        <w:rPr>
          <w:spacing w:val="-22"/>
          <w:sz w:val="24"/>
        </w:rPr>
        <w:t xml:space="preserve"> </w:t>
      </w:r>
      <w:r>
        <w:rPr>
          <w:sz w:val="24"/>
        </w:rPr>
        <w:t>service.</w:t>
      </w:r>
    </w:p>
    <w:p w14:paraId="6A05A809" w14:textId="77777777" w:rsidR="00E75500" w:rsidRDefault="00E75500">
      <w:pPr>
        <w:pStyle w:val="BodyText"/>
        <w:spacing w:before="3"/>
        <w:rPr>
          <w:sz w:val="25"/>
        </w:rPr>
      </w:pPr>
    </w:p>
    <w:p w14:paraId="6079307D" w14:textId="77777777" w:rsidR="00E75500" w:rsidRDefault="005C3ABF">
      <w:pPr>
        <w:pStyle w:val="Heading1"/>
      </w:pPr>
      <w:r>
        <w:t>PROCEDURES</w:t>
      </w:r>
    </w:p>
    <w:p w14:paraId="5A39BBE3" w14:textId="77777777" w:rsidR="00E75500" w:rsidRDefault="00E75500">
      <w:pPr>
        <w:pStyle w:val="BodyText"/>
        <w:spacing w:before="4"/>
        <w:rPr>
          <w:b/>
          <w:sz w:val="22"/>
        </w:rPr>
      </w:pPr>
    </w:p>
    <w:p w14:paraId="4FD6B8D2" w14:textId="77777777" w:rsidR="00E75500" w:rsidRDefault="005C3ABF">
      <w:pPr>
        <w:pStyle w:val="ListParagraph"/>
        <w:numPr>
          <w:ilvl w:val="0"/>
          <w:numId w:val="1"/>
        </w:numPr>
        <w:tabs>
          <w:tab w:val="left" w:pos="562"/>
        </w:tabs>
        <w:ind w:right="472"/>
        <w:rPr>
          <w:sz w:val="24"/>
        </w:rPr>
      </w:pPr>
      <w:r>
        <w:rPr>
          <w:sz w:val="24"/>
        </w:rPr>
        <w:t>Faculty members, exclusive of per course faculty, who are paid at a rate of fifty percent or more from funds budgeted for faculty salaries should be evaluated every year prior to April</w:t>
      </w:r>
      <w:r>
        <w:rPr>
          <w:spacing w:val="-10"/>
          <w:sz w:val="24"/>
        </w:rPr>
        <w:t xml:space="preserve"> </w:t>
      </w:r>
      <w:r>
        <w:rPr>
          <w:sz w:val="24"/>
        </w:rPr>
        <w:t>1.</w:t>
      </w:r>
    </w:p>
    <w:p w14:paraId="41C8F396" w14:textId="77777777" w:rsidR="00E75500" w:rsidRDefault="00E75500">
      <w:pPr>
        <w:pStyle w:val="BodyText"/>
      </w:pPr>
    </w:p>
    <w:p w14:paraId="25C7ECBE" w14:textId="0C33ECEB" w:rsidR="002345C0" w:rsidRPr="002345C0" w:rsidRDefault="005C3ABF" w:rsidP="002345C0">
      <w:pPr>
        <w:pStyle w:val="ListParagraph"/>
        <w:numPr>
          <w:ilvl w:val="0"/>
          <w:numId w:val="1"/>
        </w:numPr>
        <w:tabs>
          <w:tab w:val="left" w:pos="562"/>
        </w:tabs>
        <w:ind w:right="472"/>
        <w:rPr>
          <w:sz w:val="24"/>
        </w:rPr>
      </w:pPr>
      <w:r w:rsidRPr="002345C0">
        <w:rPr>
          <w:sz w:val="24"/>
        </w:rPr>
        <w:t xml:space="preserve">The department chair will call a meeting of the </w:t>
      </w:r>
      <w:r w:rsidR="002345C0" w:rsidRPr="001C6775">
        <w:rPr>
          <w:sz w:val="24"/>
        </w:rPr>
        <w:t>p</w:t>
      </w:r>
      <w:r w:rsidRPr="001C6775">
        <w:rPr>
          <w:sz w:val="24"/>
        </w:rPr>
        <w:t xml:space="preserve">ersonnel </w:t>
      </w:r>
      <w:r w:rsidR="002345C0" w:rsidRPr="001C6775">
        <w:rPr>
          <w:sz w:val="24"/>
        </w:rPr>
        <w:t>c</w:t>
      </w:r>
      <w:r w:rsidRPr="001C6775">
        <w:rPr>
          <w:sz w:val="24"/>
        </w:rPr>
        <w:t>ommittee to review Lecturers, Senior Lecturers, Faculty of Practice, and Clinical Faculty in the department.</w:t>
      </w:r>
      <w:r w:rsidR="002235CA" w:rsidRPr="001C6775">
        <w:rPr>
          <w:sz w:val="24"/>
        </w:rPr>
        <w:t xml:space="preserve"> </w:t>
      </w:r>
      <w:bookmarkStart w:id="0" w:name="_Hlk50619808"/>
      <w:r w:rsidR="002235CA" w:rsidRPr="001C6775">
        <w:rPr>
          <w:sz w:val="24"/>
        </w:rPr>
        <w:t xml:space="preserve">Faculty documentation will be made available through the Faculty Qualifications system. </w:t>
      </w:r>
      <w:bookmarkEnd w:id="0"/>
    </w:p>
    <w:p w14:paraId="0D0B940D" w14:textId="77777777" w:rsidR="00E75500" w:rsidRPr="002345C0" w:rsidRDefault="00E75500" w:rsidP="002345C0">
      <w:pPr>
        <w:pStyle w:val="ListParagraph"/>
        <w:tabs>
          <w:tab w:val="left" w:pos="562"/>
        </w:tabs>
        <w:ind w:right="472" w:firstLine="0"/>
        <w:rPr>
          <w:sz w:val="24"/>
        </w:rPr>
      </w:pPr>
    </w:p>
    <w:p w14:paraId="5A44D2F4" w14:textId="77777777" w:rsidR="00E75500" w:rsidRDefault="005C3ABF" w:rsidP="002345C0">
      <w:pPr>
        <w:pStyle w:val="ListParagraph"/>
        <w:numPr>
          <w:ilvl w:val="0"/>
          <w:numId w:val="1"/>
        </w:numPr>
        <w:tabs>
          <w:tab w:val="left" w:pos="562"/>
        </w:tabs>
        <w:ind w:right="468"/>
        <w:rPr>
          <w:sz w:val="24"/>
        </w:rPr>
      </w:pPr>
      <w:r>
        <w:rPr>
          <w:sz w:val="24"/>
        </w:rPr>
        <w:t>The department chair will preside over the reappointment meeting of the personnel committee. After a thorough discussion of the faculty member's teaching, scholarly activity, and service, the personnel committee will vote for reappointment or non- reappointment.</w:t>
      </w:r>
    </w:p>
    <w:p w14:paraId="0E27B00A" w14:textId="77777777" w:rsidR="00E75500" w:rsidRDefault="00E75500">
      <w:pPr>
        <w:pStyle w:val="BodyText"/>
        <w:spacing w:before="9"/>
        <w:rPr>
          <w:sz w:val="23"/>
        </w:rPr>
      </w:pPr>
    </w:p>
    <w:p w14:paraId="1314934B" w14:textId="3918AA35" w:rsidR="00E75500" w:rsidRDefault="005C3ABF">
      <w:pPr>
        <w:pStyle w:val="ListParagraph"/>
        <w:numPr>
          <w:ilvl w:val="0"/>
          <w:numId w:val="1"/>
        </w:numPr>
        <w:tabs>
          <w:tab w:val="left" w:pos="562"/>
        </w:tabs>
        <w:spacing w:before="1"/>
        <w:ind w:right="594"/>
        <w:rPr>
          <w:sz w:val="24"/>
        </w:rPr>
      </w:pPr>
      <w:r>
        <w:rPr>
          <w:sz w:val="24"/>
        </w:rPr>
        <w:t>The chair will meet with each Lecturer, Senior Lecturer, Faculty of Practice, and Clinical Faculty to discuss the results of the personnel committee evaluation.</w:t>
      </w:r>
      <w:r>
        <w:rPr>
          <w:spacing w:val="-14"/>
          <w:sz w:val="24"/>
        </w:rPr>
        <w:t xml:space="preserve"> </w:t>
      </w:r>
      <w:r>
        <w:rPr>
          <w:sz w:val="24"/>
        </w:rPr>
        <w:t>This meeting may be part of the normal annual review</w:t>
      </w:r>
      <w:r>
        <w:rPr>
          <w:spacing w:val="-7"/>
          <w:sz w:val="24"/>
        </w:rPr>
        <w:t xml:space="preserve"> </w:t>
      </w:r>
      <w:r>
        <w:rPr>
          <w:sz w:val="24"/>
        </w:rPr>
        <w:t>process.</w:t>
      </w:r>
    </w:p>
    <w:p w14:paraId="665DB1E0" w14:textId="77777777" w:rsidR="002345C0" w:rsidRPr="002345C0" w:rsidRDefault="002345C0" w:rsidP="002345C0">
      <w:pPr>
        <w:pStyle w:val="ListParagraph"/>
        <w:rPr>
          <w:sz w:val="24"/>
        </w:rPr>
      </w:pPr>
    </w:p>
    <w:p w14:paraId="024684B4" w14:textId="77777777" w:rsidR="002345C0" w:rsidRDefault="002345C0" w:rsidP="002345C0">
      <w:pPr>
        <w:pStyle w:val="ListParagraph"/>
        <w:tabs>
          <w:tab w:val="left" w:pos="562"/>
        </w:tabs>
        <w:spacing w:before="1"/>
        <w:ind w:right="594" w:firstLine="0"/>
        <w:rPr>
          <w:sz w:val="24"/>
        </w:rPr>
      </w:pPr>
    </w:p>
    <w:p w14:paraId="14F7BAE6" w14:textId="77777777" w:rsidR="001C6775" w:rsidRDefault="001C6775">
      <w:pPr>
        <w:rPr>
          <w:b/>
          <w:bCs/>
          <w:sz w:val="24"/>
          <w:szCs w:val="24"/>
        </w:rPr>
      </w:pPr>
      <w:r>
        <w:br w:type="page"/>
      </w:r>
    </w:p>
    <w:p w14:paraId="1BF8D3A8" w14:textId="574BE0B1" w:rsidR="00E75500" w:rsidRDefault="005C3ABF">
      <w:pPr>
        <w:pStyle w:val="Heading1"/>
        <w:spacing w:before="60"/>
        <w:ind w:left="100"/>
      </w:pPr>
      <w:r>
        <w:lastRenderedPageBreak/>
        <w:t>CERTIFICATION STATEMENT</w:t>
      </w:r>
    </w:p>
    <w:p w14:paraId="44EAFD9C" w14:textId="77777777" w:rsidR="00E75500" w:rsidRDefault="00E75500">
      <w:pPr>
        <w:pStyle w:val="BodyText"/>
        <w:spacing w:before="6"/>
        <w:rPr>
          <w:b/>
          <w:sz w:val="22"/>
        </w:rPr>
      </w:pPr>
    </w:p>
    <w:p w14:paraId="75C8507C" w14:textId="7EC9BFCD" w:rsidR="00E75500" w:rsidRDefault="005C3ABF">
      <w:pPr>
        <w:pStyle w:val="BodyText"/>
        <w:ind w:left="220" w:right="842"/>
        <w:jc w:val="both"/>
      </w:pPr>
      <w:r>
        <w:t>This CBAPPS has been approved by the reviewers listed below and represents the McCoy College of Business policy and procedure from the date of the document until superseded.</w:t>
      </w:r>
    </w:p>
    <w:p w14:paraId="4B94D5A5" w14:textId="77777777" w:rsidR="00E75500" w:rsidRDefault="00E75500">
      <w:pPr>
        <w:pStyle w:val="BodyText"/>
        <w:spacing w:before="9"/>
        <w:rPr>
          <w:sz w:val="23"/>
        </w:rPr>
      </w:pPr>
    </w:p>
    <w:p w14:paraId="73EE2E2F" w14:textId="16C9D902" w:rsidR="001C6775" w:rsidRDefault="005C3ABF" w:rsidP="002345C0">
      <w:pPr>
        <w:pStyle w:val="BodyText"/>
        <w:ind w:left="220" w:right="842"/>
        <w:jc w:val="both"/>
      </w:pPr>
      <w:r>
        <w:t xml:space="preserve">Last Update: </w:t>
      </w:r>
      <w:r w:rsidR="001C6775">
        <w:t>January, 2021</w:t>
      </w:r>
      <w:r>
        <w:t xml:space="preserve"> </w:t>
      </w:r>
    </w:p>
    <w:p w14:paraId="169B64ED" w14:textId="77777777" w:rsidR="001C6775" w:rsidRDefault="001C6775" w:rsidP="002345C0">
      <w:pPr>
        <w:pStyle w:val="BodyText"/>
        <w:ind w:left="220" w:right="842"/>
        <w:jc w:val="both"/>
      </w:pPr>
    </w:p>
    <w:p w14:paraId="32B20699" w14:textId="136EA422" w:rsidR="00E75500" w:rsidRDefault="005C3ABF" w:rsidP="002345C0">
      <w:pPr>
        <w:pStyle w:val="BodyText"/>
        <w:ind w:left="220" w:right="842"/>
        <w:jc w:val="both"/>
      </w:pPr>
      <w:r>
        <w:t>Review Cycle: E5Y</w:t>
      </w:r>
    </w:p>
    <w:p w14:paraId="04EFCEDC" w14:textId="77777777" w:rsidR="002345C0" w:rsidRDefault="002345C0" w:rsidP="002345C0">
      <w:pPr>
        <w:pStyle w:val="BodyText"/>
        <w:ind w:left="220" w:right="842"/>
        <w:jc w:val="both"/>
      </w:pPr>
    </w:p>
    <w:p w14:paraId="63A63B25" w14:textId="2DD55E58" w:rsidR="00E75500" w:rsidRDefault="005C3ABF">
      <w:pPr>
        <w:pStyle w:val="BodyText"/>
        <w:spacing w:before="7"/>
        <w:ind w:left="201"/>
        <w:jc w:val="both"/>
      </w:pPr>
      <w:r>
        <w:t>Next Review Date: Sept 1, 202</w:t>
      </w:r>
      <w:r w:rsidR="002345C0">
        <w:t>5</w:t>
      </w:r>
    </w:p>
    <w:p w14:paraId="3DEEC669" w14:textId="77777777" w:rsidR="00E75500" w:rsidRDefault="00E75500">
      <w:pPr>
        <w:pStyle w:val="BodyText"/>
        <w:spacing w:before="7"/>
        <w:rPr>
          <w:sz w:val="34"/>
        </w:rPr>
      </w:pPr>
    </w:p>
    <w:p w14:paraId="440E40BB" w14:textId="77777777" w:rsidR="00E75500" w:rsidRDefault="005C3ABF">
      <w:pPr>
        <w:pStyle w:val="BodyText"/>
        <w:tabs>
          <w:tab w:val="left" w:pos="5136"/>
          <w:tab w:val="left" w:pos="6965"/>
        </w:tabs>
        <w:spacing w:before="1"/>
        <w:ind w:left="201"/>
        <w:jc w:val="both"/>
      </w:pPr>
      <w:r>
        <w:t>CBAC</w:t>
      </w:r>
      <w:r>
        <w:rPr>
          <w:spacing w:val="-4"/>
        </w:rPr>
        <w:t xml:space="preserve"> </w:t>
      </w:r>
      <w:r>
        <w:t>Review:</w:t>
      </w:r>
      <w:r>
        <w:rPr>
          <w:u w:val="single"/>
        </w:rPr>
        <w:t xml:space="preserve"> </w:t>
      </w:r>
      <w:r>
        <w:rPr>
          <w:u w:val="single"/>
        </w:rPr>
        <w:tab/>
      </w:r>
      <w:r>
        <w:t xml:space="preserve">Date: </w:t>
      </w:r>
      <w:r>
        <w:rPr>
          <w:u w:val="single"/>
        </w:rPr>
        <w:t xml:space="preserve"> </w:t>
      </w:r>
      <w:r>
        <w:rPr>
          <w:u w:val="single"/>
        </w:rPr>
        <w:tab/>
      </w:r>
    </w:p>
    <w:p w14:paraId="3656B9AB" w14:textId="77777777" w:rsidR="00E75500" w:rsidRDefault="00E75500">
      <w:pPr>
        <w:pStyle w:val="BodyText"/>
        <w:spacing w:before="4"/>
        <w:rPr>
          <w:sz w:val="15"/>
        </w:rPr>
      </w:pPr>
    </w:p>
    <w:p w14:paraId="1138E0DC" w14:textId="77777777" w:rsidR="00E75500" w:rsidRDefault="005C3ABF">
      <w:pPr>
        <w:pStyle w:val="BodyText"/>
        <w:tabs>
          <w:tab w:val="left" w:pos="5160"/>
          <w:tab w:val="left" w:pos="7010"/>
        </w:tabs>
        <w:spacing w:before="90"/>
        <w:ind w:left="201"/>
      </w:pPr>
      <w:r>
        <w:t>Governance</w:t>
      </w:r>
      <w:r>
        <w:rPr>
          <w:spacing w:val="-7"/>
        </w:rPr>
        <w:t xml:space="preserve"> </w:t>
      </w:r>
      <w:r>
        <w:t>Review:</w:t>
      </w:r>
      <w:r>
        <w:rPr>
          <w:u w:val="single"/>
        </w:rPr>
        <w:t xml:space="preserve"> </w:t>
      </w:r>
      <w:r>
        <w:rPr>
          <w:u w:val="single"/>
        </w:rPr>
        <w:tab/>
      </w:r>
      <w:r>
        <w:t xml:space="preserve">Date: </w:t>
      </w:r>
      <w:r>
        <w:rPr>
          <w:u w:val="single"/>
        </w:rPr>
        <w:t xml:space="preserve"> </w:t>
      </w:r>
      <w:r>
        <w:rPr>
          <w:u w:val="single"/>
        </w:rPr>
        <w:tab/>
      </w:r>
    </w:p>
    <w:p w14:paraId="45FB0818" w14:textId="77777777" w:rsidR="00E75500" w:rsidRDefault="00E75500">
      <w:pPr>
        <w:pStyle w:val="BodyText"/>
        <w:spacing w:before="9"/>
        <w:rPr>
          <w:sz w:val="15"/>
        </w:rPr>
      </w:pPr>
    </w:p>
    <w:p w14:paraId="2298651E" w14:textId="45F3420B" w:rsidR="00E75500" w:rsidRDefault="005C3ABF">
      <w:pPr>
        <w:pStyle w:val="BodyText"/>
        <w:tabs>
          <w:tab w:val="left" w:pos="5141"/>
          <w:tab w:val="left" w:pos="7017"/>
        </w:tabs>
        <w:spacing w:before="6" w:line="360" w:lineRule="atLeast"/>
        <w:ind w:left="1540" w:right="2001" w:hanging="1340"/>
      </w:pPr>
      <w:r>
        <w:t>Approved</w:t>
      </w:r>
      <w:r>
        <w:rPr>
          <w:spacing w:val="-6"/>
        </w:rPr>
        <w:t xml:space="preserve"> </w:t>
      </w:r>
      <w:r>
        <w:t>by:</w:t>
      </w:r>
      <w:r>
        <w:rPr>
          <w:u w:val="single"/>
        </w:rPr>
        <w:t xml:space="preserve"> </w:t>
      </w:r>
      <w:r>
        <w:rPr>
          <w:u w:val="single"/>
        </w:rPr>
        <w:tab/>
      </w:r>
      <w:r>
        <w:t>Date:</w:t>
      </w:r>
      <w:r>
        <w:rPr>
          <w:u w:val="single"/>
        </w:rPr>
        <w:tab/>
      </w:r>
      <w:r>
        <w:t xml:space="preserve"> </w:t>
      </w:r>
      <w:r w:rsidR="002345C0">
        <w:t>Sanjay Ramchander</w:t>
      </w:r>
    </w:p>
    <w:p w14:paraId="26C9DBA9" w14:textId="2039750B" w:rsidR="00E75500" w:rsidRDefault="005C3ABF">
      <w:pPr>
        <w:pStyle w:val="BodyText"/>
        <w:ind w:left="1540"/>
      </w:pPr>
      <w:r>
        <w:t xml:space="preserve">Dean, McCoy College of Business </w:t>
      </w:r>
    </w:p>
    <w:sectPr w:rsidR="00E75500">
      <w:pgSz w:w="12240" w:h="15840"/>
      <w:pgMar w:top="1300" w:right="164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E872F7"/>
    <w:multiLevelType w:val="hybridMultilevel"/>
    <w:tmpl w:val="03A2DE12"/>
    <w:lvl w:ilvl="0" w:tplc="3E800604">
      <w:start w:val="1"/>
      <w:numFmt w:val="decimal"/>
      <w:lvlText w:val="%1."/>
      <w:lvlJc w:val="left"/>
      <w:pPr>
        <w:ind w:left="561" w:hanging="360"/>
        <w:jc w:val="left"/>
      </w:pPr>
      <w:rPr>
        <w:rFonts w:ascii="Times New Roman" w:eastAsia="Times New Roman" w:hAnsi="Times New Roman" w:cs="Times New Roman" w:hint="default"/>
        <w:spacing w:val="-5"/>
        <w:w w:val="97"/>
        <w:sz w:val="24"/>
        <w:szCs w:val="24"/>
        <w:lang w:val="en-US" w:eastAsia="en-US" w:bidi="en-US"/>
      </w:rPr>
    </w:lvl>
    <w:lvl w:ilvl="1" w:tplc="04048C6C">
      <w:start w:val="1"/>
      <w:numFmt w:val="decimal"/>
      <w:lvlText w:val="(%2)"/>
      <w:lvlJc w:val="left"/>
      <w:pPr>
        <w:ind w:left="1161" w:hanging="339"/>
        <w:jc w:val="left"/>
      </w:pPr>
      <w:rPr>
        <w:rFonts w:ascii="Times New Roman" w:eastAsia="Times New Roman" w:hAnsi="Times New Roman" w:cs="Times New Roman" w:hint="default"/>
        <w:spacing w:val="-2"/>
        <w:w w:val="94"/>
        <w:sz w:val="24"/>
        <w:szCs w:val="24"/>
        <w:lang w:val="en-US" w:eastAsia="en-US" w:bidi="en-US"/>
      </w:rPr>
    </w:lvl>
    <w:lvl w:ilvl="2" w:tplc="9D6E0984">
      <w:numFmt w:val="bullet"/>
      <w:lvlText w:val="•"/>
      <w:lvlJc w:val="left"/>
      <w:pPr>
        <w:ind w:left="2033" w:hanging="339"/>
      </w:pPr>
      <w:rPr>
        <w:rFonts w:hint="default"/>
        <w:lang w:val="en-US" w:eastAsia="en-US" w:bidi="en-US"/>
      </w:rPr>
    </w:lvl>
    <w:lvl w:ilvl="3" w:tplc="73CCFE2A">
      <w:numFmt w:val="bullet"/>
      <w:lvlText w:val="•"/>
      <w:lvlJc w:val="left"/>
      <w:pPr>
        <w:ind w:left="2906" w:hanging="339"/>
      </w:pPr>
      <w:rPr>
        <w:rFonts w:hint="default"/>
        <w:lang w:val="en-US" w:eastAsia="en-US" w:bidi="en-US"/>
      </w:rPr>
    </w:lvl>
    <w:lvl w:ilvl="4" w:tplc="1E3642F4">
      <w:numFmt w:val="bullet"/>
      <w:lvlText w:val="•"/>
      <w:lvlJc w:val="left"/>
      <w:pPr>
        <w:ind w:left="3780" w:hanging="339"/>
      </w:pPr>
      <w:rPr>
        <w:rFonts w:hint="default"/>
        <w:lang w:val="en-US" w:eastAsia="en-US" w:bidi="en-US"/>
      </w:rPr>
    </w:lvl>
    <w:lvl w:ilvl="5" w:tplc="F11A2212">
      <w:numFmt w:val="bullet"/>
      <w:lvlText w:val="•"/>
      <w:lvlJc w:val="left"/>
      <w:pPr>
        <w:ind w:left="4653" w:hanging="339"/>
      </w:pPr>
      <w:rPr>
        <w:rFonts w:hint="default"/>
        <w:lang w:val="en-US" w:eastAsia="en-US" w:bidi="en-US"/>
      </w:rPr>
    </w:lvl>
    <w:lvl w:ilvl="6" w:tplc="5CF6B264">
      <w:numFmt w:val="bullet"/>
      <w:lvlText w:val="•"/>
      <w:lvlJc w:val="left"/>
      <w:pPr>
        <w:ind w:left="5526" w:hanging="339"/>
      </w:pPr>
      <w:rPr>
        <w:rFonts w:hint="default"/>
        <w:lang w:val="en-US" w:eastAsia="en-US" w:bidi="en-US"/>
      </w:rPr>
    </w:lvl>
    <w:lvl w:ilvl="7" w:tplc="56567A7A">
      <w:numFmt w:val="bullet"/>
      <w:lvlText w:val="•"/>
      <w:lvlJc w:val="left"/>
      <w:pPr>
        <w:ind w:left="6400" w:hanging="339"/>
      </w:pPr>
      <w:rPr>
        <w:rFonts w:hint="default"/>
        <w:lang w:val="en-US" w:eastAsia="en-US" w:bidi="en-US"/>
      </w:rPr>
    </w:lvl>
    <w:lvl w:ilvl="8" w:tplc="2800CEBA">
      <w:numFmt w:val="bullet"/>
      <w:lvlText w:val="•"/>
      <w:lvlJc w:val="left"/>
      <w:pPr>
        <w:ind w:left="7273" w:hanging="339"/>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500"/>
    <w:rsid w:val="00012E27"/>
    <w:rsid w:val="000A4EBE"/>
    <w:rsid w:val="001C6775"/>
    <w:rsid w:val="002235CA"/>
    <w:rsid w:val="002345C0"/>
    <w:rsid w:val="005A3246"/>
    <w:rsid w:val="005C3ABF"/>
    <w:rsid w:val="005E1C7B"/>
    <w:rsid w:val="00727F30"/>
    <w:rsid w:val="00754CEA"/>
    <w:rsid w:val="007F4129"/>
    <w:rsid w:val="008859BD"/>
    <w:rsid w:val="00C20D35"/>
    <w:rsid w:val="00E75500"/>
    <w:rsid w:val="18A67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51C0A"/>
  <w15:docId w15:val="{176497B1-9871-48FC-81F0-DB7065FD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0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61" w:hanging="360"/>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235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5CA"/>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0FD82F25BC742B81CEAE6796B3761" ma:contentTypeVersion="4" ma:contentTypeDescription="Create a new document." ma:contentTypeScope="" ma:versionID="c8059040b2eddd375bca53683e141d56">
  <xsd:schema xmlns:xsd="http://www.w3.org/2001/XMLSchema" xmlns:xs="http://www.w3.org/2001/XMLSchema" xmlns:p="http://schemas.microsoft.com/office/2006/metadata/properties" xmlns:ns2="841f1b75-1fe0-4cc1-a2b0-53688f66f02a" targetNamespace="http://schemas.microsoft.com/office/2006/metadata/properties" ma:root="true" ma:fieldsID="841a5d1746d55ab39349949ee98430bb" ns2:_="">
    <xsd:import namespace="841f1b75-1fe0-4cc1-a2b0-53688f66f0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f1b75-1fe0-4cc1-a2b0-53688f66f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1410EC-55AF-4FD2-B386-B9029B8C0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f1b75-1fe0-4cc1-a2b0-53688f66f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B826D6-95F2-4CFD-9D73-9A8DA009F02D}">
  <ds:schemaRefs>
    <ds:schemaRef ds:uri="http://schemas.microsoft.com/sharepoint/v3/contenttype/forms"/>
  </ds:schemaRefs>
</ds:datastoreItem>
</file>

<file path=customXml/itemProps3.xml><?xml version="1.0" encoding="utf-8"?>
<ds:datastoreItem xmlns:ds="http://schemas.openxmlformats.org/officeDocument/2006/customXml" ds:itemID="{E021FA8A-7D23-4C7A-836B-1863784786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McCOY COLLEGE OF BUSINESS ADMINISTRATION</vt:lpstr>
    </vt:vector>
  </TitlesOfParts>
  <Company>Texas State University</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McCOY COLLEGE OF BUSINESS ADMINISTRATION</dc:title>
  <dc:creator>jm28</dc:creator>
  <cp:lastModifiedBy>Lane, Letitia L</cp:lastModifiedBy>
  <cp:revision>2</cp:revision>
  <dcterms:created xsi:type="dcterms:W3CDTF">2021-02-25T16:08:00Z</dcterms:created>
  <dcterms:modified xsi:type="dcterms:W3CDTF">2021-02-25T16:08:00Z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2016</vt:lpwstr>
  </property>
  <property fmtid="{D5CDD505-2E9C-101B-9397-08002B2CF9AE}" pid="4" name="LastSaved">
    <vt:filetime>2020-08-12T00:00:00Z</vt:filetime>
  </property>
  <property fmtid="{D5CDD505-2E9C-101B-9397-08002B2CF9AE}" pid="5" name="ContentTypeId">
    <vt:lpwstr>0x0101006630FD82F25BC742B81CEAE6796B3761</vt:lpwstr>
  </property>
</Properties>
</file>