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D4B2" w14:textId="77777777" w:rsidR="00303499" w:rsidRDefault="00392EE4" w:rsidP="002D6741">
      <w:pPr>
        <w:pStyle w:val="Heading1"/>
        <w:ind w:left="1759"/>
      </w:pPr>
      <w:r>
        <w:t>MCCOY COLLEGE OF BUSINESS ADMINISTRATION</w:t>
      </w:r>
    </w:p>
    <w:p w14:paraId="5139D59A" w14:textId="77777777" w:rsidR="002D6741" w:rsidRDefault="002D6741" w:rsidP="002D6741">
      <w:pPr>
        <w:ind w:left="100"/>
        <w:rPr>
          <w:b/>
          <w:sz w:val="24"/>
        </w:rPr>
      </w:pPr>
    </w:p>
    <w:p w14:paraId="48BF0B87" w14:textId="6E8075F3" w:rsidR="00303499" w:rsidRDefault="00392EE4" w:rsidP="002D6741">
      <w:pPr>
        <w:ind w:left="100"/>
        <w:rPr>
          <w:b/>
          <w:sz w:val="24"/>
        </w:rPr>
      </w:pPr>
      <w:r>
        <w:rPr>
          <w:b/>
          <w:sz w:val="24"/>
        </w:rPr>
        <w:t>CBAPPS 5.01</w:t>
      </w:r>
    </w:p>
    <w:p w14:paraId="642A160E" w14:textId="77777777" w:rsidR="00303499" w:rsidRDefault="00303499" w:rsidP="002D6741">
      <w:pPr>
        <w:pStyle w:val="BodyText"/>
        <w:rPr>
          <w:b/>
          <w:sz w:val="23"/>
        </w:rPr>
      </w:pPr>
    </w:p>
    <w:p w14:paraId="3D9CF306" w14:textId="77777777" w:rsidR="00303499" w:rsidRDefault="00392EE4" w:rsidP="002D6741">
      <w:pPr>
        <w:pStyle w:val="BodyText"/>
        <w:ind w:left="100"/>
      </w:pPr>
      <w:r>
        <w:t>Faculty Evaluation</w:t>
      </w:r>
    </w:p>
    <w:p w14:paraId="49240226" w14:textId="77777777" w:rsidR="00303499" w:rsidRPr="002D6741" w:rsidRDefault="00303499" w:rsidP="002D6741">
      <w:pPr>
        <w:pStyle w:val="BodyText"/>
        <w:rPr>
          <w:sz w:val="20"/>
          <w:szCs w:val="20"/>
        </w:rPr>
      </w:pPr>
    </w:p>
    <w:p w14:paraId="057344E6" w14:textId="77777777" w:rsidR="00303499" w:rsidRDefault="00392EE4" w:rsidP="002D6741">
      <w:pPr>
        <w:pStyle w:val="Heading1"/>
      </w:pPr>
      <w:r>
        <w:t>PURPOSE</w:t>
      </w:r>
    </w:p>
    <w:p w14:paraId="3226DDE8" w14:textId="77777777" w:rsidR="00303499" w:rsidRPr="002D6741" w:rsidRDefault="00303499">
      <w:pPr>
        <w:pStyle w:val="BodyText"/>
        <w:spacing w:before="11"/>
        <w:rPr>
          <w:b/>
          <w:sz w:val="20"/>
          <w:szCs w:val="20"/>
        </w:rPr>
      </w:pPr>
    </w:p>
    <w:p w14:paraId="181BE985" w14:textId="77777777" w:rsidR="00303499" w:rsidRDefault="00392EE4">
      <w:pPr>
        <w:pStyle w:val="BodyText"/>
        <w:ind w:left="100" w:right="309"/>
      </w:pPr>
      <w:r>
        <w:t xml:space="preserve">This policy statement describes the faculty evaluation process. It explains the minimum performance expected of all faculty and the criteria used for faculty evaluation. An important goal of this policy statement is to promote a collegial environment that encourages excellence and emphasizes academic professionalism. This policy should be viewed as the minimum requirements for the McCoy College; individual academic departments may </w:t>
      </w:r>
      <w:proofErr w:type="gramStart"/>
      <w:r>
        <w:t>include</w:t>
      </w:r>
      <w:proofErr w:type="gramEnd"/>
      <w:r>
        <w:t xml:space="preserve"> additional criteria for evaluating faculty.</w:t>
      </w:r>
    </w:p>
    <w:p w14:paraId="01DA5DCD" w14:textId="77777777" w:rsidR="00303499" w:rsidRDefault="00303499">
      <w:pPr>
        <w:pStyle w:val="BodyText"/>
        <w:spacing w:before="11"/>
        <w:rPr>
          <w:sz w:val="23"/>
        </w:rPr>
      </w:pPr>
    </w:p>
    <w:p w14:paraId="314D23B7" w14:textId="77777777" w:rsidR="00303499" w:rsidRDefault="00392EE4">
      <w:pPr>
        <w:pStyle w:val="Heading1"/>
      </w:pPr>
      <w:r>
        <w:t>RELATED UNIVERSITY POLICIES</w:t>
      </w:r>
    </w:p>
    <w:p w14:paraId="775FFDB2" w14:textId="77777777" w:rsidR="00303499" w:rsidRDefault="00303499">
      <w:pPr>
        <w:pStyle w:val="BodyText"/>
        <w:spacing w:before="2"/>
        <w:rPr>
          <w:b/>
        </w:rPr>
      </w:pPr>
    </w:p>
    <w:p w14:paraId="1159674F" w14:textId="2DDCFF41" w:rsidR="009E3F1A" w:rsidRDefault="007B651A" w:rsidP="009E3F1A">
      <w:pPr>
        <w:pStyle w:val="BodyText"/>
        <w:spacing w:before="2" w:line="275" w:lineRule="exact"/>
        <w:ind w:left="90"/>
      </w:pPr>
      <w:r>
        <w:t>AA/PPS 04.02.01 (</w:t>
      </w:r>
      <w:r w:rsidR="00392EE4">
        <w:t>8.01</w:t>
      </w:r>
      <w:r>
        <w:t>)</w:t>
      </w:r>
      <w:r w:rsidR="00392EE4">
        <w:t xml:space="preserve"> Development/Evaluation of Tenure-Track Faculty</w:t>
      </w:r>
    </w:p>
    <w:p w14:paraId="1ADDBB05" w14:textId="77777777" w:rsidR="009E3F1A" w:rsidRDefault="007B651A" w:rsidP="009E3F1A">
      <w:pPr>
        <w:pStyle w:val="BodyText"/>
        <w:spacing w:before="2" w:line="275" w:lineRule="exact"/>
        <w:ind w:left="90"/>
      </w:pPr>
      <w:r>
        <w:t xml:space="preserve">AA/PPS 04.02.10 (8.09) </w:t>
      </w:r>
      <w:r w:rsidR="00392EE4" w:rsidRPr="007B651A">
        <w:t>Performance Evaluation of Continuing Faculty and Post-Tenure</w:t>
      </w:r>
      <w:r w:rsidR="00392EE4" w:rsidRPr="007B651A">
        <w:rPr>
          <w:spacing w:val="-25"/>
        </w:rPr>
        <w:t xml:space="preserve"> </w:t>
      </w:r>
      <w:r w:rsidR="00392EE4" w:rsidRPr="007B651A">
        <w:t>Review</w:t>
      </w:r>
    </w:p>
    <w:p w14:paraId="06B850C1" w14:textId="68302A90" w:rsidR="009E3F1A" w:rsidRDefault="007B651A" w:rsidP="009E3F1A">
      <w:pPr>
        <w:pStyle w:val="BodyText"/>
        <w:spacing w:before="2" w:line="275" w:lineRule="exact"/>
        <w:ind w:left="90"/>
      </w:pPr>
      <w:r>
        <w:t xml:space="preserve">AA/PPS 04.02.20 (8.10) </w:t>
      </w:r>
      <w:r w:rsidR="00392EE4" w:rsidRPr="007B651A">
        <w:t>Tenure and Promotion</w:t>
      </w:r>
      <w:r w:rsidR="00392EE4" w:rsidRPr="007B651A">
        <w:rPr>
          <w:spacing w:val="-10"/>
        </w:rPr>
        <w:t xml:space="preserve"> </w:t>
      </w:r>
      <w:r w:rsidR="00392EE4" w:rsidRPr="007B651A">
        <w:t>Review</w:t>
      </w:r>
    </w:p>
    <w:p w14:paraId="4277E723" w14:textId="36E4E880" w:rsidR="00303499" w:rsidRPr="007C1645" w:rsidRDefault="007B651A" w:rsidP="009E3F1A">
      <w:pPr>
        <w:pStyle w:val="BodyText"/>
        <w:spacing w:before="2" w:line="275" w:lineRule="exact"/>
        <w:ind w:left="90"/>
      </w:pPr>
      <w:r w:rsidRPr="007B651A">
        <w:t xml:space="preserve">AA/PPS 04.02.11 (8.11) </w:t>
      </w:r>
      <w:r w:rsidR="00392EE4" w:rsidRPr="007B651A">
        <w:t>Performance Evaluation of Non-Continuing Non</w:t>
      </w:r>
      <w:r w:rsidR="005325C4">
        <w:t>-</w:t>
      </w:r>
      <w:r w:rsidR="00392EE4" w:rsidRPr="007B651A">
        <w:t>tenure Line Faculty Also see the current Faculty</w:t>
      </w:r>
      <w:r w:rsidR="00392EE4" w:rsidRPr="007C1645">
        <w:rPr>
          <w:spacing w:val="-13"/>
        </w:rPr>
        <w:t xml:space="preserve"> </w:t>
      </w:r>
      <w:r w:rsidR="00392EE4" w:rsidRPr="007C1645">
        <w:t>Handbook.</w:t>
      </w:r>
    </w:p>
    <w:p w14:paraId="0CEB110B" w14:textId="0E84797E" w:rsidR="00303499" w:rsidRDefault="00303499" w:rsidP="009E3F1A">
      <w:pPr>
        <w:pStyle w:val="BodyText"/>
        <w:spacing w:before="1"/>
        <w:ind w:left="90"/>
      </w:pPr>
    </w:p>
    <w:p w14:paraId="193DA1E0" w14:textId="475C6716" w:rsidR="00303499" w:rsidRDefault="00392EE4">
      <w:pPr>
        <w:pStyle w:val="Heading1"/>
      </w:pPr>
      <w:r>
        <w:t>MCCOY COLLEGE POLICIES</w:t>
      </w:r>
    </w:p>
    <w:p w14:paraId="6C77C60B" w14:textId="77777777" w:rsidR="00303499" w:rsidRDefault="00303499">
      <w:pPr>
        <w:pStyle w:val="BodyText"/>
        <w:spacing w:before="11"/>
        <w:rPr>
          <w:b/>
          <w:sz w:val="23"/>
        </w:rPr>
      </w:pPr>
    </w:p>
    <w:p w14:paraId="6EF407FE" w14:textId="77777777" w:rsidR="009E3F1A" w:rsidRDefault="009E3F1A" w:rsidP="009E3F1A">
      <w:pPr>
        <w:pStyle w:val="BodyText"/>
        <w:spacing w:line="237" w:lineRule="auto"/>
        <w:ind w:right="474"/>
      </w:pPr>
      <w:r>
        <w:t xml:space="preserve"> </w:t>
      </w:r>
      <w:r w:rsidR="00392EE4">
        <w:t>CBAPPS 2.06: Participating/Supporting Faculty; Vot</w:t>
      </w:r>
      <w:r>
        <w:t>ing at College Faculty Meetings</w:t>
      </w:r>
    </w:p>
    <w:p w14:paraId="3B5B9FF4" w14:textId="22E38C1E" w:rsidR="00303499" w:rsidRDefault="009E3F1A" w:rsidP="009E3F1A">
      <w:pPr>
        <w:pStyle w:val="BodyText"/>
        <w:spacing w:line="237" w:lineRule="auto"/>
        <w:ind w:right="474"/>
      </w:pPr>
      <w:r>
        <w:t xml:space="preserve"> </w:t>
      </w:r>
      <w:r w:rsidR="00392EE4">
        <w:t xml:space="preserve">CBAPPS 5.06: Workload </w:t>
      </w:r>
      <w:r w:rsidR="007C1645">
        <w:t>P</w:t>
      </w:r>
      <w:r w:rsidR="00392EE4">
        <w:t>olicy</w:t>
      </w:r>
    </w:p>
    <w:p w14:paraId="45143845" w14:textId="2D62928C" w:rsidR="00303499" w:rsidRDefault="009E3F1A" w:rsidP="009E3F1A">
      <w:pPr>
        <w:pStyle w:val="BodyText"/>
        <w:spacing w:before="2"/>
      </w:pPr>
      <w:r>
        <w:t xml:space="preserve"> </w:t>
      </w:r>
      <w:r w:rsidR="00392EE4">
        <w:t xml:space="preserve">CBAPPS 5.07: Criteria for </w:t>
      </w:r>
      <w:r w:rsidR="007C1645">
        <w:t>F</w:t>
      </w:r>
      <w:r w:rsidR="00392EE4">
        <w:t xml:space="preserve">aculty </w:t>
      </w:r>
      <w:r w:rsidR="007C1645">
        <w:t>Q</w:t>
      </w:r>
      <w:r w:rsidR="00392EE4">
        <w:t>ualifications</w:t>
      </w:r>
    </w:p>
    <w:p w14:paraId="53731240" w14:textId="77777777" w:rsidR="00303499" w:rsidRDefault="00303499">
      <w:pPr>
        <w:pStyle w:val="BodyText"/>
        <w:spacing w:before="1"/>
        <w:rPr>
          <w:sz w:val="22"/>
        </w:rPr>
      </w:pPr>
    </w:p>
    <w:p w14:paraId="00900668" w14:textId="77777777" w:rsidR="00303499" w:rsidRDefault="00392EE4" w:rsidP="009E3F1A">
      <w:pPr>
        <w:pStyle w:val="Heading1"/>
        <w:numPr>
          <w:ilvl w:val="0"/>
          <w:numId w:val="5"/>
        </w:numPr>
        <w:ind w:left="450"/>
      </w:pPr>
      <w:r>
        <w:t>FACULTY EXPECTATIONS</w:t>
      </w:r>
    </w:p>
    <w:p w14:paraId="30527F80" w14:textId="77777777" w:rsidR="00303499" w:rsidRDefault="00303499">
      <w:pPr>
        <w:pStyle w:val="BodyText"/>
        <w:spacing w:before="2"/>
        <w:rPr>
          <w:b/>
        </w:rPr>
      </w:pPr>
    </w:p>
    <w:p w14:paraId="04DED262" w14:textId="02FAA985" w:rsidR="00303499" w:rsidRDefault="00392EE4" w:rsidP="000E78FE">
      <w:pPr>
        <w:pStyle w:val="BodyText"/>
        <w:numPr>
          <w:ilvl w:val="0"/>
          <w:numId w:val="6"/>
        </w:numPr>
        <w:spacing w:before="76" w:line="237" w:lineRule="auto"/>
        <w:ind w:right="110"/>
      </w:pPr>
      <w:r>
        <w:t>Faculty in the McCoy College at Texas State University will carry out their responsibilities with integrity, professionalism, and a spirit of collegiality. Faculty are expected to contribute to the</w:t>
      </w:r>
      <w:r w:rsidR="002D6741">
        <w:t xml:space="preserve"> g</w:t>
      </w:r>
      <w:r>
        <w:t xml:space="preserve">oals of the College through teaching, scholarly activity, and service. Performance evaluation in these areas is the primary basis for decisions concerning salary, promotion, tenure, and other </w:t>
      </w:r>
      <w:r w:rsidR="00781CBD">
        <w:t>awards</w:t>
      </w:r>
      <w:r>
        <w:t>. This performance evaluation is based on faculty activities that are documented annually as described in CBAPPS 5.06, “Workload Policy.”</w:t>
      </w:r>
    </w:p>
    <w:p w14:paraId="7339B252" w14:textId="77777777" w:rsidR="00303499" w:rsidRDefault="00303499">
      <w:pPr>
        <w:pStyle w:val="BodyText"/>
        <w:spacing w:before="10"/>
        <w:rPr>
          <w:sz w:val="23"/>
        </w:rPr>
      </w:pPr>
    </w:p>
    <w:p w14:paraId="077AE0E3" w14:textId="3C3800F8" w:rsidR="00303499" w:rsidRDefault="00392EE4" w:rsidP="009E3F1A">
      <w:pPr>
        <w:pStyle w:val="BodyText"/>
        <w:numPr>
          <w:ilvl w:val="0"/>
          <w:numId w:val="6"/>
        </w:numPr>
        <w:spacing w:before="1"/>
        <w:ind w:right="157"/>
      </w:pPr>
      <w:r>
        <w:t xml:space="preserve">Faculty must sustain currency and relevance, and will be categorized as a(n) “Scholarly Academic,” “Practice Academic,” “Scholarly Practitioner,” or “Instructional Practitioner” as described in CBAPPS 5.07, “Criteria for Faculty Qualifications.” All tenured faculty must maintain “Scholarly Academic” or “Practice Academic” status. Failure to maintain currency and relevance affects the faculty workload plan as described in CBAPPS 5.06, “Workload Policy” and </w:t>
      </w:r>
      <w:r w:rsidR="00781CBD">
        <w:t xml:space="preserve">the faculty member </w:t>
      </w:r>
      <w:r>
        <w:t>will be categorized as “other.”</w:t>
      </w:r>
    </w:p>
    <w:p w14:paraId="23DF2B30" w14:textId="77777777" w:rsidR="00303499" w:rsidRDefault="00392EE4" w:rsidP="009E3F1A">
      <w:pPr>
        <w:pStyle w:val="Heading1"/>
        <w:numPr>
          <w:ilvl w:val="0"/>
          <w:numId w:val="5"/>
        </w:numPr>
        <w:ind w:left="450"/>
      </w:pPr>
      <w:r>
        <w:lastRenderedPageBreak/>
        <w:t>EVALUATION PROCESS</w:t>
      </w:r>
    </w:p>
    <w:p w14:paraId="43888BDB" w14:textId="77777777" w:rsidR="00303499" w:rsidRDefault="00303499">
      <w:pPr>
        <w:pStyle w:val="BodyText"/>
        <w:spacing w:before="11"/>
        <w:rPr>
          <w:b/>
          <w:sz w:val="23"/>
        </w:rPr>
      </w:pPr>
    </w:p>
    <w:p w14:paraId="686A2BF8" w14:textId="008B259F" w:rsidR="00303499" w:rsidRDefault="00392EE4" w:rsidP="009E3F1A">
      <w:pPr>
        <w:pStyle w:val="BodyText"/>
        <w:numPr>
          <w:ilvl w:val="0"/>
          <w:numId w:val="9"/>
        </w:numPr>
        <w:ind w:right="115"/>
      </w:pPr>
      <w:r>
        <w:t xml:space="preserve">Faculty members will submit annually an Activity Plan and Activity Report as described in CBAPPS 5.06, “Workload Policy,” and a current vita detailing activities in the areas of teaching, scholarly activity, and service/professional activities. The department </w:t>
      </w:r>
      <w:r w:rsidR="00781CBD">
        <w:t>c</w:t>
      </w:r>
      <w:r>
        <w:t xml:space="preserve">hair and the department Personnel Committee will evaluate the performance-related materials for each faculty member. When evaluating an individual’s performance, the </w:t>
      </w:r>
      <w:r w:rsidR="00781CBD">
        <w:t>department c</w:t>
      </w:r>
      <w:r>
        <w:t xml:space="preserve">hair will rely on information provided by the faculty member in his/her Activity Report and any other documentation (such as peer reviews of teaching) available. The </w:t>
      </w:r>
      <w:r w:rsidR="00781CBD">
        <w:t>department c</w:t>
      </w:r>
      <w:r>
        <w:t xml:space="preserve">hair’s evaluation will be independent of any evaluation by the Personnel Committee. The results of the </w:t>
      </w:r>
      <w:r w:rsidR="00781CBD">
        <w:t>c</w:t>
      </w:r>
      <w:r>
        <w:t>hair's evaluation of each faculty member will be documented in the department.</w:t>
      </w:r>
    </w:p>
    <w:p w14:paraId="4C25BA03" w14:textId="77777777" w:rsidR="00303499" w:rsidRDefault="00303499">
      <w:pPr>
        <w:pStyle w:val="BodyText"/>
        <w:spacing w:before="11"/>
        <w:rPr>
          <w:sz w:val="23"/>
        </w:rPr>
      </w:pPr>
    </w:p>
    <w:p w14:paraId="5E5DD4AA" w14:textId="1556C865" w:rsidR="00303499" w:rsidRDefault="00392EE4" w:rsidP="009E3F1A">
      <w:pPr>
        <w:pStyle w:val="BodyText"/>
        <w:numPr>
          <w:ilvl w:val="0"/>
          <w:numId w:val="9"/>
        </w:numPr>
        <w:ind w:right="148"/>
      </w:pPr>
      <w:r>
        <w:t xml:space="preserve">Members of a department’s Personnel Committee, individually or collectively, shall be provided the opportunity to evaluate their departmental colleagues. </w:t>
      </w:r>
      <w:r w:rsidR="00323138">
        <w:t>The</w:t>
      </w:r>
      <w:r w:rsidR="001F422B">
        <w:t xml:space="preserve"> </w:t>
      </w:r>
      <w:r>
        <w:t xml:space="preserve">Personnel Committee may choose to elect a subcommittee </w:t>
      </w:r>
      <w:r w:rsidR="00781CBD">
        <w:t xml:space="preserve">or individual </w:t>
      </w:r>
      <w:r w:rsidR="00086A2B">
        <w:t xml:space="preserve">from the Personnel Committee </w:t>
      </w:r>
      <w:r>
        <w:t>to conduct this evaluation. Specific procedures for Personnel Committee p</w:t>
      </w:r>
      <w:bookmarkStart w:id="0" w:name="_GoBack"/>
      <w:bookmarkEnd w:id="0"/>
      <w:r>
        <w:t xml:space="preserve">articipation in performance and merit evaluation will be developed by each academic department. Based on a review of Personnel Committee recommendations, </w:t>
      </w:r>
      <w:r w:rsidR="00781CBD">
        <w:t xml:space="preserve">department chairs </w:t>
      </w:r>
      <w:r>
        <w:t xml:space="preserve">may make adjustments to a faculty member’s evaluation, as </w:t>
      </w:r>
      <w:r w:rsidR="00781CBD">
        <w:t xml:space="preserve">the department chair </w:t>
      </w:r>
      <w:r>
        <w:t xml:space="preserve">deems appropriate. Department </w:t>
      </w:r>
      <w:r w:rsidR="00781CBD">
        <w:t>c</w:t>
      </w:r>
      <w:r>
        <w:t xml:space="preserve">hairs will make available to the </w:t>
      </w:r>
      <w:r w:rsidR="00781CBD">
        <w:t>d</w:t>
      </w:r>
      <w:r>
        <w:t>ean any written evaluations submitted by the Personnel Committee.</w:t>
      </w:r>
    </w:p>
    <w:p w14:paraId="50B453DA" w14:textId="77777777" w:rsidR="00303499" w:rsidRDefault="00303499">
      <w:pPr>
        <w:pStyle w:val="BodyText"/>
        <w:spacing w:before="11"/>
        <w:rPr>
          <w:sz w:val="23"/>
        </w:rPr>
      </w:pPr>
    </w:p>
    <w:p w14:paraId="3101A0B9" w14:textId="59A4D617" w:rsidR="00303499" w:rsidRDefault="00392EE4" w:rsidP="009E3F1A">
      <w:pPr>
        <w:pStyle w:val="BodyText"/>
        <w:numPr>
          <w:ilvl w:val="0"/>
          <w:numId w:val="9"/>
        </w:numPr>
        <w:ind w:right="129"/>
      </w:pPr>
      <w:r>
        <w:t xml:space="preserve">Faculty will be evaluated in three categories: teaching, scholarship and service/professional activities. Evaluations will be discussed </w:t>
      </w:r>
      <w:r w:rsidR="00781CBD">
        <w:t xml:space="preserve">by </w:t>
      </w:r>
      <w:r>
        <w:t>the chair and the individual faculty members as part of the feedback process.</w:t>
      </w:r>
    </w:p>
    <w:p w14:paraId="267F9A79" w14:textId="77777777" w:rsidR="00303499" w:rsidRDefault="00303499">
      <w:pPr>
        <w:pStyle w:val="BodyText"/>
        <w:spacing w:before="11"/>
        <w:rPr>
          <w:sz w:val="23"/>
        </w:rPr>
      </w:pPr>
    </w:p>
    <w:p w14:paraId="66EF8A94" w14:textId="67EFE351" w:rsidR="003450A6" w:rsidRDefault="00781CBD" w:rsidP="009E3F1A">
      <w:pPr>
        <w:pStyle w:val="BodyText"/>
        <w:numPr>
          <w:ilvl w:val="0"/>
          <w:numId w:val="9"/>
        </w:numPr>
        <w:ind w:right="116"/>
      </w:pPr>
      <w:r>
        <w:t>For tenured faculty t</w:t>
      </w:r>
      <w:r w:rsidR="003450A6">
        <w:t xml:space="preserve">he weights </w:t>
      </w:r>
      <w:r w:rsidR="001D2FD9">
        <w:t>typically</w:t>
      </w:r>
      <w:r w:rsidR="003450A6">
        <w:t xml:space="preserve"> assigned to</w:t>
      </w:r>
      <w:r w:rsidR="003450A6">
        <w:rPr>
          <w:spacing w:val="-35"/>
        </w:rPr>
        <w:t xml:space="preserve"> </w:t>
      </w:r>
      <w:r w:rsidR="003450A6">
        <w:t>each evaluation category are 40% teaching, 40% scholarship and 20% service/professional</w:t>
      </w:r>
      <w:r w:rsidR="003450A6">
        <w:rPr>
          <w:spacing w:val="-17"/>
        </w:rPr>
        <w:t xml:space="preserve"> </w:t>
      </w:r>
      <w:r w:rsidR="003450A6">
        <w:t>activities.</w:t>
      </w:r>
    </w:p>
    <w:p w14:paraId="4E18CBBC" w14:textId="77777777" w:rsidR="003450A6" w:rsidRDefault="003450A6">
      <w:pPr>
        <w:pStyle w:val="BodyText"/>
        <w:ind w:left="100" w:right="116"/>
      </w:pPr>
    </w:p>
    <w:p w14:paraId="0855CF74" w14:textId="44AC313B" w:rsidR="00303499" w:rsidRDefault="00392EE4" w:rsidP="009E3F1A">
      <w:pPr>
        <w:pStyle w:val="BodyText"/>
        <w:numPr>
          <w:ilvl w:val="0"/>
          <w:numId w:val="9"/>
        </w:numPr>
        <w:ind w:right="116"/>
      </w:pPr>
      <w:r>
        <w:t>For tenure-track faculty, the assigned weights to each evaluation category are</w:t>
      </w:r>
      <w:r w:rsidR="003450A6">
        <w:t xml:space="preserve"> typically</w:t>
      </w:r>
      <w:r>
        <w:t xml:space="preserve"> 40% teaching, 50% scholarship, and 10% service/professional activities. </w:t>
      </w:r>
    </w:p>
    <w:p w14:paraId="247E5E07" w14:textId="1EE9ED84" w:rsidR="003450A6" w:rsidRDefault="003450A6">
      <w:pPr>
        <w:pStyle w:val="BodyText"/>
        <w:ind w:left="100" w:right="116"/>
      </w:pPr>
    </w:p>
    <w:p w14:paraId="5F045128" w14:textId="36B58434" w:rsidR="00303499" w:rsidRDefault="009D40CF" w:rsidP="009E3F1A">
      <w:pPr>
        <w:pStyle w:val="BodyText"/>
        <w:numPr>
          <w:ilvl w:val="0"/>
          <w:numId w:val="9"/>
        </w:numPr>
        <w:spacing w:before="11"/>
        <w:rPr>
          <w:sz w:val="23"/>
        </w:rPr>
      </w:pPr>
      <w:r>
        <w:t xml:space="preserve">For clinical </w:t>
      </w:r>
      <w:r w:rsidR="00781CBD">
        <w:t>faculty</w:t>
      </w:r>
      <w:r>
        <w:t>, the assigned weights to each evaluation category are typically 40% teaching, 40% scholarship, and 20% service/professional activities.</w:t>
      </w:r>
    </w:p>
    <w:p w14:paraId="203DC253" w14:textId="753E0C80" w:rsidR="009D40CF" w:rsidRDefault="009D40CF" w:rsidP="009E3F1A">
      <w:pPr>
        <w:pStyle w:val="BodyText"/>
        <w:numPr>
          <w:ilvl w:val="0"/>
          <w:numId w:val="9"/>
        </w:numPr>
        <w:spacing w:before="11"/>
        <w:rPr>
          <w:sz w:val="23"/>
        </w:rPr>
      </w:pPr>
      <w:proofErr w:type="gramStart"/>
      <w:r>
        <w:t xml:space="preserve">For </w:t>
      </w:r>
      <w:r w:rsidR="00E54692">
        <w:t xml:space="preserve"> faculty</w:t>
      </w:r>
      <w:proofErr w:type="gramEnd"/>
      <w:r>
        <w:t xml:space="preserve"> of practice, the assigned weights to each evaluation category are typically 60% teaching, 20% scholarship, and 20% service/professional activities.</w:t>
      </w:r>
    </w:p>
    <w:p w14:paraId="36D3410A" w14:textId="54C2C013" w:rsidR="009D40CF" w:rsidRDefault="009D40CF">
      <w:pPr>
        <w:pStyle w:val="BodyText"/>
        <w:spacing w:before="11"/>
        <w:rPr>
          <w:sz w:val="23"/>
        </w:rPr>
      </w:pPr>
    </w:p>
    <w:p w14:paraId="4E4F7570" w14:textId="68662BCF" w:rsidR="009D40CF" w:rsidRDefault="009D40CF" w:rsidP="009E3F1A">
      <w:pPr>
        <w:pStyle w:val="BodyText"/>
        <w:numPr>
          <w:ilvl w:val="0"/>
          <w:numId w:val="9"/>
        </w:numPr>
        <w:spacing w:before="11"/>
        <w:rPr>
          <w:sz w:val="23"/>
        </w:rPr>
      </w:pPr>
      <w:r>
        <w:t>For lecture</w:t>
      </w:r>
      <w:r w:rsidR="001709E2">
        <w:t>r</w:t>
      </w:r>
      <w:r>
        <w:t>s and senior lecturers</w:t>
      </w:r>
      <w:r w:rsidR="00781CBD">
        <w:t>,</w:t>
      </w:r>
      <w:r>
        <w:t xml:space="preserve"> the assigned weights to each evaluation category are typically 80% teaching, 0% scholarship, and 20% service/professional activities.</w:t>
      </w:r>
    </w:p>
    <w:p w14:paraId="60B4309C" w14:textId="5E493088" w:rsidR="009D40CF" w:rsidRDefault="009D40CF" w:rsidP="009E3F1A">
      <w:pPr>
        <w:pStyle w:val="BodyText"/>
        <w:numPr>
          <w:ilvl w:val="0"/>
          <w:numId w:val="9"/>
        </w:numPr>
        <w:spacing w:before="11"/>
        <w:rPr>
          <w:sz w:val="23"/>
        </w:rPr>
      </w:pPr>
      <w:r>
        <w:t>For per course faculty, the assigned weights to each evaluation category are typically 100% teaching, 0% scholarship, and 0% service/professional activities.</w:t>
      </w:r>
    </w:p>
    <w:p w14:paraId="6498C54F" w14:textId="77777777" w:rsidR="009D40CF" w:rsidRDefault="009D40CF">
      <w:pPr>
        <w:pStyle w:val="BodyText"/>
        <w:spacing w:before="11"/>
        <w:rPr>
          <w:sz w:val="23"/>
        </w:rPr>
      </w:pPr>
    </w:p>
    <w:p w14:paraId="7598AAC9" w14:textId="09E193F0" w:rsidR="009D40CF" w:rsidRDefault="009D40CF" w:rsidP="009E3F1A">
      <w:pPr>
        <w:pStyle w:val="BodyText"/>
        <w:numPr>
          <w:ilvl w:val="0"/>
          <w:numId w:val="9"/>
        </w:numPr>
        <w:spacing w:before="1"/>
        <w:ind w:right="273"/>
      </w:pPr>
      <w:r>
        <w:t xml:space="preserve">The opportunity to set </w:t>
      </w:r>
      <w:r w:rsidR="00781CBD">
        <w:t xml:space="preserve">or reset </w:t>
      </w:r>
      <w:r>
        <w:t xml:space="preserve">weights will be given to each participating faculty member during the evaluation process; however, weights must sum to 100 percent and fall between the </w:t>
      </w:r>
      <w:r w:rsidR="001709E2">
        <w:t xml:space="preserve">following </w:t>
      </w:r>
      <w:r>
        <w:t xml:space="preserve">defined parameters. </w:t>
      </w:r>
      <w:r w:rsidDel="009D40CF">
        <w:t xml:space="preserve"> </w:t>
      </w:r>
      <w:r w:rsidR="00392EE4">
        <w:t xml:space="preserve">(See CBAPPS 2.06, </w:t>
      </w:r>
      <w:r w:rsidR="00392EE4">
        <w:lastRenderedPageBreak/>
        <w:t>“Participating/Supporting Faculty; Voting at</w:t>
      </w:r>
      <w:r w:rsidR="00392EE4">
        <w:rPr>
          <w:spacing w:val="-34"/>
        </w:rPr>
        <w:t xml:space="preserve"> </w:t>
      </w:r>
      <w:r w:rsidR="00392EE4">
        <w:t>College Faculty Meetings” for the description of “participating”</w:t>
      </w:r>
      <w:r w:rsidR="007C1645">
        <w:t xml:space="preserve"> and “supporting”</w:t>
      </w:r>
      <w:r w:rsidR="00392EE4">
        <w:t xml:space="preserve"> faculty.) </w:t>
      </w:r>
    </w:p>
    <w:p w14:paraId="3F0FAC98" w14:textId="77777777" w:rsidR="009D40CF" w:rsidRPr="002D6741" w:rsidRDefault="009D40CF">
      <w:pPr>
        <w:pStyle w:val="BodyText"/>
        <w:ind w:left="100" w:right="126"/>
        <w:rPr>
          <w:sz w:val="22"/>
          <w:szCs w:val="22"/>
        </w:rPr>
      </w:pPr>
    </w:p>
    <w:p w14:paraId="082C3EA4" w14:textId="5664FD15" w:rsidR="003450A6" w:rsidRDefault="00392EE4" w:rsidP="002D6741">
      <w:pPr>
        <w:pStyle w:val="BodyText"/>
        <w:numPr>
          <w:ilvl w:val="0"/>
          <w:numId w:val="9"/>
        </w:numPr>
        <w:ind w:right="126"/>
        <w:rPr>
          <w:spacing w:val="-30"/>
        </w:rPr>
      </w:pPr>
      <w:r>
        <w:t xml:space="preserve">Tenured faculty </w:t>
      </w:r>
      <w:r w:rsidR="009D40CF">
        <w:t>request</w:t>
      </w:r>
      <w:r w:rsidR="008F173C">
        <w:t>ing</w:t>
      </w:r>
      <w:r w:rsidR="009D40CF">
        <w:t xml:space="preserve"> a weighting adjustment </w:t>
      </w:r>
      <w:r w:rsidR="001D2FD9">
        <w:t>may propose</w:t>
      </w:r>
      <w:r>
        <w:t xml:space="preserve"> different weights within the guidelines presented below.</w:t>
      </w:r>
      <w:r>
        <w:rPr>
          <w:spacing w:val="-30"/>
        </w:rPr>
        <w:t xml:space="preserve"> </w:t>
      </w:r>
    </w:p>
    <w:p w14:paraId="3C1EE511" w14:textId="77777777" w:rsidR="00303499" w:rsidRPr="002D6741" w:rsidRDefault="00303499" w:rsidP="002D6741">
      <w:pPr>
        <w:pStyle w:val="BodyText"/>
        <w:rPr>
          <w:sz w:val="22"/>
          <w:szCs w:val="22"/>
        </w:rPr>
      </w:pPr>
    </w:p>
    <w:p w14:paraId="08468603" w14:textId="77777777" w:rsidR="00303499" w:rsidRDefault="00392EE4" w:rsidP="002D6741">
      <w:pPr>
        <w:pStyle w:val="BodyText"/>
        <w:ind w:left="820"/>
      </w:pPr>
      <w:r>
        <w:t>Tenured faculty:</w:t>
      </w:r>
    </w:p>
    <w:p w14:paraId="148FC37C" w14:textId="77777777" w:rsidR="00303499" w:rsidRDefault="00392EE4" w:rsidP="002D6741">
      <w:pPr>
        <w:pStyle w:val="ListParagraph"/>
        <w:numPr>
          <w:ilvl w:val="0"/>
          <w:numId w:val="3"/>
        </w:numPr>
        <w:tabs>
          <w:tab w:val="left" w:pos="1549"/>
          <w:tab w:val="left" w:pos="1550"/>
        </w:tabs>
        <w:rPr>
          <w:sz w:val="24"/>
        </w:rPr>
      </w:pPr>
      <w:r>
        <w:rPr>
          <w:sz w:val="24"/>
        </w:rPr>
        <w:t>30-50%</w:t>
      </w:r>
      <w:r>
        <w:rPr>
          <w:spacing w:val="-5"/>
          <w:sz w:val="24"/>
        </w:rPr>
        <w:t xml:space="preserve"> </w:t>
      </w:r>
      <w:r>
        <w:rPr>
          <w:sz w:val="24"/>
        </w:rPr>
        <w:t>Teaching;</w:t>
      </w:r>
    </w:p>
    <w:p w14:paraId="6A4B2DD5" w14:textId="77777777" w:rsidR="00303499" w:rsidRDefault="00392EE4" w:rsidP="002D6741">
      <w:pPr>
        <w:pStyle w:val="ListParagraph"/>
        <w:numPr>
          <w:ilvl w:val="0"/>
          <w:numId w:val="3"/>
        </w:numPr>
        <w:tabs>
          <w:tab w:val="left" w:pos="1549"/>
          <w:tab w:val="left" w:pos="1550"/>
        </w:tabs>
        <w:rPr>
          <w:sz w:val="24"/>
        </w:rPr>
      </w:pPr>
      <w:r>
        <w:rPr>
          <w:sz w:val="24"/>
        </w:rPr>
        <w:t>30-50% Scholarship;</w:t>
      </w:r>
      <w:r>
        <w:rPr>
          <w:spacing w:val="-6"/>
          <w:sz w:val="24"/>
        </w:rPr>
        <w:t xml:space="preserve"> </w:t>
      </w:r>
      <w:r>
        <w:rPr>
          <w:sz w:val="24"/>
        </w:rPr>
        <w:t>and,</w:t>
      </w:r>
    </w:p>
    <w:p w14:paraId="3641E08B" w14:textId="56A397D1" w:rsidR="00B149E9" w:rsidRPr="009E3F1A" w:rsidRDefault="00392EE4" w:rsidP="002D6741">
      <w:pPr>
        <w:pStyle w:val="ListParagraph"/>
        <w:numPr>
          <w:ilvl w:val="0"/>
          <w:numId w:val="3"/>
        </w:numPr>
        <w:tabs>
          <w:tab w:val="left" w:pos="1549"/>
          <w:tab w:val="left" w:pos="1550"/>
        </w:tabs>
        <w:rPr>
          <w:sz w:val="24"/>
        </w:rPr>
      </w:pPr>
      <w:r>
        <w:rPr>
          <w:sz w:val="24"/>
        </w:rPr>
        <w:t>10-</w:t>
      </w:r>
      <w:r w:rsidR="007C1645">
        <w:rPr>
          <w:sz w:val="24"/>
        </w:rPr>
        <w:t>3</w:t>
      </w:r>
      <w:r>
        <w:rPr>
          <w:sz w:val="24"/>
        </w:rPr>
        <w:t>0% Service/Professional</w:t>
      </w:r>
      <w:r>
        <w:rPr>
          <w:spacing w:val="-16"/>
          <w:sz w:val="24"/>
        </w:rPr>
        <w:t xml:space="preserve"> </w:t>
      </w:r>
      <w:r>
        <w:rPr>
          <w:sz w:val="24"/>
        </w:rPr>
        <w:t>Activities.</w:t>
      </w:r>
    </w:p>
    <w:p w14:paraId="6F91DA8B" w14:textId="30D2DA4F" w:rsidR="009D40CF" w:rsidRDefault="004E00F6" w:rsidP="002D6741">
      <w:pPr>
        <w:pStyle w:val="BodyText"/>
        <w:ind w:left="720" w:right="210"/>
      </w:pPr>
      <w:r>
        <w:t>Clinical faculty:</w:t>
      </w:r>
    </w:p>
    <w:p w14:paraId="2108CEFC" w14:textId="651C0810" w:rsidR="004E00F6" w:rsidRDefault="004E00F6" w:rsidP="002D6741">
      <w:pPr>
        <w:pStyle w:val="ListParagraph"/>
        <w:numPr>
          <w:ilvl w:val="0"/>
          <w:numId w:val="3"/>
        </w:numPr>
        <w:tabs>
          <w:tab w:val="left" w:pos="1549"/>
          <w:tab w:val="left" w:pos="1550"/>
        </w:tabs>
        <w:rPr>
          <w:sz w:val="24"/>
        </w:rPr>
      </w:pPr>
      <w:r>
        <w:rPr>
          <w:sz w:val="24"/>
        </w:rPr>
        <w:t>40-60%</w:t>
      </w:r>
      <w:r>
        <w:rPr>
          <w:spacing w:val="-5"/>
          <w:sz w:val="24"/>
        </w:rPr>
        <w:t xml:space="preserve"> </w:t>
      </w:r>
      <w:r>
        <w:rPr>
          <w:sz w:val="24"/>
        </w:rPr>
        <w:t>Teaching;</w:t>
      </w:r>
    </w:p>
    <w:p w14:paraId="218B6916" w14:textId="604F36B1" w:rsidR="004E00F6" w:rsidRDefault="004E00F6" w:rsidP="002D6741">
      <w:pPr>
        <w:pStyle w:val="ListParagraph"/>
        <w:numPr>
          <w:ilvl w:val="0"/>
          <w:numId w:val="3"/>
        </w:numPr>
        <w:tabs>
          <w:tab w:val="left" w:pos="1549"/>
          <w:tab w:val="left" w:pos="1550"/>
        </w:tabs>
      </w:pPr>
      <w:r>
        <w:rPr>
          <w:sz w:val="24"/>
        </w:rPr>
        <w:t>20-40% Scholarship;</w:t>
      </w:r>
      <w:r>
        <w:rPr>
          <w:spacing w:val="-6"/>
          <w:sz w:val="24"/>
        </w:rPr>
        <w:t xml:space="preserve"> </w:t>
      </w:r>
      <w:r>
        <w:rPr>
          <w:sz w:val="24"/>
        </w:rPr>
        <w:t>and,</w:t>
      </w:r>
    </w:p>
    <w:p w14:paraId="2A9605AC" w14:textId="5D7D7D78" w:rsidR="004E00F6" w:rsidRPr="00B149E9" w:rsidRDefault="004E00F6" w:rsidP="002D6741">
      <w:pPr>
        <w:pStyle w:val="ListParagraph"/>
        <w:numPr>
          <w:ilvl w:val="0"/>
          <w:numId w:val="3"/>
        </w:numPr>
        <w:tabs>
          <w:tab w:val="left" w:pos="1549"/>
          <w:tab w:val="left" w:pos="1550"/>
        </w:tabs>
      </w:pPr>
      <w:r>
        <w:rPr>
          <w:sz w:val="24"/>
        </w:rPr>
        <w:t>20-40% Service/Professional</w:t>
      </w:r>
      <w:r w:rsidRPr="009E3F1A">
        <w:rPr>
          <w:spacing w:val="-16"/>
          <w:sz w:val="24"/>
        </w:rPr>
        <w:t xml:space="preserve"> </w:t>
      </w:r>
      <w:r>
        <w:rPr>
          <w:sz w:val="24"/>
        </w:rPr>
        <w:t>Activities</w:t>
      </w:r>
    </w:p>
    <w:p w14:paraId="0B1C7A65" w14:textId="77777777" w:rsidR="004E00F6" w:rsidRPr="002D6741" w:rsidRDefault="004E00F6" w:rsidP="002D6741">
      <w:pPr>
        <w:pStyle w:val="BodyText"/>
        <w:ind w:right="210"/>
        <w:rPr>
          <w:sz w:val="22"/>
          <w:szCs w:val="22"/>
        </w:rPr>
      </w:pPr>
    </w:p>
    <w:p w14:paraId="3F7BC2C4" w14:textId="77777777" w:rsidR="009D40CF" w:rsidRDefault="009D40CF" w:rsidP="002D6741">
      <w:pPr>
        <w:pStyle w:val="BodyText"/>
        <w:numPr>
          <w:ilvl w:val="0"/>
          <w:numId w:val="9"/>
        </w:numPr>
        <w:ind w:right="126"/>
      </w:pPr>
      <w:r>
        <w:t xml:space="preserve">Tenure-track faculty members may not request different weights for the evaluation categories. </w:t>
      </w:r>
    </w:p>
    <w:p w14:paraId="5C9B2EAF" w14:textId="77777777" w:rsidR="009D40CF" w:rsidRDefault="009D40CF" w:rsidP="002D6741">
      <w:pPr>
        <w:pStyle w:val="BodyText"/>
        <w:ind w:left="720" w:right="126"/>
      </w:pPr>
    </w:p>
    <w:p w14:paraId="4D4930CE" w14:textId="5AC6EE39" w:rsidR="009D40CF" w:rsidRDefault="00BD0182" w:rsidP="002D6741">
      <w:pPr>
        <w:pStyle w:val="BodyText"/>
        <w:numPr>
          <w:ilvl w:val="0"/>
          <w:numId w:val="9"/>
        </w:numPr>
        <w:ind w:right="126"/>
      </w:pPr>
      <w:r>
        <w:t>Participating n</w:t>
      </w:r>
      <w:r w:rsidR="009D40CF">
        <w:t xml:space="preserve">on-tenure </w:t>
      </w:r>
      <w:proofErr w:type="gramStart"/>
      <w:r w:rsidR="008F173C">
        <w:t xml:space="preserve">line </w:t>
      </w:r>
      <w:r w:rsidR="009D40CF">
        <w:t xml:space="preserve"> faculty</w:t>
      </w:r>
      <w:proofErr w:type="gramEnd"/>
      <w:r w:rsidR="009D40CF">
        <w:t xml:space="preserve"> </w:t>
      </w:r>
      <w:r w:rsidR="008F173C">
        <w:t xml:space="preserve"> may</w:t>
      </w:r>
      <w:r w:rsidR="009D40CF">
        <w:t xml:space="preserve"> propose weights from the percentage ranges below. The faculty member and the </w:t>
      </w:r>
      <w:r w:rsidR="00781CBD">
        <w:t>department c</w:t>
      </w:r>
      <w:r w:rsidR="009D40CF">
        <w:t xml:space="preserve">hair will discuss the proposed weights and will reach agreement about the appropriate weights. If the faculty member and </w:t>
      </w:r>
      <w:r w:rsidR="00781CBD">
        <w:t>department c</w:t>
      </w:r>
      <w:r w:rsidR="009D40CF">
        <w:t>hair cannot agree, the Personnel Committee shall decide.</w:t>
      </w:r>
    </w:p>
    <w:p w14:paraId="52D86622" w14:textId="52D2FA92" w:rsidR="009D40CF" w:rsidRDefault="009D40CF">
      <w:pPr>
        <w:pStyle w:val="BodyText"/>
        <w:spacing w:before="10"/>
        <w:rPr>
          <w:sz w:val="23"/>
        </w:rPr>
      </w:pPr>
    </w:p>
    <w:p w14:paraId="53A75FF2" w14:textId="1CADF1DA" w:rsidR="00303499" w:rsidRDefault="004E00F6">
      <w:pPr>
        <w:pStyle w:val="BodyText"/>
        <w:ind w:left="820"/>
      </w:pPr>
      <w:r>
        <w:t>Participating non-tenure line faculty (with the exception of clinical faculty)</w:t>
      </w:r>
      <w:proofErr w:type="gramStart"/>
      <w:r>
        <w:t>:</w:t>
      </w:r>
      <w:r w:rsidR="00392EE4">
        <w:t>:</w:t>
      </w:r>
      <w:proofErr w:type="gramEnd"/>
    </w:p>
    <w:p w14:paraId="5718A493" w14:textId="45F9CD7A" w:rsidR="00303499" w:rsidRDefault="00392EE4">
      <w:pPr>
        <w:pStyle w:val="ListParagraph"/>
        <w:numPr>
          <w:ilvl w:val="0"/>
          <w:numId w:val="3"/>
        </w:numPr>
        <w:tabs>
          <w:tab w:val="left" w:pos="1549"/>
          <w:tab w:val="left" w:pos="1550"/>
        </w:tabs>
        <w:spacing w:line="275" w:lineRule="exact"/>
        <w:rPr>
          <w:sz w:val="24"/>
        </w:rPr>
      </w:pPr>
      <w:r>
        <w:rPr>
          <w:sz w:val="24"/>
        </w:rPr>
        <w:t>60-80%</w:t>
      </w:r>
      <w:r>
        <w:rPr>
          <w:spacing w:val="-5"/>
          <w:sz w:val="24"/>
        </w:rPr>
        <w:t xml:space="preserve"> </w:t>
      </w:r>
      <w:r>
        <w:rPr>
          <w:sz w:val="24"/>
        </w:rPr>
        <w:t>Teaching;</w:t>
      </w:r>
    </w:p>
    <w:p w14:paraId="676E7730" w14:textId="77777777" w:rsidR="00303499" w:rsidRDefault="00392EE4">
      <w:pPr>
        <w:pStyle w:val="ListParagraph"/>
        <w:numPr>
          <w:ilvl w:val="0"/>
          <w:numId w:val="3"/>
        </w:numPr>
        <w:tabs>
          <w:tab w:val="left" w:pos="1549"/>
          <w:tab w:val="left" w:pos="1550"/>
        </w:tabs>
        <w:spacing w:line="275" w:lineRule="exact"/>
        <w:rPr>
          <w:sz w:val="24"/>
        </w:rPr>
      </w:pPr>
      <w:r>
        <w:rPr>
          <w:sz w:val="24"/>
        </w:rPr>
        <w:t>0%-20% Scholarship;</w:t>
      </w:r>
      <w:r>
        <w:rPr>
          <w:spacing w:val="-6"/>
          <w:sz w:val="24"/>
        </w:rPr>
        <w:t xml:space="preserve"> </w:t>
      </w:r>
      <w:r>
        <w:rPr>
          <w:sz w:val="24"/>
        </w:rPr>
        <w:t>and,</w:t>
      </w:r>
    </w:p>
    <w:p w14:paraId="13DF59D6" w14:textId="582401C6" w:rsidR="00303499" w:rsidRDefault="007C1645">
      <w:pPr>
        <w:pStyle w:val="ListParagraph"/>
        <w:numPr>
          <w:ilvl w:val="0"/>
          <w:numId w:val="3"/>
        </w:numPr>
        <w:tabs>
          <w:tab w:val="left" w:pos="1549"/>
          <w:tab w:val="left" w:pos="1550"/>
        </w:tabs>
        <w:spacing w:before="2"/>
        <w:rPr>
          <w:sz w:val="24"/>
        </w:rPr>
      </w:pPr>
      <w:r>
        <w:rPr>
          <w:sz w:val="24"/>
        </w:rPr>
        <w:t>2</w:t>
      </w:r>
      <w:r w:rsidR="00392EE4">
        <w:rPr>
          <w:sz w:val="24"/>
        </w:rPr>
        <w:t>0-40% Service/Professional</w:t>
      </w:r>
      <w:r w:rsidR="00392EE4">
        <w:rPr>
          <w:spacing w:val="-16"/>
          <w:sz w:val="24"/>
        </w:rPr>
        <w:t xml:space="preserve"> </w:t>
      </w:r>
      <w:r w:rsidR="00392EE4">
        <w:rPr>
          <w:sz w:val="24"/>
        </w:rPr>
        <w:t>Activities.</w:t>
      </w:r>
    </w:p>
    <w:p w14:paraId="7A8621B5" w14:textId="77777777" w:rsidR="00303499" w:rsidRDefault="00303499">
      <w:pPr>
        <w:pStyle w:val="BodyText"/>
      </w:pPr>
    </w:p>
    <w:p w14:paraId="06C81B16" w14:textId="77777777" w:rsidR="00303499" w:rsidRDefault="00392EE4" w:rsidP="009E3F1A">
      <w:pPr>
        <w:pStyle w:val="BodyText"/>
        <w:numPr>
          <w:ilvl w:val="0"/>
          <w:numId w:val="9"/>
        </w:numPr>
        <w:ind w:right="126"/>
      </w:pPr>
      <w:r>
        <w:t>Each department will establish clear guidelines linking the workload policy and the evaluation process; these guidelines will be used in determining merit raises as described in CBAPPS 5.04.</w:t>
      </w:r>
    </w:p>
    <w:p w14:paraId="45C3D80F" w14:textId="77777777" w:rsidR="00303499" w:rsidRPr="009E3F1A" w:rsidRDefault="00303499" w:rsidP="009E3F1A">
      <w:pPr>
        <w:pStyle w:val="BodyText"/>
        <w:ind w:left="720" w:right="126"/>
      </w:pPr>
    </w:p>
    <w:p w14:paraId="47913AD4" w14:textId="61986336" w:rsidR="002D6741" w:rsidRDefault="00392EE4" w:rsidP="002D6741">
      <w:pPr>
        <w:pStyle w:val="BodyText"/>
        <w:numPr>
          <w:ilvl w:val="0"/>
          <w:numId w:val="9"/>
        </w:numPr>
        <w:ind w:right="126"/>
      </w:pPr>
      <w:r>
        <w:t xml:space="preserve">Each department will develop guidelines for yearly written evaluation of temporary, non- continuing faculty members. (See PPS 8.11, Performance Evaluation of Non-Continuing </w:t>
      </w:r>
      <w:proofErr w:type="spellStart"/>
      <w:r>
        <w:t>Nontenure</w:t>
      </w:r>
      <w:proofErr w:type="spellEnd"/>
      <w:r>
        <w:t xml:space="preserve"> Line Faculty. See PPS 7.22, Faculty Responsibilities, Definitions, and Titles for definition of temporary, non-continuing faculty.)</w:t>
      </w:r>
    </w:p>
    <w:p w14:paraId="2E22FE90" w14:textId="0F8CA77E" w:rsidR="002D6741" w:rsidRDefault="002D6741" w:rsidP="002D6741">
      <w:pPr>
        <w:pStyle w:val="BodyText"/>
        <w:ind w:right="126"/>
      </w:pPr>
    </w:p>
    <w:p w14:paraId="1F5E1DE6" w14:textId="77777777" w:rsidR="00303499" w:rsidRDefault="00392EE4" w:rsidP="009E3F1A">
      <w:pPr>
        <w:pStyle w:val="Heading1"/>
        <w:numPr>
          <w:ilvl w:val="0"/>
          <w:numId w:val="10"/>
        </w:numPr>
      </w:pPr>
      <w:r>
        <w:t>PERFORMANCE EVALUATION AND DOCUMENTATION</w:t>
      </w:r>
    </w:p>
    <w:p w14:paraId="78ADD5E5" w14:textId="77777777" w:rsidR="00303499" w:rsidRDefault="00303499">
      <w:pPr>
        <w:pStyle w:val="BodyText"/>
        <w:spacing w:before="10"/>
        <w:rPr>
          <w:b/>
          <w:sz w:val="23"/>
        </w:rPr>
      </w:pPr>
    </w:p>
    <w:p w14:paraId="3FF3AE20" w14:textId="77777777" w:rsidR="00303499" w:rsidRDefault="00392EE4" w:rsidP="009E3F1A">
      <w:pPr>
        <w:pStyle w:val="BodyText"/>
        <w:numPr>
          <w:ilvl w:val="0"/>
          <w:numId w:val="11"/>
        </w:numPr>
      </w:pPr>
      <w:r>
        <w:rPr>
          <w:u w:val="single"/>
        </w:rPr>
        <w:t>Teaching</w:t>
      </w:r>
    </w:p>
    <w:p w14:paraId="026BC5E4" w14:textId="7CD64473" w:rsidR="00303499" w:rsidRDefault="00392EE4" w:rsidP="009E3F1A">
      <w:pPr>
        <w:pStyle w:val="BodyText"/>
        <w:numPr>
          <w:ilvl w:val="0"/>
          <w:numId w:val="11"/>
        </w:numPr>
        <w:spacing w:before="1"/>
        <w:ind w:right="96"/>
      </w:pPr>
      <w:r>
        <w:t>Evaluation of teaching performance will consider faculty members’ knowledge of their subject field, including current developments in that field; the ability to select, organize, and effectively present course materials</w:t>
      </w:r>
      <w:r w:rsidR="00781CBD">
        <w:t xml:space="preserve"> at an appropriate level, and if a core class, following core class guidelines and assessment expectations</w:t>
      </w:r>
      <w:r>
        <w:t>; the ability to stimulate student interest and motivation; and evidence of active concern for the academic progress of students. Documentation for teaching should address the following areas:</w:t>
      </w:r>
    </w:p>
    <w:p w14:paraId="5F1C97CC" w14:textId="304352EB" w:rsidR="00303499" w:rsidRDefault="00392EE4" w:rsidP="009E3F1A">
      <w:pPr>
        <w:pStyle w:val="ListParagraph"/>
        <w:numPr>
          <w:ilvl w:val="0"/>
          <w:numId w:val="12"/>
        </w:numPr>
        <w:tabs>
          <w:tab w:val="left" w:pos="1260"/>
        </w:tabs>
        <w:spacing w:line="237" w:lineRule="auto"/>
        <w:ind w:left="1260" w:right="833"/>
        <w:rPr>
          <w:sz w:val="24"/>
        </w:rPr>
      </w:pPr>
      <w:r>
        <w:rPr>
          <w:sz w:val="24"/>
        </w:rPr>
        <w:lastRenderedPageBreak/>
        <w:t>Courses and number of students taught at Te</w:t>
      </w:r>
      <w:r w:rsidR="009E3F1A">
        <w:rPr>
          <w:sz w:val="24"/>
        </w:rPr>
        <w:t xml:space="preserve">xas State during the time frame </w:t>
      </w:r>
      <w:r>
        <w:rPr>
          <w:sz w:val="24"/>
        </w:rPr>
        <w:t>being reviewed;</w:t>
      </w:r>
    </w:p>
    <w:p w14:paraId="66F85987" w14:textId="77777777" w:rsidR="00303499" w:rsidRDefault="00392EE4" w:rsidP="009E3F1A">
      <w:pPr>
        <w:pStyle w:val="ListParagraph"/>
        <w:numPr>
          <w:ilvl w:val="0"/>
          <w:numId w:val="12"/>
        </w:numPr>
        <w:tabs>
          <w:tab w:val="left" w:pos="1260"/>
        </w:tabs>
        <w:ind w:left="1260" w:right="122"/>
        <w:rPr>
          <w:sz w:val="24"/>
        </w:rPr>
      </w:pPr>
      <w:r>
        <w:rPr>
          <w:sz w:val="24"/>
        </w:rPr>
        <w:t>Evaluations of teaching effectiveness completed during the time frame under review.</w:t>
      </w:r>
      <w:r>
        <w:rPr>
          <w:spacing w:val="-37"/>
          <w:sz w:val="24"/>
        </w:rPr>
        <w:t xml:space="preserve"> </w:t>
      </w:r>
      <w:r>
        <w:rPr>
          <w:sz w:val="24"/>
        </w:rPr>
        <w:t>The review process also may include evaluations by students, peers, graduating seniors, and alumni of the</w:t>
      </w:r>
      <w:r>
        <w:rPr>
          <w:spacing w:val="-8"/>
          <w:sz w:val="24"/>
        </w:rPr>
        <w:t xml:space="preserve"> </w:t>
      </w:r>
      <w:r>
        <w:rPr>
          <w:sz w:val="24"/>
        </w:rPr>
        <w:t>college;</w:t>
      </w:r>
    </w:p>
    <w:p w14:paraId="608F89E0" w14:textId="6DE3A0E9" w:rsidR="00303499" w:rsidRDefault="00392EE4" w:rsidP="009E3F1A">
      <w:pPr>
        <w:pStyle w:val="ListParagraph"/>
        <w:numPr>
          <w:ilvl w:val="0"/>
          <w:numId w:val="12"/>
        </w:numPr>
        <w:tabs>
          <w:tab w:val="left" w:pos="1260"/>
        </w:tabs>
        <w:spacing w:before="3" w:line="237" w:lineRule="auto"/>
        <w:ind w:left="1260" w:right="940"/>
        <w:rPr>
          <w:sz w:val="24"/>
        </w:rPr>
      </w:pPr>
      <w:r>
        <w:rPr>
          <w:sz w:val="24"/>
        </w:rPr>
        <w:t>Development or revision of courses, with emphasis on the preparation and use of innovative instructional materials and teaching</w:t>
      </w:r>
      <w:r>
        <w:rPr>
          <w:spacing w:val="-30"/>
          <w:sz w:val="24"/>
        </w:rPr>
        <w:t xml:space="preserve"> </w:t>
      </w:r>
      <w:r>
        <w:rPr>
          <w:sz w:val="24"/>
        </w:rPr>
        <w:t>techniques;</w:t>
      </w:r>
    </w:p>
    <w:p w14:paraId="60AB28A1" w14:textId="77777777" w:rsidR="00303499" w:rsidRDefault="00392EE4" w:rsidP="009E3F1A">
      <w:pPr>
        <w:pStyle w:val="ListParagraph"/>
        <w:numPr>
          <w:ilvl w:val="0"/>
          <w:numId w:val="12"/>
        </w:numPr>
        <w:tabs>
          <w:tab w:val="left" w:pos="1260"/>
        </w:tabs>
        <w:spacing w:before="58"/>
        <w:ind w:left="1260" w:right="726"/>
        <w:jc w:val="both"/>
        <w:rPr>
          <w:sz w:val="24"/>
        </w:rPr>
      </w:pPr>
      <w:r>
        <w:rPr>
          <w:sz w:val="24"/>
        </w:rPr>
        <w:t>Direction of service-learning projects, major student projects, independent studies, honors’ theses, or masters’ theses. Meeting with students outside the classroom for purposes of academic advising and</w:t>
      </w:r>
      <w:r>
        <w:rPr>
          <w:spacing w:val="-18"/>
          <w:sz w:val="24"/>
        </w:rPr>
        <w:t xml:space="preserve"> </w:t>
      </w:r>
      <w:r>
        <w:rPr>
          <w:sz w:val="24"/>
        </w:rPr>
        <w:t>consultation.</w:t>
      </w:r>
    </w:p>
    <w:p w14:paraId="2142A399" w14:textId="77777777" w:rsidR="00303499" w:rsidRDefault="00392EE4" w:rsidP="009E3F1A">
      <w:pPr>
        <w:pStyle w:val="ListParagraph"/>
        <w:numPr>
          <w:ilvl w:val="0"/>
          <w:numId w:val="12"/>
        </w:numPr>
        <w:tabs>
          <w:tab w:val="left" w:pos="1260"/>
        </w:tabs>
        <w:spacing w:line="293" w:lineRule="exact"/>
        <w:ind w:left="1260"/>
        <w:rPr>
          <w:sz w:val="24"/>
        </w:rPr>
      </w:pPr>
      <w:r>
        <w:rPr>
          <w:sz w:val="24"/>
        </w:rPr>
        <w:t>Honors or recognitions received for teaching effectiveness;</w:t>
      </w:r>
      <w:r>
        <w:rPr>
          <w:spacing w:val="-26"/>
          <w:sz w:val="24"/>
        </w:rPr>
        <w:t xml:space="preserve"> </w:t>
      </w:r>
      <w:r>
        <w:rPr>
          <w:sz w:val="24"/>
        </w:rPr>
        <w:t>and,</w:t>
      </w:r>
    </w:p>
    <w:p w14:paraId="148AE8C5" w14:textId="77777777" w:rsidR="00303499" w:rsidRDefault="00392EE4" w:rsidP="009E3F1A">
      <w:pPr>
        <w:pStyle w:val="ListParagraph"/>
        <w:numPr>
          <w:ilvl w:val="0"/>
          <w:numId w:val="12"/>
        </w:numPr>
        <w:tabs>
          <w:tab w:val="left" w:pos="1260"/>
        </w:tabs>
        <w:ind w:left="1260" w:right="433"/>
        <w:rPr>
          <w:sz w:val="24"/>
        </w:rPr>
      </w:pPr>
      <w:r>
        <w:rPr>
          <w:sz w:val="24"/>
        </w:rPr>
        <w:t>Self-development activities focused on improving teaching effectiveness, including formal study in relevant academic areas, as well as attendance at conferences, short courses or workshops, and other documentation the faculty member wishes to</w:t>
      </w:r>
      <w:r>
        <w:rPr>
          <w:spacing w:val="-28"/>
          <w:sz w:val="24"/>
        </w:rPr>
        <w:t xml:space="preserve"> </w:t>
      </w:r>
      <w:r>
        <w:rPr>
          <w:sz w:val="24"/>
        </w:rPr>
        <w:t>submit.</w:t>
      </w:r>
    </w:p>
    <w:p w14:paraId="30108C48" w14:textId="77777777" w:rsidR="00303499" w:rsidRDefault="00303499" w:rsidP="009E3F1A">
      <w:pPr>
        <w:pStyle w:val="BodyText"/>
        <w:ind w:left="1260"/>
        <w:rPr>
          <w:sz w:val="26"/>
        </w:rPr>
      </w:pPr>
    </w:p>
    <w:p w14:paraId="5D86091C" w14:textId="77777777" w:rsidR="00303499" w:rsidRDefault="00392EE4" w:rsidP="009E3F1A">
      <w:pPr>
        <w:pStyle w:val="BodyText"/>
        <w:numPr>
          <w:ilvl w:val="0"/>
          <w:numId w:val="11"/>
        </w:numPr>
        <w:spacing w:before="1"/>
        <w:ind w:right="96"/>
      </w:pPr>
      <w:r>
        <w:t>The above list is not intended to depict the order of priority or importance; neither is it all- inclusive.</w:t>
      </w:r>
    </w:p>
    <w:p w14:paraId="7A18573A" w14:textId="77777777" w:rsidR="00303499" w:rsidRDefault="00303499">
      <w:pPr>
        <w:pStyle w:val="BodyText"/>
        <w:spacing w:before="8"/>
        <w:rPr>
          <w:sz w:val="23"/>
        </w:rPr>
      </w:pPr>
    </w:p>
    <w:p w14:paraId="67CCB43A" w14:textId="30891E7B" w:rsidR="00303499" w:rsidRPr="009E3F1A" w:rsidRDefault="00392EE4" w:rsidP="009E3F1A">
      <w:pPr>
        <w:pStyle w:val="BodyText"/>
        <w:numPr>
          <w:ilvl w:val="0"/>
          <w:numId w:val="11"/>
        </w:numPr>
        <w:spacing w:before="1"/>
        <w:ind w:right="96"/>
        <w:rPr>
          <w:u w:val="single"/>
        </w:rPr>
      </w:pPr>
      <w:r w:rsidRPr="009E3F1A">
        <w:rPr>
          <w:u w:val="single"/>
        </w:rPr>
        <w:t>Scholarship</w:t>
      </w:r>
    </w:p>
    <w:p w14:paraId="332B095C" w14:textId="77777777" w:rsidR="00303499" w:rsidRDefault="00392EE4" w:rsidP="009E3F1A">
      <w:pPr>
        <w:pStyle w:val="BodyText"/>
        <w:numPr>
          <w:ilvl w:val="0"/>
          <w:numId w:val="11"/>
        </w:numPr>
        <w:spacing w:before="1"/>
        <w:ind w:right="96"/>
      </w:pPr>
      <w:r>
        <w:t>The intellectual contributions of each faculty member will be evaluated annually. The evaluation process will consider the quantity and quality of a faculty member’s intellectual contributions and how these scholarship activities have contributed to the McCoy College mission. The evaluation results will be discussed by the faculty member and his/her chair during the annual faculty performance evaluation. In addition, appropriate outlets for future intellectual contributions may be discussed at that time.</w:t>
      </w:r>
    </w:p>
    <w:p w14:paraId="1512E4AB" w14:textId="77777777" w:rsidR="00303499" w:rsidRPr="009E3F1A" w:rsidRDefault="00303499" w:rsidP="009E3F1A">
      <w:pPr>
        <w:pStyle w:val="BodyText"/>
        <w:spacing w:before="1"/>
        <w:ind w:left="820" w:right="96"/>
      </w:pPr>
    </w:p>
    <w:p w14:paraId="10DB2A39" w14:textId="77777777" w:rsidR="00303499" w:rsidRDefault="00392EE4" w:rsidP="009E3F1A">
      <w:pPr>
        <w:pStyle w:val="BodyText"/>
        <w:numPr>
          <w:ilvl w:val="0"/>
          <w:numId w:val="11"/>
        </w:numPr>
        <w:spacing w:before="1"/>
        <w:ind w:right="96"/>
      </w:pPr>
      <w:r>
        <w:t>Documentation for scholarly activities should address the following areas:</w:t>
      </w:r>
    </w:p>
    <w:p w14:paraId="42EF85BA" w14:textId="7864F101" w:rsidR="00303499" w:rsidRDefault="00392EE4" w:rsidP="009E3F1A">
      <w:pPr>
        <w:pStyle w:val="ListParagraph"/>
        <w:numPr>
          <w:ilvl w:val="0"/>
          <w:numId w:val="13"/>
        </w:numPr>
        <w:tabs>
          <w:tab w:val="left" w:pos="394"/>
        </w:tabs>
        <w:spacing w:before="5" w:line="237" w:lineRule="auto"/>
        <w:ind w:left="1260" w:right="322"/>
        <w:rPr>
          <w:sz w:val="24"/>
        </w:rPr>
      </w:pPr>
      <w:r>
        <w:rPr>
          <w:sz w:val="24"/>
        </w:rPr>
        <w:t>Peer</w:t>
      </w:r>
      <w:r w:rsidR="00781CBD">
        <w:rPr>
          <w:sz w:val="24"/>
        </w:rPr>
        <w:t>-</w:t>
      </w:r>
      <w:r>
        <w:rPr>
          <w:sz w:val="24"/>
        </w:rPr>
        <w:t>reviewed journal articles (learning and pedagogical research, contributions to practice, and/or discipline-based</w:t>
      </w:r>
      <w:r>
        <w:rPr>
          <w:spacing w:val="-13"/>
          <w:sz w:val="24"/>
        </w:rPr>
        <w:t xml:space="preserve"> </w:t>
      </w:r>
      <w:r>
        <w:rPr>
          <w:sz w:val="24"/>
        </w:rPr>
        <w:t>scholarship).</w:t>
      </w:r>
    </w:p>
    <w:p w14:paraId="79EA132C" w14:textId="77777777" w:rsidR="00303499" w:rsidRDefault="00392EE4" w:rsidP="009E3F1A">
      <w:pPr>
        <w:pStyle w:val="ListParagraph"/>
        <w:numPr>
          <w:ilvl w:val="0"/>
          <w:numId w:val="13"/>
        </w:numPr>
        <w:tabs>
          <w:tab w:val="left" w:pos="381"/>
        </w:tabs>
        <w:spacing w:before="5" w:line="237" w:lineRule="auto"/>
        <w:ind w:left="1260" w:right="701"/>
        <w:rPr>
          <w:sz w:val="24"/>
        </w:rPr>
      </w:pPr>
      <w:r>
        <w:rPr>
          <w:sz w:val="24"/>
        </w:rPr>
        <w:t>Non-peer reviewed journals (learning and pedagogical, contributions to practice, and/or discipline-based</w:t>
      </w:r>
      <w:r>
        <w:rPr>
          <w:spacing w:val="-11"/>
          <w:sz w:val="24"/>
        </w:rPr>
        <w:t xml:space="preserve"> </w:t>
      </w:r>
      <w:r>
        <w:rPr>
          <w:sz w:val="24"/>
        </w:rPr>
        <w:t>scholarship).</w:t>
      </w:r>
    </w:p>
    <w:p w14:paraId="23EE80B0" w14:textId="3AB3A1C7" w:rsidR="00392EE4" w:rsidRDefault="00392EE4" w:rsidP="009E3F1A">
      <w:pPr>
        <w:pStyle w:val="ListParagraph"/>
        <w:numPr>
          <w:ilvl w:val="0"/>
          <w:numId w:val="13"/>
        </w:numPr>
        <w:tabs>
          <w:tab w:val="left" w:pos="381"/>
        </w:tabs>
        <w:spacing w:before="5" w:line="237" w:lineRule="auto"/>
        <w:ind w:left="1260" w:right="701"/>
        <w:rPr>
          <w:sz w:val="24"/>
        </w:rPr>
      </w:pPr>
      <w:r>
        <w:rPr>
          <w:sz w:val="24"/>
        </w:rPr>
        <w:t>Grants (all external funded grants, unfunded governmental grants, unfunded grants in excess of $</w:t>
      </w:r>
      <w:r w:rsidR="00CB5D7C">
        <w:rPr>
          <w:sz w:val="24"/>
        </w:rPr>
        <w:t>1</w:t>
      </w:r>
      <w:r>
        <w:rPr>
          <w:sz w:val="24"/>
        </w:rPr>
        <w:t>00</w:t>
      </w:r>
      <w:r w:rsidR="00086A2B">
        <w:rPr>
          <w:sz w:val="24"/>
        </w:rPr>
        <w:t>,000</w:t>
      </w:r>
      <w:r>
        <w:rPr>
          <w:sz w:val="24"/>
        </w:rPr>
        <w:t>).</w:t>
      </w:r>
    </w:p>
    <w:p w14:paraId="0FCBA39A" w14:textId="77777777" w:rsidR="00303499" w:rsidRDefault="00392EE4" w:rsidP="009E3F1A">
      <w:pPr>
        <w:pStyle w:val="ListParagraph"/>
        <w:numPr>
          <w:ilvl w:val="0"/>
          <w:numId w:val="13"/>
        </w:numPr>
        <w:tabs>
          <w:tab w:val="left" w:pos="381"/>
        </w:tabs>
        <w:spacing w:before="5" w:line="237" w:lineRule="auto"/>
        <w:ind w:left="1260" w:right="747"/>
        <w:rPr>
          <w:sz w:val="24"/>
        </w:rPr>
      </w:pPr>
      <w:r>
        <w:rPr>
          <w:sz w:val="24"/>
        </w:rPr>
        <w:t>Research monographs. (</w:t>
      </w:r>
      <w:proofErr w:type="gramStart"/>
      <w:r>
        <w:rPr>
          <w:sz w:val="24"/>
        </w:rPr>
        <w:t>teaching/pedagogical</w:t>
      </w:r>
      <w:proofErr w:type="gramEnd"/>
      <w:r>
        <w:rPr>
          <w:sz w:val="24"/>
        </w:rPr>
        <w:t>, practice/applied, and/or discipline-based research).</w:t>
      </w:r>
    </w:p>
    <w:p w14:paraId="124FFF40" w14:textId="77777777" w:rsidR="00303499" w:rsidRDefault="00392EE4" w:rsidP="009E3F1A">
      <w:pPr>
        <w:pStyle w:val="ListParagraph"/>
        <w:numPr>
          <w:ilvl w:val="0"/>
          <w:numId w:val="13"/>
        </w:numPr>
        <w:tabs>
          <w:tab w:val="left" w:pos="394"/>
        </w:tabs>
        <w:spacing w:before="2" w:line="275" w:lineRule="exact"/>
        <w:ind w:left="1260"/>
        <w:rPr>
          <w:sz w:val="24"/>
        </w:rPr>
      </w:pPr>
      <w:r>
        <w:rPr>
          <w:sz w:val="24"/>
        </w:rPr>
        <w:t>Books. (</w:t>
      </w:r>
      <w:proofErr w:type="gramStart"/>
      <w:r>
        <w:rPr>
          <w:sz w:val="24"/>
        </w:rPr>
        <w:t>textbooks</w:t>
      </w:r>
      <w:proofErr w:type="gramEnd"/>
      <w:r>
        <w:rPr>
          <w:sz w:val="24"/>
        </w:rPr>
        <w:t>, professional/practice/trade, and/or</w:t>
      </w:r>
      <w:r>
        <w:rPr>
          <w:spacing w:val="-23"/>
          <w:sz w:val="24"/>
        </w:rPr>
        <w:t xml:space="preserve"> </w:t>
      </w:r>
      <w:r>
        <w:rPr>
          <w:sz w:val="24"/>
        </w:rPr>
        <w:t>scholarly).</w:t>
      </w:r>
    </w:p>
    <w:p w14:paraId="21FFE57C" w14:textId="77777777" w:rsidR="00303499" w:rsidRDefault="00392EE4" w:rsidP="009E3F1A">
      <w:pPr>
        <w:pStyle w:val="ListParagraph"/>
        <w:numPr>
          <w:ilvl w:val="0"/>
          <w:numId w:val="13"/>
        </w:numPr>
        <w:tabs>
          <w:tab w:val="left" w:pos="367"/>
        </w:tabs>
        <w:spacing w:line="275" w:lineRule="exact"/>
        <w:ind w:left="1260"/>
        <w:rPr>
          <w:sz w:val="24"/>
        </w:rPr>
      </w:pPr>
      <w:r>
        <w:rPr>
          <w:sz w:val="24"/>
        </w:rPr>
        <w:t>Chapters in books. (</w:t>
      </w:r>
      <w:proofErr w:type="gramStart"/>
      <w:r>
        <w:rPr>
          <w:sz w:val="24"/>
        </w:rPr>
        <w:t>textbooks</w:t>
      </w:r>
      <w:proofErr w:type="gramEnd"/>
      <w:r>
        <w:rPr>
          <w:sz w:val="24"/>
        </w:rPr>
        <w:t>, professional/practice/trade, and/or</w:t>
      </w:r>
      <w:r>
        <w:rPr>
          <w:spacing w:val="-28"/>
          <w:sz w:val="24"/>
        </w:rPr>
        <w:t xml:space="preserve"> </w:t>
      </w:r>
      <w:r>
        <w:rPr>
          <w:sz w:val="24"/>
        </w:rPr>
        <w:t>scholarly).</w:t>
      </w:r>
    </w:p>
    <w:p w14:paraId="71139877" w14:textId="77777777" w:rsidR="00303499" w:rsidRDefault="00392EE4" w:rsidP="009E3F1A">
      <w:pPr>
        <w:pStyle w:val="ListParagraph"/>
        <w:numPr>
          <w:ilvl w:val="0"/>
          <w:numId w:val="13"/>
        </w:numPr>
        <w:tabs>
          <w:tab w:val="left" w:pos="354"/>
        </w:tabs>
        <w:spacing w:before="5" w:line="237" w:lineRule="auto"/>
        <w:ind w:left="1260" w:right="868"/>
        <w:rPr>
          <w:sz w:val="24"/>
        </w:rPr>
      </w:pPr>
      <w:r>
        <w:rPr>
          <w:sz w:val="24"/>
        </w:rPr>
        <w:t>Peer-reviewed proceedings from teaching/pedagogical meetings, professional/practice meetings, and/or scholarly</w:t>
      </w:r>
      <w:r>
        <w:rPr>
          <w:spacing w:val="-15"/>
          <w:sz w:val="24"/>
        </w:rPr>
        <w:t xml:space="preserve"> </w:t>
      </w:r>
      <w:r>
        <w:rPr>
          <w:sz w:val="24"/>
        </w:rPr>
        <w:t>meetings.</w:t>
      </w:r>
    </w:p>
    <w:p w14:paraId="17CD05F1" w14:textId="77777777" w:rsidR="00303499" w:rsidRDefault="00392EE4" w:rsidP="009E3F1A">
      <w:pPr>
        <w:pStyle w:val="ListParagraph"/>
        <w:numPr>
          <w:ilvl w:val="0"/>
          <w:numId w:val="13"/>
        </w:numPr>
        <w:tabs>
          <w:tab w:val="left" w:pos="394"/>
        </w:tabs>
        <w:spacing w:before="4" w:line="237" w:lineRule="auto"/>
        <w:ind w:left="1260" w:right="355"/>
        <w:rPr>
          <w:sz w:val="24"/>
        </w:rPr>
      </w:pPr>
      <w:r>
        <w:rPr>
          <w:sz w:val="24"/>
        </w:rPr>
        <w:t>Peer-reviewed paper presentations at teaching/pedagogical meetings, professional/practical meetings, and/or academic</w:t>
      </w:r>
      <w:r>
        <w:rPr>
          <w:spacing w:val="-19"/>
          <w:sz w:val="24"/>
        </w:rPr>
        <w:t xml:space="preserve"> </w:t>
      </w:r>
      <w:r>
        <w:rPr>
          <w:sz w:val="24"/>
        </w:rPr>
        <w:t>meetings.</w:t>
      </w:r>
    </w:p>
    <w:p w14:paraId="2F69BA01" w14:textId="77777777" w:rsidR="00303499" w:rsidRDefault="00392EE4" w:rsidP="009E3F1A">
      <w:pPr>
        <w:pStyle w:val="ListParagraph"/>
        <w:numPr>
          <w:ilvl w:val="0"/>
          <w:numId w:val="13"/>
        </w:numPr>
        <w:tabs>
          <w:tab w:val="left" w:pos="394"/>
        </w:tabs>
        <w:spacing w:before="4" w:line="237" w:lineRule="auto"/>
        <w:ind w:left="1260" w:right="168"/>
        <w:rPr>
          <w:sz w:val="24"/>
        </w:rPr>
      </w:pPr>
      <w:r>
        <w:rPr>
          <w:sz w:val="24"/>
        </w:rPr>
        <w:t>Faculty workshops (teaching/pedagogical, practice oriented, and/or discipline-based research seminar).</w:t>
      </w:r>
    </w:p>
    <w:p w14:paraId="06118ED6" w14:textId="185217FA" w:rsidR="00303499" w:rsidRDefault="00392EE4" w:rsidP="009E3F1A">
      <w:pPr>
        <w:pStyle w:val="ListParagraph"/>
        <w:numPr>
          <w:ilvl w:val="0"/>
          <w:numId w:val="13"/>
        </w:numPr>
        <w:tabs>
          <w:tab w:val="left" w:pos="300"/>
        </w:tabs>
        <w:spacing w:before="1"/>
        <w:ind w:left="1260" w:right="294"/>
        <w:rPr>
          <w:sz w:val="24"/>
        </w:rPr>
      </w:pPr>
      <w:r>
        <w:rPr>
          <w:sz w:val="24"/>
        </w:rPr>
        <w:t xml:space="preserve">Other activities: Examples of documentation of other scholarly activities include </w:t>
      </w:r>
      <w:r>
        <w:rPr>
          <w:sz w:val="24"/>
        </w:rPr>
        <w:lastRenderedPageBreak/>
        <w:t>(but are not limited to) peer</w:t>
      </w:r>
      <w:r w:rsidR="00781CBD">
        <w:rPr>
          <w:sz w:val="24"/>
        </w:rPr>
        <w:t>-</w:t>
      </w:r>
      <w:r>
        <w:rPr>
          <w:sz w:val="24"/>
        </w:rPr>
        <w:t xml:space="preserve">reviewed cases with instructional materials, instructional software, publicly available material describing the design and implementation of new curricula or courses, technical reports related to funded projects, </w:t>
      </w:r>
      <w:r w:rsidR="001F422B">
        <w:rPr>
          <w:sz w:val="24"/>
        </w:rPr>
        <w:t xml:space="preserve">issued patents, </w:t>
      </w:r>
      <w:r>
        <w:rPr>
          <w:sz w:val="24"/>
        </w:rPr>
        <w:t>or publicly available research working</w:t>
      </w:r>
      <w:r>
        <w:rPr>
          <w:spacing w:val="-37"/>
          <w:sz w:val="24"/>
        </w:rPr>
        <w:t xml:space="preserve"> </w:t>
      </w:r>
      <w:r>
        <w:rPr>
          <w:sz w:val="24"/>
        </w:rPr>
        <w:t>papers.</w:t>
      </w:r>
    </w:p>
    <w:p w14:paraId="6AA14C61" w14:textId="77777777" w:rsidR="00303499" w:rsidRDefault="00303499">
      <w:pPr>
        <w:pStyle w:val="BodyText"/>
        <w:spacing w:before="10"/>
        <w:rPr>
          <w:sz w:val="23"/>
        </w:rPr>
      </w:pPr>
    </w:p>
    <w:p w14:paraId="48FC1E9F" w14:textId="77777777" w:rsidR="00303499" w:rsidRPr="009E3F1A" w:rsidRDefault="00392EE4" w:rsidP="009E3F1A">
      <w:pPr>
        <w:pStyle w:val="BodyText"/>
        <w:numPr>
          <w:ilvl w:val="0"/>
          <w:numId w:val="11"/>
        </w:numPr>
        <w:spacing w:before="1"/>
        <w:ind w:right="96"/>
        <w:rPr>
          <w:u w:val="single"/>
        </w:rPr>
      </w:pPr>
      <w:r w:rsidRPr="009E3F1A">
        <w:rPr>
          <w:u w:val="single"/>
        </w:rPr>
        <w:t>Service/Professional Activities</w:t>
      </w:r>
    </w:p>
    <w:p w14:paraId="0B2F9D7F" w14:textId="7F240434" w:rsidR="00303499" w:rsidRDefault="00392EE4" w:rsidP="009E3F1A">
      <w:pPr>
        <w:pStyle w:val="BodyText"/>
        <w:numPr>
          <w:ilvl w:val="0"/>
          <w:numId w:val="11"/>
        </w:numPr>
        <w:spacing w:before="1"/>
        <w:ind w:right="96"/>
      </w:pPr>
      <w:r>
        <w:t>Service and professional activities are an integral part of faculty responsibilities and essential for all participating department faculty members. Service may be performed at the department, college, university, professional, and/or community level.</w:t>
      </w:r>
    </w:p>
    <w:p w14:paraId="23C2379A" w14:textId="77777777" w:rsidR="009E3F1A" w:rsidRDefault="009E3F1A" w:rsidP="009E3F1A">
      <w:pPr>
        <w:pStyle w:val="BodyText"/>
        <w:spacing w:before="1"/>
        <w:ind w:left="820" w:right="96"/>
      </w:pPr>
    </w:p>
    <w:p w14:paraId="4CB2C85F" w14:textId="3DA522C6" w:rsidR="00303499" w:rsidRDefault="00392EE4" w:rsidP="00AB45A9">
      <w:pPr>
        <w:pStyle w:val="BodyText"/>
        <w:numPr>
          <w:ilvl w:val="0"/>
          <w:numId w:val="11"/>
        </w:numPr>
        <w:spacing w:before="1"/>
        <w:ind w:right="96"/>
      </w:pPr>
      <w:r>
        <w:t>Evidence of service effectiveness should be documented and includes the following areas:</w:t>
      </w:r>
    </w:p>
    <w:p w14:paraId="01BDD223" w14:textId="77777777" w:rsidR="00303499" w:rsidRDefault="00392EE4" w:rsidP="009E3F1A">
      <w:pPr>
        <w:pStyle w:val="ListParagraph"/>
        <w:numPr>
          <w:ilvl w:val="1"/>
          <w:numId w:val="14"/>
        </w:numPr>
        <w:spacing w:line="293" w:lineRule="exact"/>
        <w:ind w:left="1260"/>
        <w:rPr>
          <w:sz w:val="24"/>
        </w:rPr>
      </w:pPr>
      <w:r>
        <w:rPr>
          <w:sz w:val="24"/>
        </w:rPr>
        <w:t>Serving on university, college and/or department</w:t>
      </w:r>
      <w:r>
        <w:rPr>
          <w:spacing w:val="-25"/>
          <w:sz w:val="24"/>
        </w:rPr>
        <w:t xml:space="preserve"> </w:t>
      </w:r>
      <w:r>
        <w:rPr>
          <w:sz w:val="24"/>
        </w:rPr>
        <w:t>committees;</w:t>
      </w:r>
    </w:p>
    <w:p w14:paraId="6A333239" w14:textId="7F66841C" w:rsidR="00303499" w:rsidRDefault="00392EE4" w:rsidP="009E3F1A">
      <w:pPr>
        <w:pStyle w:val="ListParagraph"/>
        <w:numPr>
          <w:ilvl w:val="1"/>
          <w:numId w:val="14"/>
        </w:numPr>
        <w:spacing w:before="2" w:line="237" w:lineRule="auto"/>
        <w:ind w:left="1260" w:right="300"/>
        <w:rPr>
          <w:sz w:val="24"/>
        </w:rPr>
      </w:pPr>
      <w:r>
        <w:rPr>
          <w:sz w:val="24"/>
        </w:rPr>
        <w:t>Participating and/or providing leadership in national, regional, and/or local professional organization</w:t>
      </w:r>
      <w:r w:rsidR="00781CBD">
        <w:rPr>
          <w:sz w:val="24"/>
        </w:rPr>
        <w:t>s</w:t>
      </w:r>
      <w:r>
        <w:rPr>
          <w:sz w:val="24"/>
        </w:rPr>
        <w:t>;</w:t>
      </w:r>
    </w:p>
    <w:p w14:paraId="491AA6AD" w14:textId="77777777" w:rsidR="00303499" w:rsidRDefault="00392EE4" w:rsidP="009E3F1A">
      <w:pPr>
        <w:pStyle w:val="ListParagraph"/>
        <w:numPr>
          <w:ilvl w:val="1"/>
          <w:numId w:val="14"/>
        </w:numPr>
        <w:spacing w:before="4" w:line="293" w:lineRule="exact"/>
        <w:ind w:left="1260"/>
        <w:rPr>
          <w:sz w:val="24"/>
        </w:rPr>
      </w:pPr>
      <w:r>
        <w:rPr>
          <w:sz w:val="24"/>
        </w:rPr>
        <w:t>Reviewing manuscripts and serving on editorial review</w:t>
      </w:r>
      <w:r>
        <w:rPr>
          <w:spacing w:val="-22"/>
          <w:sz w:val="24"/>
        </w:rPr>
        <w:t xml:space="preserve"> </w:t>
      </w:r>
      <w:r>
        <w:rPr>
          <w:sz w:val="24"/>
        </w:rPr>
        <w:t>boards;</w:t>
      </w:r>
    </w:p>
    <w:p w14:paraId="1E790FE5" w14:textId="77777777" w:rsidR="00303499" w:rsidRDefault="00392EE4" w:rsidP="009E3F1A">
      <w:pPr>
        <w:pStyle w:val="ListParagraph"/>
        <w:numPr>
          <w:ilvl w:val="1"/>
          <w:numId w:val="14"/>
        </w:numPr>
        <w:spacing w:line="293" w:lineRule="exact"/>
        <w:ind w:left="1260"/>
        <w:rPr>
          <w:sz w:val="24"/>
        </w:rPr>
      </w:pPr>
      <w:r>
        <w:rPr>
          <w:sz w:val="24"/>
        </w:rPr>
        <w:t>Serving as faculty advisor to student</w:t>
      </w:r>
      <w:r>
        <w:rPr>
          <w:spacing w:val="-19"/>
          <w:sz w:val="24"/>
        </w:rPr>
        <w:t xml:space="preserve"> </w:t>
      </w:r>
      <w:r>
        <w:rPr>
          <w:sz w:val="24"/>
        </w:rPr>
        <w:t>organizations;</w:t>
      </w:r>
    </w:p>
    <w:p w14:paraId="25637DE3" w14:textId="206E8CA4" w:rsidR="00303499" w:rsidRDefault="00781CBD" w:rsidP="009E3F1A">
      <w:pPr>
        <w:pStyle w:val="ListParagraph"/>
        <w:numPr>
          <w:ilvl w:val="1"/>
          <w:numId w:val="14"/>
        </w:numPr>
        <w:spacing w:line="293" w:lineRule="exact"/>
        <w:ind w:left="1260"/>
        <w:rPr>
          <w:sz w:val="24"/>
        </w:rPr>
      </w:pPr>
      <w:r>
        <w:rPr>
          <w:sz w:val="24"/>
        </w:rPr>
        <w:t>Participating in c</w:t>
      </w:r>
      <w:r w:rsidR="00392EE4">
        <w:rPr>
          <w:sz w:val="24"/>
        </w:rPr>
        <w:t>ommunity service, including pro bono consulting</w:t>
      </w:r>
      <w:r w:rsidR="00392EE4">
        <w:rPr>
          <w:spacing w:val="-25"/>
          <w:sz w:val="24"/>
        </w:rPr>
        <w:t xml:space="preserve"> </w:t>
      </w:r>
      <w:r w:rsidR="00392EE4">
        <w:rPr>
          <w:sz w:val="24"/>
        </w:rPr>
        <w:t>activities;</w:t>
      </w:r>
    </w:p>
    <w:p w14:paraId="74E1420E" w14:textId="77777777" w:rsidR="00303499" w:rsidRDefault="00392EE4" w:rsidP="009E3F1A">
      <w:pPr>
        <w:pStyle w:val="ListParagraph"/>
        <w:numPr>
          <w:ilvl w:val="1"/>
          <w:numId w:val="14"/>
        </w:numPr>
        <w:spacing w:line="293" w:lineRule="exact"/>
        <w:ind w:left="1260"/>
        <w:rPr>
          <w:sz w:val="24"/>
        </w:rPr>
      </w:pPr>
      <w:r>
        <w:rPr>
          <w:sz w:val="24"/>
        </w:rPr>
        <w:t>Formally mentoring students or</w:t>
      </w:r>
      <w:r>
        <w:rPr>
          <w:spacing w:val="-15"/>
          <w:sz w:val="24"/>
        </w:rPr>
        <w:t xml:space="preserve"> </w:t>
      </w:r>
      <w:r>
        <w:rPr>
          <w:sz w:val="24"/>
        </w:rPr>
        <w:t>faculty;</w:t>
      </w:r>
    </w:p>
    <w:p w14:paraId="00B01611" w14:textId="77777777" w:rsidR="00303499" w:rsidRDefault="00392EE4" w:rsidP="009E3F1A">
      <w:pPr>
        <w:pStyle w:val="ListParagraph"/>
        <w:numPr>
          <w:ilvl w:val="1"/>
          <w:numId w:val="14"/>
        </w:numPr>
        <w:spacing w:line="293" w:lineRule="exact"/>
        <w:ind w:left="1260"/>
        <w:rPr>
          <w:sz w:val="24"/>
        </w:rPr>
      </w:pPr>
      <w:r>
        <w:rPr>
          <w:sz w:val="24"/>
        </w:rPr>
        <w:t>Reviewing grant</w:t>
      </w:r>
      <w:r>
        <w:rPr>
          <w:spacing w:val="-8"/>
          <w:sz w:val="24"/>
        </w:rPr>
        <w:t xml:space="preserve"> </w:t>
      </w:r>
      <w:r>
        <w:rPr>
          <w:sz w:val="24"/>
        </w:rPr>
        <w:t>proposals;</w:t>
      </w:r>
    </w:p>
    <w:p w14:paraId="7E4B2AC4" w14:textId="77777777" w:rsidR="00303499" w:rsidRDefault="00392EE4" w:rsidP="009E3F1A">
      <w:pPr>
        <w:pStyle w:val="ListParagraph"/>
        <w:numPr>
          <w:ilvl w:val="1"/>
          <w:numId w:val="14"/>
        </w:numPr>
        <w:spacing w:line="293" w:lineRule="exact"/>
        <w:ind w:left="1260"/>
        <w:rPr>
          <w:sz w:val="24"/>
        </w:rPr>
      </w:pPr>
      <w:r>
        <w:rPr>
          <w:sz w:val="24"/>
        </w:rPr>
        <w:t>Chairing university, college, or department committees;</w:t>
      </w:r>
      <w:r>
        <w:rPr>
          <w:spacing w:val="-25"/>
          <w:sz w:val="24"/>
        </w:rPr>
        <w:t xml:space="preserve"> </w:t>
      </w:r>
      <w:r>
        <w:rPr>
          <w:sz w:val="24"/>
        </w:rPr>
        <w:t>and,</w:t>
      </w:r>
    </w:p>
    <w:p w14:paraId="24B4A1EF" w14:textId="0153E9F6" w:rsidR="00303499" w:rsidRDefault="00781CBD" w:rsidP="009E3F1A">
      <w:pPr>
        <w:pStyle w:val="ListParagraph"/>
        <w:numPr>
          <w:ilvl w:val="1"/>
          <w:numId w:val="14"/>
        </w:numPr>
        <w:spacing w:line="293" w:lineRule="exact"/>
        <w:ind w:left="1260"/>
        <w:rPr>
          <w:sz w:val="24"/>
        </w:rPr>
      </w:pPr>
      <w:r>
        <w:rPr>
          <w:sz w:val="24"/>
        </w:rPr>
        <w:t>Performing an a</w:t>
      </w:r>
      <w:r w:rsidR="00392EE4">
        <w:rPr>
          <w:sz w:val="24"/>
        </w:rPr>
        <w:t>dministrative</w:t>
      </w:r>
      <w:r w:rsidR="00392EE4">
        <w:rPr>
          <w:spacing w:val="-16"/>
          <w:sz w:val="24"/>
        </w:rPr>
        <w:t xml:space="preserve"> </w:t>
      </w:r>
      <w:r>
        <w:rPr>
          <w:sz w:val="24"/>
        </w:rPr>
        <w:t>role</w:t>
      </w:r>
      <w:r w:rsidR="00392EE4">
        <w:rPr>
          <w:sz w:val="24"/>
        </w:rPr>
        <w:t>.</w:t>
      </w:r>
    </w:p>
    <w:p w14:paraId="40B50F16" w14:textId="77777777" w:rsidR="00303499" w:rsidRDefault="00303499">
      <w:pPr>
        <w:pStyle w:val="BodyText"/>
        <w:spacing w:before="10"/>
        <w:rPr>
          <w:sz w:val="23"/>
        </w:rPr>
      </w:pPr>
    </w:p>
    <w:p w14:paraId="01F78738" w14:textId="6C2C834C" w:rsidR="00303499" w:rsidRDefault="00392EE4" w:rsidP="00956B7D">
      <w:pPr>
        <w:pStyle w:val="BodyText"/>
        <w:numPr>
          <w:ilvl w:val="0"/>
          <w:numId w:val="11"/>
        </w:numPr>
        <w:spacing w:before="1"/>
        <w:ind w:right="96"/>
      </w:pPr>
      <w:r>
        <w:t>Because faculty have diverse interests and areas of expertise, different types of endeavors can be considered for professional activity purposes. Examples of professional activities and substantive linkages to practice include, but are not limited to:</w:t>
      </w:r>
    </w:p>
    <w:p w14:paraId="100B0F7E" w14:textId="0B4327E9" w:rsidR="00303499" w:rsidRDefault="00392EE4" w:rsidP="002D6741">
      <w:pPr>
        <w:pStyle w:val="ListParagraph"/>
        <w:numPr>
          <w:ilvl w:val="1"/>
          <w:numId w:val="15"/>
        </w:numPr>
        <w:spacing w:line="293" w:lineRule="exact"/>
        <w:ind w:left="1260"/>
        <w:rPr>
          <w:sz w:val="24"/>
        </w:rPr>
      </w:pPr>
      <w:r>
        <w:rPr>
          <w:sz w:val="24"/>
        </w:rPr>
        <w:t>Participating in faculty</w:t>
      </w:r>
      <w:r>
        <w:rPr>
          <w:spacing w:val="-17"/>
          <w:sz w:val="24"/>
        </w:rPr>
        <w:t xml:space="preserve"> </w:t>
      </w:r>
      <w:r w:rsidR="001F422B">
        <w:rPr>
          <w:sz w:val="24"/>
        </w:rPr>
        <w:t>ex</w:t>
      </w:r>
      <w:r>
        <w:rPr>
          <w:sz w:val="24"/>
        </w:rPr>
        <w:t>ternships;</w:t>
      </w:r>
    </w:p>
    <w:p w14:paraId="135E0555" w14:textId="77777777" w:rsidR="00303499" w:rsidRDefault="00392EE4" w:rsidP="002D6741">
      <w:pPr>
        <w:pStyle w:val="ListParagraph"/>
        <w:numPr>
          <w:ilvl w:val="1"/>
          <w:numId w:val="15"/>
        </w:numPr>
        <w:spacing w:before="1" w:line="237" w:lineRule="auto"/>
        <w:ind w:left="1260" w:right="580"/>
        <w:rPr>
          <w:sz w:val="24"/>
        </w:rPr>
      </w:pPr>
      <w:r>
        <w:rPr>
          <w:sz w:val="24"/>
        </w:rPr>
        <w:t>Participating in business or professional organizations that result in sharing of</w:t>
      </w:r>
      <w:r>
        <w:rPr>
          <w:spacing w:val="-30"/>
          <w:sz w:val="24"/>
        </w:rPr>
        <w:t xml:space="preserve"> </w:t>
      </w:r>
      <w:r>
        <w:rPr>
          <w:sz w:val="24"/>
        </w:rPr>
        <w:t>expert knowledge;</w:t>
      </w:r>
    </w:p>
    <w:p w14:paraId="18FF4CF9" w14:textId="77777777" w:rsidR="00303499" w:rsidRDefault="00392EE4" w:rsidP="002D6741">
      <w:pPr>
        <w:pStyle w:val="ListParagraph"/>
        <w:numPr>
          <w:ilvl w:val="1"/>
          <w:numId w:val="15"/>
        </w:numPr>
        <w:spacing w:before="2" w:line="237" w:lineRule="auto"/>
        <w:ind w:left="1260" w:right="174"/>
        <w:rPr>
          <w:sz w:val="24"/>
        </w:rPr>
      </w:pPr>
      <w:r>
        <w:rPr>
          <w:sz w:val="24"/>
        </w:rPr>
        <w:t>Participating in presentations at professional events that focus on the practice of</w:t>
      </w:r>
      <w:r>
        <w:rPr>
          <w:spacing w:val="-37"/>
          <w:sz w:val="24"/>
        </w:rPr>
        <w:t xml:space="preserve"> </w:t>
      </w:r>
      <w:r>
        <w:rPr>
          <w:sz w:val="24"/>
        </w:rPr>
        <w:t>business disciplines;</w:t>
      </w:r>
    </w:p>
    <w:p w14:paraId="15389DB0" w14:textId="77777777" w:rsidR="00303499" w:rsidRDefault="00392EE4" w:rsidP="002D6741">
      <w:pPr>
        <w:pStyle w:val="ListParagraph"/>
        <w:numPr>
          <w:ilvl w:val="1"/>
          <w:numId w:val="15"/>
        </w:numPr>
        <w:spacing w:before="4" w:line="293" w:lineRule="exact"/>
        <w:ind w:left="1260"/>
        <w:rPr>
          <w:sz w:val="24"/>
        </w:rPr>
      </w:pPr>
      <w:r>
        <w:rPr>
          <w:sz w:val="24"/>
        </w:rPr>
        <w:t>Providing pro bono consulting to community or professional</w:t>
      </w:r>
      <w:r>
        <w:rPr>
          <w:spacing w:val="-22"/>
          <w:sz w:val="24"/>
        </w:rPr>
        <w:t xml:space="preserve"> </w:t>
      </w:r>
      <w:r>
        <w:rPr>
          <w:sz w:val="24"/>
        </w:rPr>
        <w:t>organizations;</w:t>
      </w:r>
    </w:p>
    <w:p w14:paraId="38062960" w14:textId="77777777" w:rsidR="00303499" w:rsidRDefault="00392EE4" w:rsidP="002D6741">
      <w:pPr>
        <w:pStyle w:val="ListParagraph"/>
        <w:numPr>
          <w:ilvl w:val="1"/>
          <w:numId w:val="15"/>
        </w:numPr>
        <w:spacing w:line="293" w:lineRule="exact"/>
        <w:ind w:left="1260"/>
        <w:rPr>
          <w:sz w:val="24"/>
        </w:rPr>
      </w:pPr>
      <w:r>
        <w:rPr>
          <w:sz w:val="24"/>
        </w:rPr>
        <w:t>Developing and presenting executive education</w:t>
      </w:r>
      <w:r>
        <w:rPr>
          <w:spacing w:val="-22"/>
          <w:sz w:val="24"/>
        </w:rPr>
        <w:t xml:space="preserve"> </w:t>
      </w:r>
      <w:r>
        <w:rPr>
          <w:sz w:val="24"/>
        </w:rPr>
        <w:t>programs;</w:t>
      </w:r>
    </w:p>
    <w:p w14:paraId="5F6E29CE" w14:textId="77777777" w:rsidR="00303499" w:rsidRDefault="00392EE4" w:rsidP="002D6741">
      <w:pPr>
        <w:pStyle w:val="ListParagraph"/>
        <w:numPr>
          <w:ilvl w:val="1"/>
          <w:numId w:val="15"/>
        </w:numPr>
        <w:spacing w:line="293" w:lineRule="exact"/>
        <w:ind w:left="1260"/>
        <w:rPr>
          <w:sz w:val="24"/>
        </w:rPr>
      </w:pPr>
      <w:r>
        <w:rPr>
          <w:sz w:val="24"/>
        </w:rPr>
        <w:t>Serving on boards of directors of business or professional</w:t>
      </w:r>
      <w:r>
        <w:rPr>
          <w:spacing w:val="-19"/>
          <w:sz w:val="24"/>
        </w:rPr>
        <w:t xml:space="preserve"> </w:t>
      </w:r>
      <w:r>
        <w:rPr>
          <w:sz w:val="24"/>
        </w:rPr>
        <w:t>organizations;</w:t>
      </w:r>
    </w:p>
    <w:p w14:paraId="2046AD30" w14:textId="77777777" w:rsidR="00303499" w:rsidRDefault="00392EE4" w:rsidP="002D6741">
      <w:pPr>
        <w:pStyle w:val="ListParagraph"/>
        <w:numPr>
          <w:ilvl w:val="1"/>
          <w:numId w:val="15"/>
        </w:numPr>
        <w:ind w:left="1260" w:right="240"/>
        <w:rPr>
          <w:sz w:val="24"/>
        </w:rPr>
      </w:pPr>
      <w:r>
        <w:rPr>
          <w:sz w:val="24"/>
        </w:rPr>
        <w:t>Participating, at an appropriate level of managerial responsibility, in a public, private, or not-for-profit enterprise, or in professional or pro-bono consulting that is material in terms of time and</w:t>
      </w:r>
      <w:r>
        <w:rPr>
          <w:spacing w:val="-11"/>
          <w:sz w:val="24"/>
        </w:rPr>
        <w:t xml:space="preserve"> </w:t>
      </w:r>
      <w:r>
        <w:rPr>
          <w:sz w:val="24"/>
        </w:rPr>
        <w:t>service;</w:t>
      </w:r>
    </w:p>
    <w:p w14:paraId="526ECCC0" w14:textId="77777777" w:rsidR="00303499" w:rsidRDefault="00392EE4" w:rsidP="002D6741">
      <w:pPr>
        <w:pStyle w:val="ListParagraph"/>
        <w:numPr>
          <w:ilvl w:val="1"/>
          <w:numId w:val="15"/>
        </w:numPr>
        <w:spacing w:before="3" w:line="237" w:lineRule="auto"/>
        <w:ind w:left="1260" w:right="827"/>
        <w:rPr>
          <w:sz w:val="24"/>
        </w:rPr>
      </w:pPr>
      <w:r>
        <w:rPr>
          <w:sz w:val="24"/>
        </w:rPr>
        <w:t>Participating in other activities that place faculty in direct contact with business or professional</w:t>
      </w:r>
      <w:r>
        <w:rPr>
          <w:spacing w:val="-10"/>
          <w:sz w:val="24"/>
        </w:rPr>
        <w:t xml:space="preserve"> </w:t>
      </w:r>
      <w:r>
        <w:rPr>
          <w:sz w:val="24"/>
        </w:rPr>
        <w:t>organizations;</w:t>
      </w:r>
    </w:p>
    <w:p w14:paraId="7FB1B212" w14:textId="77777777" w:rsidR="00303499" w:rsidRDefault="00392EE4" w:rsidP="002D6741">
      <w:pPr>
        <w:pStyle w:val="ListParagraph"/>
        <w:numPr>
          <w:ilvl w:val="1"/>
          <w:numId w:val="15"/>
        </w:numPr>
        <w:spacing w:before="3" w:line="293" w:lineRule="exact"/>
        <w:ind w:left="1260"/>
        <w:rPr>
          <w:sz w:val="24"/>
        </w:rPr>
      </w:pPr>
      <w:r>
        <w:rPr>
          <w:sz w:val="24"/>
        </w:rPr>
        <w:t>Engaging in significant, documented continuing professional education</w:t>
      </w:r>
      <w:r>
        <w:rPr>
          <w:spacing w:val="-34"/>
          <w:sz w:val="24"/>
        </w:rPr>
        <w:t xml:space="preserve"> </w:t>
      </w:r>
      <w:r>
        <w:rPr>
          <w:sz w:val="24"/>
        </w:rPr>
        <w:t>experiences;</w:t>
      </w:r>
    </w:p>
    <w:p w14:paraId="5F0951F3" w14:textId="77777777" w:rsidR="00303499" w:rsidRDefault="00392EE4" w:rsidP="002D6741">
      <w:pPr>
        <w:pStyle w:val="ListParagraph"/>
        <w:numPr>
          <w:ilvl w:val="1"/>
          <w:numId w:val="15"/>
        </w:numPr>
        <w:spacing w:before="1" w:line="237" w:lineRule="auto"/>
        <w:ind w:left="1260" w:right="700"/>
        <w:rPr>
          <w:sz w:val="24"/>
        </w:rPr>
      </w:pPr>
      <w:r>
        <w:rPr>
          <w:sz w:val="24"/>
        </w:rPr>
        <w:t>Serving as an officer or on a board or committee for professional, discipline-related organizations;</w:t>
      </w:r>
    </w:p>
    <w:p w14:paraId="0399C966" w14:textId="77777777" w:rsidR="00303499" w:rsidRDefault="00392EE4" w:rsidP="002D6741">
      <w:pPr>
        <w:pStyle w:val="ListParagraph"/>
        <w:numPr>
          <w:ilvl w:val="1"/>
          <w:numId w:val="15"/>
        </w:numPr>
        <w:spacing w:before="6" w:line="237" w:lineRule="auto"/>
        <w:ind w:left="1260" w:right="1354"/>
        <w:rPr>
          <w:sz w:val="24"/>
        </w:rPr>
      </w:pPr>
      <w:r>
        <w:rPr>
          <w:sz w:val="24"/>
        </w:rPr>
        <w:t>Serving as an officer or on a board or committee for a professional academic organizations;</w:t>
      </w:r>
    </w:p>
    <w:p w14:paraId="3DCFF3AB" w14:textId="77777777" w:rsidR="00303499" w:rsidRDefault="00392EE4" w:rsidP="002D6741">
      <w:pPr>
        <w:pStyle w:val="ListParagraph"/>
        <w:numPr>
          <w:ilvl w:val="1"/>
          <w:numId w:val="15"/>
        </w:numPr>
        <w:spacing w:line="293" w:lineRule="exact"/>
        <w:ind w:left="1260"/>
        <w:rPr>
          <w:sz w:val="24"/>
        </w:rPr>
      </w:pPr>
      <w:r>
        <w:rPr>
          <w:sz w:val="24"/>
        </w:rPr>
        <w:t>Acting as a discussant or referee for a paper at an academic</w:t>
      </w:r>
      <w:r>
        <w:rPr>
          <w:spacing w:val="-32"/>
          <w:sz w:val="24"/>
        </w:rPr>
        <w:t xml:space="preserve"> </w:t>
      </w:r>
      <w:r>
        <w:rPr>
          <w:sz w:val="24"/>
        </w:rPr>
        <w:t>conference;</w:t>
      </w:r>
    </w:p>
    <w:p w14:paraId="6DC3C800" w14:textId="77777777" w:rsidR="00303499" w:rsidRDefault="00392EE4" w:rsidP="002D6741">
      <w:pPr>
        <w:pStyle w:val="ListParagraph"/>
        <w:numPr>
          <w:ilvl w:val="1"/>
          <w:numId w:val="15"/>
        </w:numPr>
        <w:spacing w:before="3" w:line="237" w:lineRule="auto"/>
        <w:ind w:left="1260" w:right="1000"/>
        <w:rPr>
          <w:sz w:val="24"/>
        </w:rPr>
      </w:pPr>
      <w:r>
        <w:rPr>
          <w:sz w:val="24"/>
        </w:rPr>
        <w:lastRenderedPageBreak/>
        <w:t>Engaging in active editorships with relevant academic journals or other business publications;</w:t>
      </w:r>
      <w:r>
        <w:rPr>
          <w:spacing w:val="-8"/>
          <w:sz w:val="24"/>
        </w:rPr>
        <w:t xml:space="preserve"> </w:t>
      </w:r>
      <w:r>
        <w:rPr>
          <w:sz w:val="24"/>
        </w:rPr>
        <w:t>and,</w:t>
      </w:r>
    </w:p>
    <w:p w14:paraId="0ADCA2E3" w14:textId="77777777" w:rsidR="00303499" w:rsidRDefault="00392EE4" w:rsidP="002D6741">
      <w:pPr>
        <w:pStyle w:val="ListParagraph"/>
        <w:numPr>
          <w:ilvl w:val="1"/>
          <w:numId w:val="15"/>
        </w:numPr>
        <w:spacing w:before="4"/>
        <w:ind w:left="1260"/>
        <w:rPr>
          <w:sz w:val="24"/>
        </w:rPr>
      </w:pPr>
      <w:r>
        <w:rPr>
          <w:sz w:val="24"/>
        </w:rPr>
        <w:t>Reviewing papers for an academic</w:t>
      </w:r>
      <w:r>
        <w:rPr>
          <w:spacing w:val="-20"/>
          <w:sz w:val="24"/>
        </w:rPr>
        <w:t xml:space="preserve"> </w:t>
      </w:r>
      <w:r>
        <w:rPr>
          <w:sz w:val="24"/>
        </w:rPr>
        <w:t>conference.</w:t>
      </w:r>
    </w:p>
    <w:p w14:paraId="4D618DBE" w14:textId="77777777" w:rsidR="00303499" w:rsidRDefault="00303499">
      <w:pPr>
        <w:pStyle w:val="BodyText"/>
        <w:rPr>
          <w:sz w:val="28"/>
        </w:rPr>
      </w:pPr>
    </w:p>
    <w:p w14:paraId="3287A377" w14:textId="77777777" w:rsidR="00303499" w:rsidRDefault="00392EE4">
      <w:pPr>
        <w:pStyle w:val="Heading1"/>
        <w:spacing w:before="226"/>
        <w:jc w:val="both"/>
      </w:pPr>
      <w:r>
        <w:t>CERTIFICATION STATEMENT</w:t>
      </w:r>
    </w:p>
    <w:p w14:paraId="1896E639" w14:textId="77777777" w:rsidR="00303499" w:rsidRDefault="00303499">
      <w:pPr>
        <w:pStyle w:val="BodyText"/>
        <w:spacing w:before="2"/>
        <w:rPr>
          <w:b/>
        </w:rPr>
      </w:pPr>
    </w:p>
    <w:p w14:paraId="75C100BF" w14:textId="77777777" w:rsidR="002D6741" w:rsidRDefault="00392EE4" w:rsidP="002D6741">
      <w:pPr>
        <w:pStyle w:val="BodyText"/>
        <w:spacing w:line="237" w:lineRule="auto"/>
        <w:ind w:left="100" w:right="1168"/>
      </w:pPr>
      <w:r>
        <w:t>This CBAPPS has been approved by the reviewers listed below and represents the McCoy College of Business Administration policy and procedure from the date of the</w:t>
      </w:r>
      <w:r w:rsidR="002D6741">
        <w:t xml:space="preserve"> </w:t>
      </w:r>
      <w:r>
        <w:t xml:space="preserve">document until superseded. </w:t>
      </w:r>
    </w:p>
    <w:p w14:paraId="5EE2313A" w14:textId="43DE3DFC" w:rsidR="002D6741" w:rsidRDefault="002D6741" w:rsidP="002D6741">
      <w:pPr>
        <w:pStyle w:val="BodyText"/>
        <w:spacing w:line="237" w:lineRule="auto"/>
        <w:ind w:left="100" w:right="1168"/>
      </w:pPr>
    </w:p>
    <w:p w14:paraId="3FFCBD8B" w14:textId="00B7ED89" w:rsidR="002D6741" w:rsidRDefault="002D6741" w:rsidP="002D6741">
      <w:pPr>
        <w:pStyle w:val="BodyText"/>
        <w:spacing w:line="237" w:lineRule="auto"/>
        <w:ind w:left="100" w:right="1168"/>
      </w:pPr>
      <w:r>
        <w:t>Last Update: December 5, 2018</w:t>
      </w:r>
    </w:p>
    <w:p w14:paraId="77BA5F12" w14:textId="77777777" w:rsidR="002D6741" w:rsidRDefault="002D6741" w:rsidP="002D6741">
      <w:pPr>
        <w:pStyle w:val="BodyText"/>
        <w:spacing w:line="237" w:lineRule="auto"/>
        <w:ind w:left="100" w:right="1168"/>
      </w:pPr>
    </w:p>
    <w:p w14:paraId="166E37B3" w14:textId="5829708F" w:rsidR="002D6741" w:rsidRDefault="00392EE4" w:rsidP="002D6741">
      <w:pPr>
        <w:pStyle w:val="BodyText"/>
        <w:spacing w:line="237" w:lineRule="auto"/>
        <w:ind w:left="100" w:right="1168"/>
      </w:pPr>
      <w:r>
        <w:t xml:space="preserve">Review Cycle: E5Y </w:t>
      </w:r>
    </w:p>
    <w:p w14:paraId="326C69FF" w14:textId="77777777" w:rsidR="002D6741" w:rsidRDefault="002D6741" w:rsidP="002D6741">
      <w:pPr>
        <w:pStyle w:val="BodyText"/>
        <w:spacing w:line="237" w:lineRule="auto"/>
        <w:ind w:left="100" w:right="1168"/>
      </w:pPr>
    </w:p>
    <w:p w14:paraId="344C6A6F" w14:textId="77B216EF" w:rsidR="00303499" w:rsidRDefault="00392EE4" w:rsidP="002D6741">
      <w:pPr>
        <w:pStyle w:val="BodyText"/>
        <w:spacing w:line="237" w:lineRule="auto"/>
        <w:ind w:left="100" w:right="1168"/>
      </w:pPr>
      <w:r>
        <w:t>Next Review Date: Sept</w:t>
      </w:r>
      <w:r w:rsidR="002D6741">
        <w:t>ember</w:t>
      </w:r>
      <w:r>
        <w:t>. 1, 2020</w:t>
      </w:r>
    </w:p>
    <w:p w14:paraId="083F400A" w14:textId="77777777" w:rsidR="002D6741" w:rsidRDefault="002D6741">
      <w:pPr>
        <w:pStyle w:val="BodyText"/>
        <w:tabs>
          <w:tab w:val="left" w:pos="5093"/>
          <w:tab w:val="left" w:pos="7232"/>
        </w:tabs>
        <w:spacing w:before="9"/>
        <w:ind w:left="100"/>
      </w:pPr>
    </w:p>
    <w:p w14:paraId="729BF000" w14:textId="042B328F" w:rsidR="00303499" w:rsidRDefault="00392EE4">
      <w:pPr>
        <w:pStyle w:val="BodyText"/>
        <w:tabs>
          <w:tab w:val="left" w:pos="5093"/>
          <w:tab w:val="left" w:pos="7232"/>
        </w:tabs>
        <w:spacing w:before="9"/>
        <w:ind w:left="100"/>
      </w:pPr>
      <w:r>
        <w:t>CBAC</w:t>
      </w:r>
      <w:r>
        <w:rPr>
          <w:spacing w:val="-1"/>
        </w:rPr>
        <w:t xml:space="preserve"> </w:t>
      </w:r>
      <w:r>
        <w:t>Review:</w:t>
      </w:r>
      <w:r>
        <w:rPr>
          <w:u w:val="single"/>
        </w:rPr>
        <w:tab/>
      </w:r>
      <w:r>
        <w:t>Date:</w:t>
      </w:r>
      <w:r>
        <w:rPr>
          <w:u w:val="single"/>
        </w:rPr>
        <w:t xml:space="preserve"> </w:t>
      </w:r>
      <w:r>
        <w:rPr>
          <w:u w:val="single"/>
        </w:rPr>
        <w:tab/>
      </w:r>
    </w:p>
    <w:p w14:paraId="63531B5F" w14:textId="77777777" w:rsidR="00303499" w:rsidRDefault="00303499">
      <w:pPr>
        <w:pStyle w:val="BodyText"/>
        <w:rPr>
          <w:sz w:val="20"/>
        </w:rPr>
      </w:pPr>
    </w:p>
    <w:p w14:paraId="48B91E23" w14:textId="77777777" w:rsidR="00303499" w:rsidRDefault="00392EE4">
      <w:pPr>
        <w:pStyle w:val="BodyText"/>
        <w:tabs>
          <w:tab w:val="left" w:pos="5118"/>
          <w:tab w:val="left" w:pos="7018"/>
        </w:tabs>
        <w:spacing w:before="90"/>
        <w:ind w:left="100"/>
      </w:pPr>
      <w:r>
        <w:t>Governance</w:t>
      </w:r>
      <w:r>
        <w:rPr>
          <w:spacing w:val="-2"/>
        </w:rPr>
        <w:t xml:space="preserve"> </w:t>
      </w:r>
      <w:r>
        <w:t>Review:</w:t>
      </w:r>
      <w:r>
        <w:rPr>
          <w:u w:val="single"/>
        </w:rPr>
        <w:tab/>
      </w:r>
      <w:r>
        <w:t>Date:</w:t>
      </w:r>
      <w:r>
        <w:rPr>
          <w:u w:val="single"/>
        </w:rPr>
        <w:t xml:space="preserve"> </w:t>
      </w:r>
      <w:r>
        <w:rPr>
          <w:u w:val="single"/>
        </w:rPr>
        <w:tab/>
      </w:r>
    </w:p>
    <w:p w14:paraId="1973D635" w14:textId="77777777" w:rsidR="002D6741" w:rsidRDefault="002D6741">
      <w:pPr>
        <w:pStyle w:val="BodyText"/>
        <w:tabs>
          <w:tab w:val="left" w:pos="5086"/>
          <w:tab w:val="left" w:pos="7105"/>
        </w:tabs>
        <w:spacing w:before="93" w:line="237" w:lineRule="auto"/>
        <w:ind w:left="100" w:right="2071"/>
      </w:pPr>
    </w:p>
    <w:p w14:paraId="2E6440EC" w14:textId="73C7ACF7" w:rsidR="002D6741" w:rsidRDefault="00392EE4" w:rsidP="002D6741">
      <w:pPr>
        <w:pStyle w:val="BodyText"/>
        <w:tabs>
          <w:tab w:val="left" w:pos="5086"/>
          <w:tab w:val="left" w:pos="7105"/>
        </w:tabs>
        <w:spacing w:before="93" w:line="237" w:lineRule="auto"/>
        <w:ind w:left="1440" w:right="2071" w:hanging="1340"/>
      </w:pPr>
      <w:r>
        <w:t>Approved:</w:t>
      </w:r>
      <w:r>
        <w:rPr>
          <w:u w:val="single"/>
        </w:rPr>
        <w:tab/>
      </w:r>
      <w:r w:rsidR="002D6741">
        <w:rPr>
          <w:u w:val="single"/>
        </w:rPr>
        <w:tab/>
      </w:r>
      <w:r>
        <w:t>Date:</w:t>
      </w:r>
      <w:r>
        <w:rPr>
          <w:u w:val="single"/>
        </w:rPr>
        <w:t xml:space="preserve"> </w:t>
      </w:r>
      <w:r>
        <w:rPr>
          <w:u w:val="single"/>
        </w:rPr>
        <w:tab/>
      </w:r>
      <w:r>
        <w:t xml:space="preserve"> </w:t>
      </w:r>
    </w:p>
    <w:p w14:paraId="14FE80DF" w14:textId="3D04C64A" w:rsidR="00303499" w:rsidRDefault="002D6741" w:rsidP="002D6741">
      <w:pPr>
        <w:pStyle w:val="BodyText"/>
        <w:tabs>
          <w:tab w:val="left" w:pos="5086"/>
          <w:tab w:val="left" w:pos="7105"/>
        </w:tabs>
        <w:spacing w:before="93" w:line="237" w:lineRule="auto"/>
        <w:ind w:left="1440" w:right="2071" w:hanging="1340"/>
      </w:pPr>
      <w:r>
        <w:tab/>
      </w:r>
      <w:r w:rsidR="00392EE4">
        <w:t>Denise T.</w:t>
      </w:r>
      <w:r w:rsidR="00392EE4">
        <w:rPr>
          <w:spacing w:val="-6"/>
        </w:rPr>
        <w:t xml:space="preserve"> </w:t>
      </w:r>
      <w:r w:rsidR="00392EE4">
        <w:t>Smart</w:t>
      </w:r>
    </w:p>
    <w:p w14:paraId="02A2B9EA" w14:textId="66BCD9D7" w:rsidR="00303499" w:rsidRDefault="00392EE4" w:rsidP="002D6741">
      <w:pPr>
        <w:pStyle w:val="BodyText"/>
        <w:spacing w:before="2" w:line="717" w:lineRule="auto"/>
        <w:ind w:left="1440" w:right="4220"/>
      </w:pPr>
      <w:r>
        <w:t xml:space="preserve">Dean, McCoy College of Business </w:t>
      </w:r>
    </w:p>
    <w:sectPr w:rsidR="00303499" w:rsidSect="002D674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C"/>
    <w:multiLevelType w:val="hybridMultilevel"/>
    <w:tmpl w:val="5FB2A7F4"/>
    <w:lvl w:ilvl="0" w:tplc="C9B0E7EA">
      <w:numFmt w:val="bullet"/>
      <w:lvlText w:val="-"/>
      <w:lvlJc w:val="left"/>
      <w:pPr>
        <w:ind w:left="1550" w:hanging="360"/>
      </w:pPr>
      <w:rPr>
        <w:rFonts w:ascii="Arial" w:eastAsia="Arial" w:hAnsi="Arial" w:cs="Arial" w:hint="default"/>
        <w:spacing w:val="-1"/>
        <w:w w:val="100"/>
        <w:sz w:val="24"/>
        <w:szCs w:val="24"/>
      </w:rPr>
    </w:lvl>
    <w:lvl w:ilvl="1" w:tplc="7D3A939C">
      <w:numFmt w:val="bullet"/>
      <w:lvlText w:val="•"/>
      <w:lvlJc w:val="left"/>
      <w:pPr>
        <w:ind w:left="2358" w:hanging="360"/>
      </w:pPr>
      <w:rPr>
        <w:rFonts w:hint="default"/>
      </w:rPr>
    </w:lvl>
    <w:lvl w:ilvl="2" w:tplc="4C78F7F4">
      <w:numFmt w:val="bullet"/>
      <w:lvlText w:val="•"/>
      <w:lvlJc w:val="left"/>
      <w:pPr>
        <w:ind w:left="3156" w:hanging="360"/>
      </w:pPr>
      <w:rPr>
        <w:rFonts w:hint="default"/>
      </w:rPr>
    </w:lvl>
    <w:lvl w:ilvl="3" w:tplc="0E9E35BA">
      <w:numFmt w:val="bullet"/>
      <w:lvlText w:val="•"/>
      <w:lvlJc w:val="left"/>
      <w:pPr>
        <w:ind w:left="3954" w:hanging="360"/>
      </w:pPr>
      <w:rPr>
        <w:rFonts w:hint="default"/>
      </w:rPr>
    </w:lvl>
    <w:lvl w:ilvl="4" w:tplc="A2449DF6">
      <w:numFmt w:val="bullet"/>
      <w:lvlText w:val="•"/>
      <w:lvlJc w:val="left"/>
      <w:pPr>
        <w:ind w:left="4752" w:hanging="360"/>
      </w:pPr>
      <w:rPr>
        <w:rFonts w:hint="default"/>
      </w:rPr>
    </w:lvl>
    <w:lvl w:ilvl="5" w:tplc="88C0BCBE">
      <w:numFmt w:val="bullet"/>
      <w:lvlText w:val="•"/>
      <w:lvlJc w:val="left"/>
      <w:pPr>
        <w:ind w:left="5550" w:hanging="360"/>
      </w:pPr>
      <w:rPr>
        <w:rFonts w:hint="default"/>
      </w:rPr>
    </w:lvl>
    <w:lvl w:ilvl="6" w:tplc="7D022A74">
      <w:numFmt w:val="bullet"/>
      <w:lvlText w:val="•"/>
      <w:lvlJc w:val="left"/>
      <w:pPr>
        <w:ind w:left="6348" w:hanging="360"/>
      </w:pPr>
      <w:rPr>
        <w:rFonts w:hint="default"/>
      </w:rPr>
    </w:lvl>
    <w:lvl w:ilvl="7" w:tplc="0CA4313C">
      <w:numFmt w:val="bullet"/>
      <w:lvlText w:val="•"/>
      <w:lvlJc w:val="left"/>
      <w:pPr>
        <w:ind w:left="7146" w:hanging="360"/>
      </w:pPr>
      <w:rPr>
        <w:rFonts w:hint="default"/>
      </w:rPr>
    </w:lvl>
    <w:lvl w:ilvl="8" w:tplc="40BCC35C">
      <w:numFmt w:val="bullet"/>
      <w:lvlText w:val="•"/>
      <w:lvlJc w:val="left"/>
      <w:pPr>
        <w:ind w:left="7944" w:hanging="360"/>
      </w:pPr>
      <w:rPr>
        <w:rFonts w:hint="default"/>
      </w:rPr>
    </w:lvl>
  </w:abstractNum>
  <w:abstractNum w:abstractNumId="1" w15:restartNumberingAfterBreak="0">
    <w:nsid w:val="0AE17D1D"/>
    <w:multiLevelType w:val="hybridMultilevel"/>
    <w:tmpl w:val="4C8E75D8"/>
    <w:lvl w:ilvl="0" w:tplc="7682E30C">
      <w:numFmt w:val="bullet"/>
      <w:lvlText w:val=""/>
      <w:lvlJc w:val="left"/>
      <w:pPr>
        <w:ind w:left="820" w:hanging="360"/>
      </w:pPr>
      <w:rPr>
        <w:rFonts w:ascii="Symbol" w:eastAsia="Symbol" w:hAnsi="Symbol" w:cs="Symbol" w:hint="default"/>
        <w:w w:val="100"/>
        <w:sz w:val="24"/>
        <w:szCs w:val="24"/>
      </w:rPr>
    </w:lvl>
    <w:lvl w:ilvl="1" w:tplc="FC3ACBCC">
      <w:numFmt w:val="bullet"/>
      <w:lvlText w:val="•"/>
      <w:lvlJc w:val="left"/>
      <w:pPr>
        <w:ind w:left="1692" w:hanging="360"/>
      </w:pPr>
      <w:rPr>
        <w:rFonts w:hint="default"/>
      </w:rPr>
    </w:lvl>
    <w:lvl w:ilvl="2" w:tplc="101C78EA">
      <w:numFmt w:val="bullet"/>
      <w:lvlText w:val="•"/>
      <w:lvlJc w:val="left"/>
      <w:pPr>
        <w:ind w:left="2564" w:hanging="360"/>
      </w:pPr>
      <w:rPr>
        <w:rFonts w:hint="default"/>
      </w:rPr>
    </w:lvl>
    <w:lvl w:ilvl="3" w:tplc="2F1A7F56">
      <w:numFmt w:val="bullet"/>
      <w:lvlText w:val="•"/>
      <w:lvlJc w:val="left"/>
      <w:pPr>
        <w:ind w:left="3436" w:hanging="360"/>
      </w:pPr>
      <w:rPr>
        <w:rFonts w:hint="default"/>
      </w:rPr>
    </w:lvl>
    <w:lvl w:ilvl="4" w:tplc="68CA8DEE">
      <w:numFmt w:val="bullet"/>
      <w:lvlText w:val="•"/>
      <w:lvlJc w:val="left"/>
      <w:pPr>
        <w:ind w:left="4308" w:hanging="360"/>
      </w:pPr>
      <w:rPr>
        <w:rFonts w:hint="default"/>
      </w:rPr>
    </w:lvl>
    <w:lvl w:ilvl="5" w:tplc="5328A332">
      <w:numFmt w:val="bullet"/>
      <w:lvlText w:val="•"/>
      <w:lvlJc w:val="left"/>
      <w:pPr>
        <w:ind w:left="5180" w:hanging="360"/>
      </w:pPr>
      <w:rPr>
        <w:rFonts w:hint="default"/>
      </w:rPr>
    </w:lvl>
    <w:lvl w:ilvl="6" w:tplc="2228BF6A">
      <w:numFmt w:val="bullet"/>
      <w:lvlText w:val="•"/>
      <w:lvlJc w:val="left"/>
      <w:pPr>
        <w:ind w:left="6052" w:hanging="360"/>
      </w:pPr>
      <w:rPr>
        <w:rFonts w:hint="default"/>
      </w:rPr>
    </w:lvl>
    <w:lvl w:ilvl="7" w:tplc="D58ABFFA">
      <w:numFmt w:val="bullet"/>
      <w:lvlText w:val="•"/>
      <w:lvlJc w:val="left"/>
      <w:pPr>
        <w:ind w:left="6924" w:hanging="360"/>
      </w:pPr>
      <w:rPr>
        <w:rFonts w:hint="default"/>
      </w:rPr>
    </w:lvl>
    <w:lvl w:ilvl="8" w:tplc="69A456CA">
      <w:numFmt w:val="bullet"/>
      <w:lvlText w:val="•"/>
      <w:lvlJc w:val="left"/>
      <w:pPr>
        <w:ind w:left="7796" w:hanging="360"/>
      </w:pPr>
      <w:rPr>
        <w:rFonts w:hint="default"/>
      </w:rPr>
    </w:lvl>
  </w:abstractNum>
  <w:abstractNum w:abstractNumId="2" w15:restartNumberingAfterBreak="0">
    <w:nsid w:val="181D4E68"/>
    <w:multiLevelType w:val="hybridMultilevel"/>
    <w:tmpl w:val="75469EC4"/>
    <w:lvl w:ilvl="0" w:tplc="D17AB0C2">
      <w:start w:val="1"/>
      <w:numFmt w:val="upperLetter"/>
      <w:lvlText w:val="%1."/>
      <w:lvlJc w:val="left"/>
      <w:pPr>
        <w:ind w:left="720" w:hanging="360"/>
      </w:pPr>
      <w:rPr>
        <w:rFonts w:ascii="Times New Roman" w:eastAsia="Times New Roman" w:hAnsi="Times New Roman" w:cs="Times New Roman" w:hint="default"/>
        <w:spacing w:val="-1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605C0"/>
    <w:multiLevelType w:val="hybridMultilevel"/>
    <w:tmpl w:val="6C6CE34C"/>
    <w:lvl w:ilvl="0" w:tplc="D17AB0C2">
      <w:start w:val="1"/>
      <w:numFmt w:val="upperLetter"/>
      <w:lvlText w:val="%1."/>
      <w:lvlJc w:val="left"/>
      <w:pPr>
        <w:ind w:left="820" w:hanging="360"/>
      </w:pPr>
      <w:rPr>
        <w:rFonts w:ascii="Times New Roman" w:eastAsia="Times New Roman" w:hAnsi="Times New Roman" w:cs="Times New Roman" w:hint="default"/>
        <w:spacing w:val="-15"/>
        <w:w w:val="99"/>
        <w:sz w:val="24"/>
        <w:szCs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08675CA"/>
    <w:multiLevelType w:val="multilevel"/>
    <w:tmpl w:val="28AC9F80"/>
    <w:lvl w:ilvl="0">
      <w:start w:val="8"/>
      <w:numFmt w:val="decimal"/>
      <w:lvlText w:val="%1"/>
      <w:lvlJc w:val="left"/>
      <w:pPr>
        <w:ind w:left="480" w:hanging="480"/>
      </w:pPr>
      <w:rPr>
        <w:rFonts w:hint="default"/>
      </w:rPr>
    </w:lvl>
    <w:lvl w:ilvl="1">
      <w:start w:val="9"/>
      <w:numFmt w:val="decimal"/>
      <w:lvlText w:val="%1.%2"/>
      <w:lvlJc w:val="left"/>
      <w:pPr>
        <w:ind w:left="-720" w:hanging="480"/>
      </w:pPr>
      <w:rPr>
        <w:rFonts w:ascii="Times New Roman" w:eastAsia="Times New Roman" w:hAnsi="Times New Roman" w:cs="Times New Roman" w:hint="default"/>
        <w:spacing w:val="-1"/>
        <w:w w:val="100"/>
        <w:sz w:val="24"/>
        <w:szCs w:val="24"/>
      </w:rPr>
    </w:lvl>
    <w:lvl w:ilvl="2">
      <w:numFmt w:val="bullet"/>
      <w:lvlText w:val="•"/>
      <w:lvlJc w:val="left"/>
      <w:pPr>
        <w:ind w:left="1393" w:hanging="480"/>
      </w:pPr>
      <w:rPr>
        <w:rFonts w:hint="default"/>
      </w:rPr>
    </w:lvl>
    <w:lvl w:ilvl="3">
      <w:numFmt w:val="bullet"/>
      <w:lvlText w:val="•"/>
      <w:lvlJc w:val="left"/>
      <w:pPr>
        <w:ind w:left="2306" w:hanging="480"/>
      </w:pPr>
      <w:rPr>
        <w:rFonts w:hint="default"/>
      </w:rPr>
    </w:lvl>
    <w:lvl w:ilvl="4">
      <w:numFmt w:val="bullet"/>
      <w:lvlText w:val="•"/>
      <w:lvlJc w:val="left"/>
      <w:pPr>
        <w:ind w:left="3220" w:hanging="480"/>
      </w:pPr>
      <w:rPr>
        <w:rFonts w:hint="default"/>
      </w:rPr>
    </w:lvl>
    <w:lvl w:ilvl="5">
      <w:numFmt w:val="bullet"/>
      <w:lvlText w:val="•"/>
      <w:lvlJc w:val="left"/>
      <w:pPr>
        <w:ind w:left="4133" w:hanging="480"/>
      </w:pPr>
      <w:rPr>
        <w:rFonts w:hint="default"/>
      </w:rPr>
    </w:lvl>
    <w:lvl w:ilvl="6">
      <w:numFmt w:val="bullet"/>
      <w:lvlText w:val="•"/>
      <w:lvlJc w:val="left"/>
      <w:pPr>
        <w:ind w:left="5046" w:hanging="480"/>
      </w:pPr>
      <w:rPr>
        <w:rFonts w:hint="default"/>
      </w:rPr>
    </w:lvl>
    <w:lvl w:ilvl="7">
      <w:numFmt w:val="bullet"/>
      <w:lvlText w:val="•"/>
      <w:lvlJc w:val="left"/>
      <w:pPr>
        <w:ind w:left="5960" w:hanging="480"/>
      </w:pPr>
      <w:rPr>
        <w:rFonts w:hint="default"/>
      </w:rPr>
    </w:lvl>
    <w:lvl w:ilvl="8">
      <w:numFmt w:val="bullet"/>
      <w:lvlText w:val="•"/>
      <w:lvlJc w:val="left"/>
      <w:pPr>
        <w:ind w:left="6873" w:hanging="480"/>
      </w:pPr>
      <w:rPr>
        <w:rFonts w:hint="default"/>
      </w:rPr>
    </w:lvl>
  </w:abstractNum>
  <w:abstractNum w:abstractNumId="5" w15:restartNumberingAfterBreak="0">
    <w:nsid w:val="214641CC"/>
    <w:multiLevelType w:val="hybridMultilevel"/>
    <w:tmpl w:val="C2AE1914"/>
    <w:lvl w:ilvl="0" w:tplc="5DB8DAE4">
      <w:start w:val="1"/>
      <w:numFmt w:val="upperLetter"/>
      <w:lvlText w:val="%1."/>
      <w:lvlJc w:val="left"/>
      <w:pPr>
        <w:ind w:left="100" w:hanging="294"/>
      </w:pPr>
      <w:rPr>
        <w:rFonts w:ascii="Times New Roman" w:eastAsia="Times New Roman" w:hAnsi="Times New Roman" w:cs="Times New Roman" w:hint="default"/>
        <w:spacing w:val="-1"/>
        <w:w w:val="100"/>
        <w:sz w:val="24"/>
        <w:szCs w:val="24"/>
      </w:rPr>
    </w:lvl>
    <w:lvl w:ilvl="1" w:tplc="E3F8576C">
      <w:numFmt w:val="bullet"/>
      <w:lvlText w:val=""/>
      <w:lvlJc w:val="left"/>
      <w:pPr>
        <w:ind w:left="820" w:hanging="360"/>
      </w:pPr>
      <w:rPr>
        <w:rFonts w:ascii="Symbol" w:eastAsia="Symbol" w:hAnsi="Symbol" w:cs="Symbol" w:hint="default"/>
        <w:w w:val="100"/>
        <w:sz w:val="24"/>
        <w:szCs w:val="24"/>
      </w:rPr>
    </w:lvl>
    <w:lvl w:ilvl="2" w:tplc="5510C57C">
      <w:numFmt w:val="bullet"/>
      <w:lvlText w:val="•"/>
      <w:lvlJc w:val="left"/>
      <w:pPr>
        <w:ind w:left="1784" w:hanging="360"/>
      </w:pPr>
      <w:rPr>
        <w:rFonts w:hint="default"/>
      </w:rPr>
    </w:lvl>
    <w:lvl w:ilvl="3" w:tplc="AD8C6120">
      <w:numFmt w:val="bullet"/>
      <w:lvlText w:val="•"/>
      <w:lvlJc w:val="left"/>
      <w:pPr>
        <w:ind w:left="2748" w:hanging="360"/>
      </w:pPr>
      <w:rPr>
        <w:rFonts w:hint="default"/>
      </w:rPr>
    </w:lvl>
    <w:lvl w:ilvl="4" w:tplc="78C826D0">
      <w:numFmt w:val="bullet"/>
      <w:lvlText w:val="•"/>
      <w:lvlJc w:val="left"/>
      <w:pPr>
        <w:ind w:left="3713" w:hanging="360"/>
      </w:pPr>
      <w:rPr>
        <w:rFonts w:hint="default"/>
      </w:rPr>
    </w:lvl>
    <w:lvl w:ilvl="5" w:tplc="5C385C9A">
      <w:numFmt w:val="bullet"/>
      <w:lvlText w:val="•"/>
      <w:lvlJc w:val="left"/>
      <w:pPr>
        <w:ind w:left="4677" w:hanging="360"/>
      </w:pPr>
      <w:rPr>
        <w:rFonts w:hint="default"/>
      </w:rPr>
    </w:lvl>
    <w:lvl w:ilvl="6" w:tplc="08645C56">
      <w:numFmt w:val="bullet"/>
      <w:lvlText w:val="•"/>
      <w:lvlJc w:val="left"/>
      <w:pPr>
        <w:ind w:left="5642" w:hanging="360"/>
      </w:pPr>
      <w:rPr>
        <w:rFonts w:hint="default"/>
      </w:rPr>
    </w:lvl>
    <w:lvl w:ilvl="7" w:tplc="B6684128">
      <w:numFmt w:val="bullet"/>
      <w:lvlText w:val="•"/>
      <w:lvlJc w:val="left"/>
      <w:pPr>
        <w:ind w:left="6606" w:hanging="360"/>
      </w:pPr>
      <w:rPr>
        <w:rFonts w:hint="default"/>
      </w:rPr>
    </w:lvl>
    <w:lvl w:ilvl="8" w:tplc="036C915C">
      <w:numFmt w:val="bullet"/>
      <w:lvlText w:val="•"/>
      <w:lvlJc w:val="left"/>
      <w:pPr>
        <w:ind w:left="7571" w:hanging="360"/>
      </w:pPr>
      <w:rPr>
        <w:rFonts w:hint="default"/>
      </w:rPr>
    </w:lvl>
  </w:abstractNum>
  <w:abstractNum w:abstractNumId="6" w15:restartNumberingAfterBreak="0">
    <w:nsid w:val="3789424E"/>
    <w:multiLevelType w:val="hybridMultilevel"/>
    <w:tmpl w:val="FAFE685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38833EA6"/>
    <w:multiLevelType w:val="hybridMultilevel"/>
    <w:tmpl w:val="5CE2AEAA"/>
    <w:lvl w:ilvl="0" w:tplc="0409001B">
      <w:start w:val="1"/>
      <w:numFmt w:val="lowerRoman"/>
      <w:lvlText w:val="%1."/>
      <w:lvlJc w:val="right"/>
      <w:pPr>
        <w:ind w:left="100" w:hanging="294"/>
      </w:pPr>
      <w:rPr>
        <w:rFonts w:hint="default"/>
        <w:spacing w:val="-1"/>
        <w:w w:val="100"/>
        <w:sz w:val="24"/>
        <w:szCs w:val="24"/>
      </w:rPr>
    </w:lvl>
    <w:lvl w:ilvl="1" w:tplc="E3F8576C">
      <w:numFmt w:val="bullet"/>
      <w:lvlText w:val=""/>
      <w:lvlJc w:val="left"/>
      <w:pPr>
        <w:ind w:left="820" w:hanging="360"/>
      </w:pPr>
      <w:rPr>
        <w:rFonts w:ascii="Symbol" w:eastAsia="Symbol" w:hAnsi="Symbol" w:cs="Symbol" w:hint="default"/>
        <w:w w:val="100"/>
        <w:sz w:val="24"/>
        <w:szCs w:val="24"/>
      </w:rPr>
    </w:lvl>
    <w:lvl w:ilvl="2" w:tplc="5510C57C">
      <w:numFmt w:val="bullet"/>
      <w:lvlText w:val="•"/>
      <w:lvlJc w:val="left"/>
      <w:pPr>
        <w:ind w:left="1784" w:hanging="360"/>
      </w:pPr>
      <w:rPr>
        <w:rFonts w:hint="default"/>
      </w:rPr>
    </w:lvl>
    <w:lvl w:ilvl="3" w:tplc="AD8C6120">
      <w:numFmt w:val="bullet"/>
      <w:lvlText w:val="•"/>
      <w:lvlJc w:val="left"/>
      <w:pPr>
        <w:ind w:left="2748" w:hanging="360"/>
      </w:pPr>
      <w:rPr>
        <w:rFonts w:hint="default"/>
      </w:rPr>
    </w:lvl>
    <w:lvl w:ilvl="4" w:tplc="78C826D0">
      <w:numFmt w:val="bullet"/>
      <w:lvlText w:val="•"/>
      <w:lvlJc w:val="left"/>
      <w:pPr>
        <w:ind w:left="3713" w:hanging="360"/>
      </w:pPr>
      <w:rPr>
        <w:rFonts w:hint="default"/>
      </w:rPr>
    </w:lvl>
    <w:lvl w:ilvl="5" w:tplc="5C385C9A">
      <w:numFmt w:val="bullet"/>
      <w:lvlText w:val="•"/>
      <w:lvlJc w:val="left"/>
      <w:pPr>
        <w:ind w:left="4677" w:hanging="360"/>
      </w:pPr>
      <w:rPr>
        <w:rFonts w:hint="default"/>
      </w:rPr>
    </w:lvl>
    <w:lvl w:ilvl="6" w:tplc="08645C56">
      <w:numFmt w:val="bullet"/>
      <w:lvlText w:val="•"/>
      <w:lvlJc w:val="left"/>
      <w:pPr>
        <w:ind w:left="5642" w:hanging="360"/>
      </w:pPr>
      <w:rPr>
        <w:rFonts w:hint="default"/>
      </w:rPr>
    </w:lvl>
    <w:lvl w:ilvl="7" w:tplc="B6684128">
      <w:numFmt w:val="bullet"/>
      <w:lvlText w:val="•"/>
      <w:lvlJc w:val="left"/>
      <w:pPr>
        <w:ind w:left="6606" w:hanging="360"/>
      </w:pPr>
      <w:rPr>
        <w:rFonts w:hint="default"/>
      </w:rPr>
    </w:lvl>
    <w:lvl w:ilvl="8" w:tplc="036C915C">
      <w:numFmt w:val="bullet"/>
      <w:lvlText w:val="•"/>
      <w:lvlJc w:val="left"/>
      <w:pPr>
        <w:ind w:left="7571" w:hanging="360"/>
      </w:pPr>
      <w:rPr>
        <w:rFonts w:hint="default"/>
      </w:rPr>
    </w:lvl>
  </w:abstractNum>
  <w:abstractNum w:abstractNumId="8" w15:restartNumberingAfterBreak="0">
    <w:nsid w:val="3F2B1348"/>
    <w:multiLevelType w:val="hybridMultilevel"/>
    <w:tmpl w:val="3FDEA876"/>
    <w:lvl w:ilvl="0" w:tplc="E1D2CE9E">
      <w:start w:val="3"/>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49B32BA9"/>
    <w:multiLevelType w:val="hybridMultilevel"/>
    <w:tmpl w:val="7C401350"/>
    <w:lvl w:ilvl="0" w:tplc="D17AB0C2">
      <w:start w:val="1"/>
      <w:numFmt w:val="upperLetter"/>
      <w:lvlText w:val="%1."/>
      <w:lvlJc w:val="left"/>
      <w:pPr>
        <w:ind w:left="720" w:hanging="360"/>
      </w:pPr>
      <w:rPr>
        <w:rFonts w:ascii="Times New Roman" w:eastAsia="Times New Roman" w:hAnsi="Times New Roman" w:cs="Times New Roman" w:hint="default"/>
        <w:spacing w:val="-1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460F2"/>
    <w:multiLevelType w:val="hybridMultilevel"/>
    <w:tmpl w:val="E3AA8B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C36408B"/>
    <w:multiLevelType w:val="hybridMultilevel"/>
    <w:tmpl w:val="C1C63D4A"/>
    <w:lvl w:ilvl="0" w:tplc="5DB8DAE4">
      <w:start w:val="1"/>
      <w:numFmt w:val="upperLetter"/>
      <w:lvlText w:val="%1."/>
      <w:lvlJc w:val="left"/>
      <w:pPr>
        <w:ind w:left="100" w:hanging="294"/>
      </w:pPr>
      <w:rPr>
        <w:rFonts w:ascii="Times New Roman" w:eastAsia="Times New Roman" w:hAnsi="Times New Roman" w:cs="Times New Roman" w:hint="default"/>
        <w:spacing w:val="-1"/>
        <w:w w:val="100"/>
        <w:sz w:val="24"/>
        <w:szCs w:val="24"/>
      </w:rPr>
    </w:lvl>
    <w:lvl w:ilvl="1" w:tplc="0409001B">
      <w:start w:val="1"/>
      <w:numFmt w:val="lowerRoman"/>
      <w:lvlText w:val="%2."/>
      <w:lvlJc w:val="right"/>
      <w:pPr>
        <w:ind w:left="820" w:hanging="360"/>
      </w:pPr>
      <w:rPr>
        <w:rFonts w:hint="default"/>
        <w:w w:val="100"/>
        <w:sz w:val="24"/>
        <w:szCs w:val="24"/>
      </w:rPr>
    </w:lvl>
    <w:lvl w:ilvl="2" w:tplc="5510C57C">
      <w:numFmt w:val="bullet"/>
      <w:lvlText w:val="•"/>
      <w:lvlJc w:val="left"/>
      <w:pPr>
        <w:ind w:left="1784" w:hanging="360"/>
      </w:pPr>
      <w:rPr>
        <w:rFonts w:hint="default"/>
      </w:rPr>
    </w:lvl>
    <w:lvl w:ilvl="3" w:tplc="AD8C6120">
      <w:numFmt w:val="bullet"/>
      <w:lvlText w:val="•"/>
      <w:lvlJc w:val="left"/>
      <w:pPr>
        <w:ind w:left="2748" w:hanging="360"/>
      </w:pPr>
      <w:rPr>
        <w:rFonts w:hint="default"/>
      </w:rPr>
    </w:lvl>
    <w:lvl w:ilvl="4" w:tplc="78C826D0">
      <w:numFmt w:val="bullet"/>
      <w:lvlText w:val="•"/>
      <w:lvlJc w:val="left"/>
      <w:pPr>
        <w:ind w:left="3713" w:hanging="360"/>
      </w:pPr>
      <w:rPr>
        <w:rFonts w:hint="default"/>
      </w:rPr>
    </w:lvl>
    <w:lvl w:ilvl="5" w:tplc="5C385C9A">
      <w:numFmt w:val="bullet"/>
      <w:lvlText w:val="•"/>
      <w:lvlJc w:val="left"/>
      <w:pPr>
        <w:ind w:left="4677" w:hanging="360"/>
      </w:pPr>
      <w:rPr>
        <w:rFonts w:hint="default"/>
      </w:rPr>
    </w:lvl>
    <w:lvl w:ilvl="6" w:tplc="08645C56">
      <w:numFmt w:val="bullet"/>
      <w:lvlText w:val="•"/>
      <w:lvlJc w:val="left"/>
      <w:pPr>
        <w:ind w:left="5642" w:hanging="360"/>
      </w:pPr>
      <w:rPr>
        <w:rFonts w:hint="default"/>
      </w:rPr>
    </w:lvl>
    <w:lvl w:ilvl="7" w:tplc="B6684128">
      <w:numFmt w:val="bullet"/>
      <w:lvlText w:val="•"/>
      <w:lvlJc w:val="left"/>
      <w:pPr>
        <w:ind w:left="6606" w:hanging="360"/>
      </w:pPr>
      <w:rPr>
        <w:rFonts w:hint="default"/>
      </w:rPr>
    </w:lvl>
    <w:lvl w:ilvl="8" w:tplc="036C915C">
      <w:numFmt w:val="bullet"/>
      <w:lvlText w:val="•"/>
      <w:lvlJc w:val="left"/>
      <w:pPr>
        <w:ind w:left="7571" w:hanging="360"/>
      </w:pPr>
      <w:rPr>
        <w:rFonts w:hint="default"/>
      </w:rPr>
    </w:lvl>
  </w:abstractNum>
  <w:abstractNum w:abstractNumId="12" w15:restartNumberingAfterBreak="0">
    <w:nsid w:val="5D901FD3"/>
    <w:multiLevelType w:val="hybridMultilevel"/>
    <w:tmpl w:val="1DD49A46"/>
    <w:lvl w:ilvl="0" w:tplc="0409001B">
      <w:start w:val="1"/>
      <w:numFmt w:val="lowerRoman"/>
      <w:lvlText w:val="%1."/>
      <w:lvlJc w:val="right"/>
      <w:pPr>
        <w:ind w:left="820" w:hanging="360"/>
      </w:pPr>
      <w:rPr>
        <w:rFonts w:hint="default"/>
        <w:w w:val="100"/>
        <w:sz w:val="24"/>
        <w:szCs w:val="24"/>
      </w:rPr>
    </w:lvl>
    <w:lvl w:ilvl="1" w:tplc="FC3ACBCC">
      <w:numFmt w:val="bullet"/>
      <w:lvlText w:val="•"/>
      <w:lvlJc w:val="left"/>
      <w:pPr>
        <w:ind w:left="1692" w:hanging="360"/>
      </w:pPr>
      <w:rPr>
        <w:rFonts w:hint="default"/>
      </w:rPr>
    </w:lvl>
    <w:lvl w:ilvl="2" w:tplc="101C78EA">
      <w:numFmt w:val="bullet"/>
      <w:lvlText w:val="•"/>
      <w:lvlJc w:val="left"/>
      <w:pPr>
        <w:ind w:left="2564" w:hanging="360"/>
      </w:pPr>
      <w:rPr>
        <w:rFonts w:hint="default"/>
      </w:rPr>
    </w:lvl>
    <w:lvl w:ilvl="3" w:tplc="2F1A7F56">
      <w:numFmt w:val="bullet"/>
      <w:lvlText w:val="•"/>
      <w:lvlJc w:val="left"/>
      <w:pPr>
        <w:ind w:left="3436" w:hanging="360"/>
      </w:pPr>
      <w:rPr>
        <w:rFonts w:hint="default"/>
      </w:rPr>
    </w:lvl>
    <w:lvl w:ilvl="4" w:tplc="68CA8DEE">
      <w:numFmt w:val="bullet"/>
      <w:lvlText w:val="•"/>
      <w:lvlJc w:val="left"/>
      <w:pPr>
        <w:ind w:left="4308" w:hanging="360"/>
      </w:pPr>
      <w:rPr>
        <w:rFonts w:hint="default"/>
      </w:rPr>
    </w:lvl>
    <w:lvl w:ilvl="5" w:tplc="5328A332">
      <w:numFmt w:val="bullet"/>
      <w:lvlText w:val="•"/>
      <w:lvlJc w:val="left"/>
      <w:pPr>
        <w:ind w:left="5180" w:hanging="360"/>
      </w:pPr>
      <w:rPr>
        <w:rFonts w:hint="default"/>
      </w:rPr>
    </w:lvl>
    <w:lvl w:ilvl="6" w:tplc="2228BF6A">
      <w:numFmt w:val="bullet"/>
      <w:lvlText w:val="•"/>
      <w:lvlJc w:val="left"/>
      <w:pPr>
        <w:ind w:left="6052" w:hanging="360"/>
      </w:pPr>
      <w:rPr>
        <w:rFonts w:hint="default"/>
      </w:rPr>
    </w:lvl>
    <w:lvl w:ilvl="7" w:tplc="D58ABFFA">
      <w:numFmt w:val="bullet"/>
      <w:lvlText w:val="•"/>
      <w:lvlJc w:val="left"/>
      <w:pPr>
        <w:ind w:left="6924" w:hanging="360"/>
      </w:pPr>
      <w:rPr>
        <w:rFonts w:hint="default"/>
      </w:rPr>
    </w:lvl>
    <w:lvl w:ilvl="8" w:tplc="69A456CA">
      <w:numFmt w:val="bullet"/>
      <w:lvlText w:val="•"/>
      <w:lvlJc w:val="left"/>
      <w:pPr>
        <w:ind w:left="7796" w:hanging="360"/>
      </w:pPr>
      <w:rPr>
        <w:rFonts w:hint="default"/>
      </w:rPr>
    </w:lvl>
  </w:abstractNum>
  <w:abstractNum w:abstractNumId="13" w15:restartNumberingAfterBreak="0">
    <w:nsid w:val="79B32763"/>
    <w:multiLevelType w:val="hybridMultilevel"/>
    <w:tmpl w:val="80DC03F2"/>
    <w:lvl w:ilvl="0" w:tplc="5DB8DAE4">
      <w:start w:val="1"/>
      <w:numFmt w:val="upperLetter"/>
      <w:lvlText w:val="%1."/>
      <w:lvlJc w:val="left"/>
      <w:pPr>
        <w:ind w:left="100" w:hanging="294"/>
      </w:pPr>
      <w:rPr>
        <w:rFonts w:ascii="Times New Roman" w:eastAsia="Times New Roman" w:hAnsi="Times New Roman" w:cs="Times New Roman" w:hint="default"/>
        <w:spacing w:val="-1"/>
        <w:w w:val="100"/>
        <w:sz w:val="24"/>
        <w:szCs w:val="24"/>
      </w:rPr>
    </w:lvl>
    <w:lvl w:ilvl="1" w:tplc="0409001B">
      <w:start w:val="1"/>
      <w:numFmt w:val="lowerRoman"/>
      <w:lvlText w:val="%2."/>
      <w:lvlJc w:val="right"/>
      <w:pPr>
        <w:ind w:left="820" w:hanging="360"/>
      </w:pPr>
      <w:rPr>
        <w:rFonts w:hint="default"/>
        <w:w w:val="100"/>
        <w:sz w:val="24"/>
        <w:szCs w:val="24"/>
      </w:rPr>
    </w:lvl>
    <w:lvl w:ilvl="2" w:tplc="5510C57C">
      <w:numFmt w:val="bullet"/>
      <w:lvlText w:val="•"/>
      <w:lvlJc w:val="left"/>
      <w:pPr>
        <w:ind w:left="1784" w:hanging="360"/>
      </w:pPr>
      <w:rPr>
        <w:rFonts w:hint="default"/>
      </w:rPr>
    </w:lvl>
    <w:lvl w:ilvl="3" w:tplc="AD8C6120">
      <w:numFmt w:val="bullet"/>
      <w:lvlText w:val="•"/>
      <w:lvlJc w:val="left"/>
      <w:pPr>
        <w:ind w:left="2748" w:hanging="360"/>
      </w:pPr>
      <w:rPr>
        <w:rFonts w:hint="default"/>
      </w:rPr>
    </w:lvl>
    <w:lvl w:ilvl="4" w:tplc="78C826D0">
      <w:numFmt w:val="bullet"/>
      <w:lvlText w:val="•"/>
      <w:lvlJc w:val="left"/>
      <w:pPr>
        <w:ind w:left="3713" w:hanging="360"/>
      </w:pPr>
      <w:rPr>
        <w:rFonts w:hint="default"/>
      </w:rPr>
    </w:lvl>
    <w:lvl w:ilvl="5" w:tplc="5C385C9A">
      <w:numFmt w:val="bullet"/>
      <w:lvlText w:val="•"/>
      <w:lvlJc w:val="left"/>
      <w:pPr>
        <w:ind w:left="4677" w:hanging="360"/>
      </w:pPr>
      <w:rPr>
        <w:rFonts w:hint="default"/>
      </w:rPr>
    </w:lvl>
    <w:lvl w:ilvl="6" w:tplc="08645C56">
      <w:numFmt w:val="bullet"/>
      <w:lvlText w:val="•"/>
      <w:lvlJc w:val="left"/>
      <w:pPr>
        <w:ind w:left="5642" w:hanging="360"/>
      </w:pPr>
      <w:rPr>
        <w:rFonts w:hint="default"/>
      </w:rPr>
    </w:lvl>
    <w:lvl w:ilvl="7" w:tplc="B6684128">
      <w:numFmt w:val="bullet"/>
      <w:lvlText w:val="•"/>
      <w:lvlJc w:val="left"/>
      <w:pPr>
        <w:ind w:left="6606" w:hanging="360"/>
      </w:pPr>
      <w:rPr>
        <w:rFonts w:hint="default"/>
      </w:rPr>
    </w:lvl>
    <w:lvl w:ilvl="8" w:tplc="036C915C">
      <w:numFmt w:val="bullet"/>
      <w:lvlText w:val="•"/>
      <w:lvlJc w:val="left"/>
      <w:pPr>
        <w:ind w:left="7571" w:hanging="360"/>
      </w:pPr>
      <w:rPr>
        <w:rFonts w:hint="default"/>
      </w:rPr>
    </w:lvl>
  </w:abstractNum>
  <w:abstractNum w:abstractNumId="14" w15:restartNumberingAfterBreak="0">
    <w:nsid w:val="7D0C165E"/>
    <w:multiLevelType w:val="hybridMultilevel"/>
    <w:tmpl w:val="F7263410"/>
    <w:lvl w:ilvl="0" w:tplc="712654D6">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5"/>
  </w:num>
  <w:num w:numId="2">
    <w:abstractNumId w:val="1"/>
  </w:num>
  <w:num w:numId="3">
    <w:abstractNumId w:val="0"/>
  </w:num>
  <w:num w:numId="4">
    <w:abstractNumId w:val="4"/>
  </w:num>
  <w:num w:numId="5">
    <w:abstractNumId w:val="14"/>
  </w:num>
  <w:num w:numId="6">
    <w:abstractNumId w:val="9"/>
  </w:num>
  <w:num w:numId="7">
    <w:abstractNumId w:val="10"/>
  </w:num>
  <w:num w:numId="8">
    <w:abstractNumId w:val="6"/>
  </w:num>
  <w:num w:numId="9">
    <w:abstractNumId w:val="2"/>
  </w:num>
  <w:num w:numId="10">
    <w:abstractNumId w:val="8"/>
  </w:num>
  <w:num w:numId="11">
    <w:abstractNumId w:val="3"/>
  </w:num>
  <w:num w:numId="12">
    <w:abstractNumId w:val="12"/>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99"/>
    <w:rsid w:val="00086A2B"/>
    <w:rsid w:val="001709E2"/>
    <w:rsid w:val="001D2FD9"/>
    <w:rsid w:val="001F422B"/>
    <w:rsid w:val="002D5485"/>
    <w:rsid w:val="002D6741"/>
    <w:rsid w:val="00303499"/>
    <w:rsid w:val="00323138"/>
    <w:rsid w:val="003450A6"/>
    <w:rsid w:val="00392EE4"/>
    <w:rsid w:val="004E00F6"/>
    <w:rsid w:val="005325C4"/>
    <w:rsid w:val="00781CBD"/>
    <w:rsid w:val="007B651A"/>
    <w:rsid w:val="007C1645"/>
    <w:rsid w:val="008F173C"/>
    <w:rsid w:val="009D40CF"/>
    <w:rsid w:val="009E3F1A"/>
    <w:rsid w:val="00A22D21"/>
    <w:rsid w:val="00B149E9"/>
    <w:rsid w:val="00BD0182"/>
    <w:rsid w:val="00CB5D7C"/>
    <w:rsid w:val="00E5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9F94E"/>
  <w15:docId w15:val="{A0C1553C-4E6F-4F6F-9BE8-BA02A141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6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1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1645"/>
    <w:rPr>
      <w:sz w:val="16"/>
      <w:szCs w:val="16"/>
    </w:rPr>
  </w:style>
  <w:style w:type="paragraph" w:styleId="CommentText">
    <w:name w:val="annotation text"/>
    <w:basedOn w:val="Normal"/>
    <w:link w:val="CommentTextChar"/>
    <w:uiPriority w:val="99"/>
    <w:semiHidden/>
    <w:unhideWhenUsed/>
    <w:rsid w:val="007C1645"/>
    <w:rPr>
      <w:sz w:val="20"/>
      <w:szCs w:val="20"/>
    </w:rPr>
  </w:style>
  <w:style w:type="character" w:customStyle="1" w:styleId="CommentTextChar">
    <w:name w:val="Comment Text Char"/>
    <w:basedOn w:val="DefaultParagraphFont"/>
    <w:link w:val="CommentText"/>
    <w:uiPriority w:val="99"/>
    <w:semiHidden/>
    <w:rsid w:val="007C16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1645"/>
    <w:rPr>
      <w:b/>
      <w:bCs/>
    </w:rPr>
  </w:style>
  <w:style w:type="character" w:customStyle="1" w:styleId="CommentSubjectChar">
    <w:name w:val="Comment Subject Char"/>
    <w:basedOn w:val="CommentTextChar"/>
    <w:link w:val="CommentSubject"/>
    <w:uiPriority w:val="99"/>
    <w:semiHidden/>
    <w:rsid w:val="007C16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CBAPPS_5_01_FinalDraft_02_15.docx</vt:lpstr>
    </vt:vector>
  </TitlesOfParts>
  <Company>Texas State University</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CBAPPS_5_01_FinalDraft_02_15.docx</dc:title>
  <dc:creator>Wierschem, David C</dc:creator>
  <cp:lastModifiedBy>Wierschem, David C</cp:lastModifiedBy>
  <cp:revision>6</cp:revision>
  <dcterms:created xsi:type="dcterms:W3CDTF">2018-11-14T17:11:00Z</dcterms:created>
  <dcterms:modified xsi:type="dcterms:W3CDTF">2018-12-06T17:52:00Z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Word</vt:lpwstr>
  </property>
  <property fmtid="{D5CDD505-2E9C-101B-9397-08002B2CF9AE}" pid="4" name="LastSaved">
    <vt:filetime>2018-05-29T00:00:00Z</vt:filetime>
  </property>
</Properties>
</file>