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TXST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Rohde,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Rohde's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Rohde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Rohde,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Dallas,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immunocompromised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denominators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numerators,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3.6.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RSV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eternal,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frightening.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strapped.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antibiotic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pathogen.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stigmatized.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Wuhan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pneumonia.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Italy,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quarantine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geographically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Italy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virologist.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Atlanta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amplified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grandpa,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sniffles.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precautions.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hammering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touchscreens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elevators,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handshaking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sanitizer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Rohde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TXST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Jayme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Blaschke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Garcia.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Raaz.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Schumacher.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Big Ideas Ep 4_Rodney Rohde (Completed  03/24/20)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30,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"https://www.rev.com/transcript-editor/shared/n7aWMpJJdp_ritvJqyKEdE4g5wBM7Ftu27S2mwBMhUvnaq9TWyVhsr9o3OeVkbXtBqouK2jA9xMNJ4TX3c3fgaL7P9k?loadFrom=DocumentHeaderDeepLink"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