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Saldana,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get-go?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Tejano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Cajun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Cajun,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zydeco,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encyclopedic,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alt-rock,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99.9999%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Nirvana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nightclubs.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Tejano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derogatory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palpable,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repository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Shepherd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Cisneros,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McCarthy.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prestigious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R&amp;B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Boogie-woogie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Orleans,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Tejano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Tornadoes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Quintet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Jimenez,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unpublished,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Guthrie,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Hernandez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Tejano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Tejano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Hernandez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ephemera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McMurtry's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McMurtry,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'70s.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hitchhiking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Bojangles."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filmmaker,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'70s.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Armadillo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helmet?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mojo.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hombre,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Express-News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Prensa,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Prensa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hombre.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[foreing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00:20:27],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instantaneously.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Guadalupe,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Alkek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C-A-W,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C-A-W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macabre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Hitchcockian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00:27:46].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Pollyannish,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00:28:34]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inanimate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Lightnin'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hitchhiking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hitchhiked.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Orleans,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Guthrie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Bojangles.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00:32:20]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Bojangles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Alkek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wittliffcollections.txstate.edu.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Saldana,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Hector 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Razz.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12_Texas music with Hector Saldaña (Completed  01/04/21)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2021 -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"https://www.rev.com/transcript-editor/Edit?token=xUwSdQWOzIdpZ1Avc0l1sUDWyMY5W8kh4fMFcQS58R19YnJPNIdEzkHY-2WctYMdeTSLTOpehDDT4VBl1oazv9a0dkA&amp;loadFrom=DocumentHeaderDeepLink"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