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McAllister,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McAllister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McAllister,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Memphis,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Ramadan,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16/8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BMI,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16/8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beverages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16/8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libitum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16/8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16/8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adiponectin,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HDLC,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cholesterol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inconsistencies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rhythm,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hormonal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peripheral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synchronize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triglycerides,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Cardio-Respiratory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adenosine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monophosphate-activated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two-pronged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lightheaded,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sledgehammer,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McAllister,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Matt 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Blaskie,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15_Intermittent fasting with Matthe... (Completed  04/01/21)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f1PLwcBtgKMq_zPY2M6_NRGSo5BrozUTR8gayg3v-MWHur57eW91kvy3XRQJR9jkBqBiZ0--t8MFwXS7y5pBsRvTl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