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sz w:val="48"/>
          <w:szCs w:val="48"/>
        </w:rPr>
      </w:pPr>
      <w:r w:rsidDel="00000000" w:rsidR="00000000" w:rsidRPr="00000000">
        <w:rPr>
          <w:rFonts w:ascii="Times" w:cs="Times" w:eastAsia="Times" w:hAnsi="Times"/>
          <w:sz w:val="48"/>
          <w:szCs w:val="48"/>
          <w:rtl w:val="0"/>
        </w:rPr>
        <w:t xml:space="preserve">Co-Teaching Strategies</w:t>
      </w:r>
    </w:p>
    <w:p w:rsidR="00000000" w:rsidDel="00000000" w:rsidP="00000000" w:rsidRDefault="00000000" w:rsidRPr="00000000" w14:paraId="00000002">
      <w:pPr>
        <w:spacing w:line="240" w:lineRule="auto"/>
        <w:jc w:val="center"/>
        <w:rPr>
          <w:rFonts w:ascii="Times" w:cs="Times" w:eastAsia="Times" w:hAnsi="Times"/>
          <w:sz w:val="28"/>
          <w:szCs w:val="28"/>
        </w:rPr>
      </w:pPr>
      <w:r w:rsidDel="00000000" w:rsidR="00000000" w:rsidRPr="00000000">
        <w:rPr>
          <w:rtl w:val="0"/>
        </w:rPr>
      </w:r>
    </w:p>
    <w:tbl>
      <w:tblPr>
        <w:tblStyle w:val="Table1"/>
        <w:tblW w:w="13155.0" w:type="dxa"/>
        <w:jc w:val="left"/>
        <w:tblInd w:w="0.0" w:type="dxa"/>
        <w:tblLayout w:type="fixed"/>
        <w:tblLook w:val="0400"/>
      </w:tblPr>
      <w:tblGrid>
        <w:gridCol w:w="2265"/>
        <w:gridCol w:w="4275"/>
        <w:gridCol w:w="6615"/>
        <w:tblGridChange w:id="0">
          <w:tblGrid>
            <w:gridCol w:w="2265"/>
            <w:gridCol w:w="4275"/>
            <w:gridCol w:w="6615"/>
          </w:tblGrid>
        </w:tblGridChange>
      </w:tblGrid>
      <w:tr>
        <w:trPr>
          <w:trHeight w:val="760" w:hRule="atLeast"/>
        </w:trPr>
        <w:tc>
          <w:tcPr>
            <w:tcBorders>
              <w:top w:color="000000" w:space="0" w:sz="6" w:val="single"/>
              <w:left w:color="000000" w:space="0" w:sz="6" w:val="single"/>
              <w:bottom w:color="000000" w:space="0" w:sz="6" w:val="single"/>
              <w:right w:color="000000" w:space="0" w:sz="6" w:val="single"/>
            </w:tcBorders>
            <w:shd w:fill="cccccc" w:val="clear"/>
            <w:tcMar>
              <w:top w:w="0.0" w:type="dxa"/>
              <w:left w:w="120.0" w:type="dxa"/>
              <w:bottom w:w="0.0" w:type="dxa"/>
              <w:right w:w="120.0" w:type="dxa"/>
            </w:tcMar>
          </w:tcPr>
          <w:p w:rsidR="00000000" w:rsidDel="00000000" w:rsidP="00000000" w:rsidRDefault="00000000" w:rsidRPr="00000000" w14:paraId="00000003">
            <w:pPr>
              <w:spacing w:line="240" w:lineRule="auto"/>
              <w:rPr>
                <w:rFonts w:ascii="Times" w:cs="Times" w:eastAsia="Times" w:hAnsi="Times"/>
                <w:sz w:val="28"/>
                <w:szCs w:val="28"/>
              </w:rPr>
            </w:pPr>
            <w:r w:rsidDel="00000000" w:rsidR="00000000" w:rsidRPr="00000000">
              <w:rPr>
                <w:rFonts w:ascii="Cambria" w:cs="Cambria" w:eastAsia="Cambria" w:hAnsi="Cambria"/>
                <w:b w:val="1"/>
                <w:sz w:val="28"/>
                <w:szCs w:val="28"/>
                <w:rtl w:val="0"/>
              </w:rPr>
              <w:t xml:space="preserve">Co-Teaching Strategy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20.0" w:type="dxa"/>
              <w:bottom w:w="0.0" w:type="dxa"/>
              <w:right w:w="120.0" w:type="dxa"/>
            </w:tcMar>
          </w:tcPr>
          <w:p w:rsidR="00000000" w:rsidDel="00000000" w:rsidP="00000000" w:rsidRDefault="00000000" w:rsidRPr="00000000" w14:paraId="00000004">
            <w:pPr>
              <w:spacing w:line="240" w:lineRule="auto"/>
              <w:rPr>
                <w:rFonts w:ascii="Times" w:cs="Times" w:eastAsia="Times" w:hAnsi="Times"/>
                <w:sz w:val="28"/>
                <w:szCs w:val="28"/>
              </w:rPr>
            </w:pPr>
            <w:r w:rsidDel="00000000" w:rsidR="00000000" w:rsidRPr="00000000">
              <w:rPr>
                <w:rFonts w:ascii="Cambria" w:cs="Cambria" w:eastAsia="Cambria" w:hAnsi="Cambria"/>
                <w:b w:val="1"/>
                <w:sz w:val="28"/>
                <w:szCs w:val="28"/>
                <w:rtl w:val="0"/>
              </w:rPr>
              <w:t xml:space="preserve">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20.0" w:type="dxa"/>
              <w:bottom w:w="0.0" w:type="dxa"/>
              <w:right w:w="120.0" w:type="dxa"/>
            </w:tcMar>
          </w:tcPr>
          <w:p w:rsidR="00000000" w:rsidDel="00000000" w:rsidP="00000000" w:rsidRDefault="00000000" w:rsidRPr="00000000" w14:paraId="00000005">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Notes</w:t>
            </w:r>
          </w:p>
          <w:p w:rsidR="00000000" w:rsidDel="00000000" w:rsidP="00000000" w:rsidRDefault="00000000" w:rsidRPr="00000000" w14:paraId="0000000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does it look like/sound like?</w:t>
            </w:r>
          </w:p>
          <w:p w:rsidR="00000000" w:rsidDel="00000000" w:rsidP="00000000" w:rsidRDefault="00000000" w:rsidRPr="00000000" w14:paraId="0000000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When is the approach most effective?</w:t>
            </w:r>
          </w:p>
        </w:tc>
      </w:tr>
      <w:tr>
        <w:trPr>
          <w:trHeight w:val="7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8">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One Teach, One Assist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9">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One of the teachers has the primary responsibility for teaching, while the other teacher circulates around the room and supports students during the lesson.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8"/>
                <w:szCs w:val="28"/>
              </w:rPr>
            </w:pPr>
            <w:r w:rsidDel="00000000" w:rsidR="00000000" w:rsidRPr="00000000">
              <w:rPr>
                <w:rtl w:val="0"/>
              </w:rPr>
            </w:r>
          </w:p>
        </w:tc>
      </w:tr>
      <w:tr>
        <w:trPr>
          <w:trHeight w:val="17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1">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One Teach, One Observe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2">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One of the teachers has the primary responsibility for teaching, while the other teacher observes the lesson for specific data.  The teachers analyze the data after the lesson.  The teachers regularly switch roles.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3">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8"/>
                <w:szCs w:val="28"/>
              </w:rPr>
            </w:pPr>
            <w:r w:rsidDel="00000000" w:rsidR="00000000" w:rsidRPr="00000000">
              <w:rPr>
                <w:rtl w:val="0"/>
              </w:rPr>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B">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Station Teaching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C">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The students and content are divided into groups/stations.  Both teachers take responsibility for different stations.  Stations can be facilitated, independent, or taught by a teacher.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D">
            <w:pPr>
              <w:spacing w:line="240" w:lineRule="auto"/>
              <w:rPr>
                <w:rFonts w:ascii="Cambria" w:cs="Cambria" w:eastAsia="Cambria" w:hAnsi="Cambria"/>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E">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Parallel Teaching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F">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The students are divided into two groups.  Each teacher is responsible for one of the groups and simultaneously teaches the same content.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0">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Alternative Teaching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8">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One of the teachers has responsibility for teaching the whole class, while the other teacher instructs a small group to provide additional scaffolding, pre-teaching, or enrichment.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Team Teaching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spacing w:line="240" w:lineRule="auto"/>
              <w:rPr>
                <w:rFonts w:ascii="Times" w:cs="Times" w:eastAsia="Times" w:hAnsi="Times"/>
                <w:sz w:val="28"/>
                <w:szCs w:val="28"/>
              </w:rPr>
            </w:pPr>
            <w:r w:rsidDel="00000000" w:rsidR="00000000" w:rsidRPr="00000000">
              <w:rPr>
                <w:rFonts w:ascii="Cambria" w:cs="Cambria" w:eastAsia="Cambria" w:hAnsi="Cambria"/>
                <w:sz w:val="28"/>
                <w:szCs w:val="28"/>
                <w:rtl w:val="0"/>
              </w:rPr>
              <w:t xml:space="preserve">Both teachers deliver instruction to the whole class.  The teachers have equal roles in the lesson delivery.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6">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3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D">
      <w:pPr>
        <w:spacing w:line="240" w:lineRule="auto"/>
        <w:rPr>
          <w:rFonts w:ascii="Times" w:cs="Times" w:eastAsia="Times" w:hAnsi="Times"/>
          <w:b w:val="1"/>
          <w:sz w:val="20"/>
          <w:szCs w:val="20"/>
        </w:rPr>
      </w:pPr>
      <w:r w:rsidDel="00000000" w:rsidR="00000000" w:rsidRPr="00000000">
        <w:rPr>
          <w:rFonts w:ascii="Cambria" w:cs="Cambria" w:eastAsia="Cambria" w:hAnsi="Cambria"/>
          <w:b w:val="1"/>
          <w:sz w:val="20"/>
          <w:szCs w:val="20"/>
          <w:rtl w:val="0"/>
        </w:rPr>
        <w:t xml:space="preserve">Information adapted from Co-Teaching Connection - Resources. (2007). Retrieved May 09, 2016, from http://www.marilynfriend.com/approaches.htm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