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4530C5A">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7234E24C" w:rsidR="00B16860" w:rsidRPr="00041EA1" w:rsidRDefault="000F6BB6" w:rsidP="00FA3CAC">
      <w:pPr>
        <w:pStyle w:val="Heading1"/>
        <w:spacing w:before="0"/>
        <w:ind w:left="360" w:right="180"/>
        <w:jc w:val="center"/>
      </w:pPr>
      <w:r w:rsidRPr="00041EA1">
        <w:t xml:space="preserve">Transfer Planning Guide </w:t>
      </w:r>
      <w:r w:rsidR="003B49D0">
        <w:t>202</w:t>
      </w:r>
      <w:r w:rsidR="006B20B8">
        <w:t>2</w:t>
      </w:r>
      <w:r w:rsidR="003B49D0">
        <w:t>-202</w:t>
      </w:r>
      <w:r w:rsidR="006B20B8">
        <w:t>3</w:t>
      </w:r>
    </w:p>
    <w:p w14:paraId="0D7D014A" w14:textId="40D11882" w:rsidR="002529D8" w:rsidRDefault="000F6BB6" w:rsidP="00FA3CAC">
      <w:pPr>
        <w:pStyle w:val="Heading2"/>
        <w:spacing w:before="0" w:line="240" w:lineRule="auto"/>
        <w:ind w:left="360" w:right="180"/>
      </w:pPr>
      <w:r w:rsidRPr="000F6BB6">
        <w:t xml:space="preserve">Major in </w:t>
      </w:r>
      <w:r w:rsidR="000C60BB">
        <w:t>Applied Arts</w:t>
      </w:r>
    </w:p>
    <w:p w14:paraId="576B6108" w14:textId="08027E46" w:rsidR="00FA3CAC" w:rsidRDefault="000F6BB6" w:rsidP="00FA3CAC">
      <w:pPr>
        <w:pStyle w:val="Heading2"/>
        <w:spacing w:before="0" w:line="240" w:lineRule="auto"/>
        <w:ind w:left="360" w:right="180"/>
      </w:pPr>
      <w:r w:rsidRPr="000F6BB6">
        <w:t xml:space="preserve">Bachelor of </w:t>
      </w:r>
      <w:r w:rsidR="000C60BB">
        <w:t xml:space="preserve">Applied Arts &amp; </w:t>
      </w:r>
      <w:r w:rsidR="00B76511">
        <w:t>Science</w:t>
      </w:r>
      <w:r w:rsidR="00826320">
        <w:t>s</w:t>
      </w:r>
      <w:r w:rsidR="002529D8" w:rsidRPr="000F6BB6">
        <w:t xml:space="preserve"> </w:t>
      </w:r>
      <w:r w:rsidR="002C38F2">
        <w:t xml:space="preserve">Degree </w:t>
      </w:r>
      <w:r w:rsidRPr="000F6BB6">
        <w:t>(B</w:t>
      </w:r>
      <w:r w:rsidR="000C60BB">
        <w:t>AAS</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79457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75B6AAFF"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2A9EB756"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22D4930F"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3E17D41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0D84618B"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75FA3E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5EB2DD3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7152B8B1"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3F89DD5C"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38A72E8C"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54520213" w:rsidR="00B16860" w:rsidRPr="002975B6" w:rsidRDefault="000C60BB" w:rsidP="00FA3CAC">
      <w:pPr>
        <w:pStyle w:val="Heading2"/>
        <w:spacing w:before="0" w:line="240" w:lineRule="auto"/>
        <w:ind w:left="360" w:right="180"/>
        <w:jc w:val="left"/>
        <w:rPr>
          <w:rFonts w:asciiTheme="majorHAnsi" w:hAnsiTheme="majorHAnsi"/>
          <w:sz w:val="21"/>
          <w:szCs w:val="21"/>
        </w:rPr>
      </w:pPr>
      <w:r>
        <w:rPr>
          <w:rFonts w:asciiTheme="majorHAnsi" w:hAnsiTheme="majorHAnsi"/>
          <w:sz w:val="21"/>
          <w:szCs w:val="21"/>
        </w:rPr>
        <w:t>OCCUPATIONAL EMPHASES MODULE</w:t>
      </w:r>
      <w:r w:rsidR="00CD1DA3">
        <w:rPr>
          <w:rFonts w:asciiTheme="majorHAnsi" w:hAnsiTheme="majorHAnsi"/>
          <w:sz w:val="21"/>
          <w:szCs w:val="21"/>
        </w:rPr>
        <w:t xml:space="preserve"> (</w:t>
      </w:r>
      <w:r w:rsidR="003B49D0">
        <w:rPr>
          <w:rFonts w:asciiTheme="majorHAnsi" w:hAnsiTheme="majorHAnsi"/>
          <w:sz w:val="21"/>
          <w:szCs w:val="21"/>
        </w:rPr>
        <w:t xml:space="preserve">47 </w:t>
      </w:r>
      <w:r w:rsidR="00A539FA">
        <w:rPr>
          <w:rFonts w:asciiTheme="majorHAnsi" w:hAnsiTheme="majorHAnsi"/>
          <w:sz w:val="21"/>
          <w:szCs w:val="21"/>
        </w:rPr>
        <w:t>Hours</w:t>
      </w:r>
      <w:r w:rsidR="00CD1DA3">
        <w:rPr>
          <w:rFonts w:asciiTheme="majorHAnsi" w:hAnsiTheme="majorHAnsi"/>
          <w:sz w:val="21"/>
          <w:szCs w:val="21"/>
        </w:rPr>
        <w:t>)</w:t>
      </w:r>
    </w:p>
    <w:p w14:paraId="3F43EFA8" w14:textId="77777777" w:rsidR="00B16860" w:rsidRPr="002975B6" w:rsidRDefault="00B16860" w:rsidP="00FA3CAC">
      <w:pPr>
        <w:pStyle w:val="BodyText"/>
        <w:ind w:left="360" w:right="180"/>
        <w:rPr>
          <w:rFonts w:asciiTheme="majorHAnsi" w:hAnsiTheme="majorHAnsi"/>
          <w:b/>
        </w:rPr>
      </w:pPr>
    </w:p>
    <w:p w14:paraId="4061808E" w14:textId="646E154E"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B76511">
        <w:rPr>
          <w:rFonts w:asciiTheme="majorHAnsi" w:hAnsiTheme="majorHAnsi"/>
        </w:rPr>
        <w:t xml:space="preserve">is </w:t>
      </w:r>
      <w:r w:rsidR="000C60BB">
        <w:t>module may be satisfied by credits earned from prior learning assessment (work/life experience, non- collegiate sponsored instruction, credit by examination), transfer work from other accredited institutions of higher learning or technical &amp; vocational college credit. Forty-seven hours required, to include OCED 3350 and OCED 4350 courses.</w:t>
      </w:r>
    </w:p>
    <w:p w14:paraId="7EAFE8EA" w14:textId="77777777" w:rsidR="00B16860" w:rsidRPr="002975B6" w:rsidRDefault="00B16860" w:rsidP="00FA3CAC">
      <w:pPr>
        <w:pStyle w:val="BodyText"/>
        <w:ind w:left="360" w:right="180"/>
        <w:rPr>
          <w:rFonts w:asciiTheme="majorHAnsi" w:hAnsiTheme="majorHAnsi"/>
        </w:rPr>
      </w:pPr>
    </w:p>
    <w:p w14:paraId="3D874B93" w14:textId="692677D4" w:rsidR="00B16860" w:rsidRPr="002975B6" w:rsidRDefault="000C60BB" w:rsidP="002975B6">
      <w:pPr>
        <w:pStyle w:val="Heading2"/>
        <w:spacing w:before="0" w:line="240" w:lineRule="auto"/>
        <w:ind w:left="360" w:right="180"/>
        <w:jc w:val="left"/>
        <w:rPr>
          <w:rFonts w:asciiTheme="majorHAnsi" w:hAnsiTheme="majorHAnsi"/>
          <w:sz w:val="21"/>
          <w:szCs w:val="21"/>
        </w:rPr>
      </w:pPr>
      <w:r>
        <w:rPr>
          <w:rFonts w:asciiTheme="majorHAnsi" w:hAnsiTheme="majorHAnsi"/>
          <w:sz w:val="21"/>
          <w:szCs w:val="21"/>
        </w:rPr>
        <w:t>PROFESSIONAL DEVELOPMENT MODULE</w:t>
      </w:r>
      <w:r w:rsidR="00CD1DA3">
        <w:rPr>
          <w:rFonts w:asciiTheme="majorHAnsi" w:hAnsiTheme="majorHAnsi"/>
          <w:sz w:val="21"/>
          <w:szCs w:val="21"/>
        </w:rPr>
        <w:t xml:space="preserve"> (</w:t>
      </w:r>
      <w:r w:rsidR="003B49D0">
        <w:rPr>
          <w:rFonts w:asciiTheme="majorHAnsi" w:hAnsiTheme="majorHAnsi"/>
          <w:sz w:val="21"/>
          <w:szCs w:val="21"/>
        </w:rPr>
        <w:t xml:space="preserve">24 </w:t>
      </w:r>
      <w:r w:rsidR="00A539FA">
        <w:rPr>
          <w:rFonts w:asciiTheme="majorHAnsi" w:hAnsiTheme="majorHAnsi"/>
          <w:sz w:val="21"/>
          <w:szCs w:val="21"/>
        </w:rPr>
        <w:t>Hours</w:t>
      </w:r>
      <w:r w:rsidR="00CD1DA3">
        <w:rPr>
          <w:rFonts w:asciiTheme="majorHAnsi" w:hAnsiTheme="majorHAnsi"/>
          <w:sz w:val="21"/>
          <w:szCs w:val="21"/>
        </w:rPr>
        <w:t>)</w:t>
      </w:r>
    </w:p>
    <w:p w14:paraId="0A6B15E8" w14:textId="4420F08D" w:rsidR="00B16860" w:rsidRDefault="00B16860" w:rsidP="00FA3CAC">
      <w:pPr>
        <w:pStyle w:val="BodyText"/>
        <w:ind w:left="360" w:right="180"/>
        <w:rPr>
          <w:rFonts w:asciiTheme="majorHAnsi" w:hAnsiTheme="majorHAnsi"/>
          <w:b/>
        </w:rPr>
      </w:pPr>
    </w:p>
    <w:p w14:paraId="17AD7854" w14:textId="40F40693" w:rsidR="00B16860" w:rsidRDefault="000C60BB" w:rsidP="000C60BB">
      <w:pPr>
        <w:pStyle w:val="BodyText"/>
        <w:ind w:left="360"/>
      </w:pPr>
      <w:r>
        <w:t>Professional development sequences are individualized to students’ educational needs. Students will choose advanced level courses from at least three academic departments related to future career goals.  This module of 24 hours constitutes the major for GPA calculation</w:t>
      </w:r>
      <w:r>
        <w:rPr>
          <w:spacing w:val="-15"/>
        </w:rPr>
        <w:t xml:space="preserve"> </w:t>
      </w:r>
      <w:r>
        <w:t>purposes.</w:t>
      </w:r>
    </w:p>
    <w:p w14:paraId="6CAD1E86" w14:textId="4878F4D0" w:rsidR="00A539FA" w:rsidRDefault="00A539FA" w:rsidP="000C60BB">
      <w:pPr>
        <w:pStyle w:val="BodyText"/>
        <w:ind w:left="360"/>
      </w:pPr>
    </w:p>
    <w:p w14:paraId="6354AC66" w14:textId="5BBF6BDF" w:rsidR="00A539FA" w:rsidRDefault="00A539FA" w:rsidP="000C60BB">
      <w:pPr>
        <w:pStyle w:val="BodyText"/>
        <w:ind w:left="360"/>
      </w:pPr>
      <w:r>
        <w:t>CAPSTONE MODULE</w:t>
      </w:r>
      <w:r w:rsidR="00CD1DA3">
        <w:t xml:space="preserve"> (</w:t>
      </w:r>
      <w:r>
        <w:t>6 Hours</w:t>
      </w:r>
      <w:r w:rsidR="00CD1DA3">
        <w:t>)</w:t>
      </w:r>
    </w:p>
    <w:p w14:paraId="5872F1D0" w14:textId="1E1F73F2" w:rsidR="00A539FA" w:rsidRDefault="00A539FA" w:rsidP="000C60BB">
      <w:pPr>
        <w:pStyle w:val="BodyText"/>
        <w:ind w:left="360"/>
      </w:pPr>
    </w:p>
    <w:p w14:paraId="37AFCA28" w14:textId="4EE3458B" w:rsidR="00A539FA" w:rsidRDefault="00A539FA" w:rsidP="000C60BB">
      <w:pPr>
        <w:pStyle w:val="BodyText"/>
        <w:ind w:left="360"/>
      </w:pPr>
      <w:r w:rsidRPr="00A539FA">
        <w:t>The BAAS Capstone is a two-sequence course that students take in their final semester of the BAAS degree. The two courses are taken in the same semester. OCED 4360 is taken in the first 8-week session, OCED 4361 is taken in the second 8-week session.</w:t>
      </w:r>
    </w:p>
    <w:p w14:paraId="07040DF6" w14:textId="77777777" w:rsidR="000C60BB" w:rsidRDefault="000C60BB" w:rsidP="000C60BB">
      <w:pPr>
        <w:pStyle w:val="BodyText"/>
        <w:ind w:left="360"/>
      </w:pPr>
    </w:p>
    <w:p w14:paraId="74887927" w14:textId="599A2952" w:rsidR="000C60BB" w:rsidRPr="002975B6" w:rsidRDefault="000C60BB" w:rsidP="000C60BB">
      <w:pPr>
        <w:pStyle w:val="Heading2"/>
        <w:spacing w:before="0" w:line="240" w:lineRule="auto"/>
        <w:ind w:left="360" w:right="180"/>
        <w:jc w:val="left"/>
        <w:rPr>
          <w:rFonts w:asciiTheme="majorHAnsi" w:hAnsiTheme="majorHAnsi"/>
          <w:sz w:val="21"/>
          <w:szCs w:val="21"/>
        </w:rPr>
      </w:pPr>
      <w:r>
        <w:rPr>
          <w:rFonts w:asciiTheme="majorHAnsi" w:hAnsiTheme="majorHAnsi"/>
          <w:sz w:val="21"/>
          <w:szCs w:val="21"/>
        </w:rPr>
        <w:t>ELECTIVE MODULE</w:t>
      </w:r>
      <w:r w:rsidR="00CD1DA3">
        <w:rPr>
          <w:rFonts w:asciiTheme="majorHAnsi" w:hAnsiTheme="majorHAnsi"/>
          <w:sz w:val="21"/>
          <w:szCs w:val="21"/>
        </w:rPr>
        <w:t xml:space="preserve"> (</w:t>
      </w:r>
      <w:r w:rsidR="003B49D0">
        <w:rPr>
          <w:rFonts w:asciiTheme="majorHAnsi" w:hAnsiTheme="majorHAnsi"/>
          <w:sz w:val="21"/>
          <w:szCs w:val="21"/>
        </w:rPr>
        <w:t xml:space="preserve">1 </w:t>
      </w:r>
      <w:r w:rsidR="00A539FA">
        <w:rPr>
          <w:rFonts w:asciiTheme="majorHAnsi" w:hAnsiTheme="majorHAnsi"/>
          <w:sz w:val="21"/>
          <w:szCs w:val="21"/>
        </w:rPr>
        <w:t>H</w:t>
      </w:r>
      <w:r w:rsidR="003B49D0">
        <w:rPr>
          <w:rFonts w:asciiTheme="majorHAnsi" w:hAnsiTheme="majorHAnsi"/>
          <w:sz w:val="21"/>
          <w:szCs w:val="21"/>
        </w:rPr>
        <w:t>our</w:t>
      </w:r>
      <w:r w:rsidR="00CD1DA3">
        <w:rPr>
          <w:rFonts w:asciiTheme="majorHAnsi" w:hAnsiTheme="majorHAnsi"/>
          <w:sz w:val="21"/>
          <w:szCs w:val="21"/>
        </w:rPr>
        <w:t>)</w:t>
      </w:r>
    </w:p>
    <w:p w14:paraId="329CD025" w14:textId="77777777" w:rsidR="000C60BB" w:rsidRDefault="000C60BB" w:rsidP="000C60BB">
      <w:pPr>
        <w:pStyle w:val="BodyText"/>
        <w:ind w:left="360" w:right="180"/>
        <w:rPr>
          <w:rFonts w:asciiTheme="majorHAnsi" w:hAnsiTheme="majorHAnsi"/>
          <w:b/>
        </w:rPr>
      </w:pPr>
    </w:p>
    <w:p w14:paraId="7766F359" w14:textId="77777777" w:rsidR="000C60BB" w:rsidRDefault="000C60BB" w:rsidP="000C60BB">
      <w:pPr>
        <w:pStyle w:val="BodyText"/>
        <w:ind w:left="360"/>
      </w:pPr>
      <w:r>
        <w:t xml:space="preserve">A minimum of 120 hours toward the degree, including 36 advanced hours. All additional hours should be chosen in consultation with the Texas State academic advisor. </w:t>
      </w:r>
    </w:p>
    <w:p w14:paraId="6C3950ED" w14:textId="77777777" w:rsidR="000C60BB" w:rsidRDefault="000C60BB" w:rsidP="000C60BB">
      <w:pPr>
        <w:pStyle w:val="BodyText"/>
        <w:ind w:left="360"/>
      </w:pPr>
    </w:p>
    <w:p w14:paraId="04A67A43" w14:textId="470AE37F" w:rsidR="000C60BB" w:rsidRPr="000C60BB" w:rsidRDefault="000C60BB" w:rsidP="000C60BB">
      <w:pPr>
        <w:pStyle w:val="BodyText"/>
        <w:ind w:left="360"/>
        <w:sectPr w:rsidR="000C60BB" w:rsidRPr="000C60BB" w:rsidSect="00FA3CAC">
          <w:type w:val="continuous"/>
          <w:pgSz w:w="12240" w:h="15840"/>
          <w:pgMar w:top="720" w:right="900" w:bottom="280" w:left="720" w:header="720" w:footer="720" w:gutter="0"/>
          <w:cols w:space="720"/>
        </w:sectPr>
      </w:pPr>
      <w:r>
        <w:t>NOTE: Students may apply for prior learning assessment college credit in OCED 4111.</w:t>
      </w:r>
      <w:r w:rsidR="003B49D0">
        <w:t xml:space="preserve"> Credit earned in OCED 4111 can only apply to the Occupational Emphasis Module. </w:t>
      </w:r>
      <w:r w:rsidR="00A539FA">
        <w:t xml:space="preserve">Visit </w:t>
      </w:r>
      <w:hyperlink r:id="rId8" w:history="1">
        <w:r w:rsidR="00A539FA" w:rsidRPr="00A539FA">
          <w:rPr>
            <w:rStyle w:val="Hyperlink"/>
          </w:rPr>
          <w:t>the Department of Organizational, Workforce, and Leadership Studies</w:t>
        </w:r>
      </w:hyperlink>
      <w:r w:rsidR="00A539FA">
        <w:t xml:space="preserve"> for more information. </w:t>
      </w:r>
      <w:r w:rsidR="003B49D0">
        <w:t xml:space="preserve"> </w:t>
      </w:r>
    </w:p>
    <w:p w14:paraId="4BAD2735" w14:textId="1D3E714E" w:rsidR="00B16860" w:rsidRPr="004F0C1F" w:rsidRDefault="000F6BB6" w:rsidP="002975B6">
      <w:pPr>
        <w:pStyle w:val="Heading2"/>
        <w:spacing w:before="0" w:line="240" w:lineRule="auto"/>
        <w:ind w:left="360" w:right="180"/>
        <w:jc w:val="left"/>
        <w:rPr>
          <w:rFonts w:asciiTheme="majorHAnsi" w:hAnsiTheme="majorHAnsi"/>
          <w:sz w:val="21"/>
          <w:szCs w:val="21"/>
        </w:rPr>
      </w:pPr>
      <w:r w:rsidRPr="004F0C1F">
        <w:rPr>
          <w:rFonts w:asciiTheme="majorHAnsi" w:hAnsiTheme="majorHAnsi"/>
          <w:sz w:val="21"/>
          <w:szCs w:val="21"/>
        </w:rPr>
        <w:lastRenderedPageBreak/>
        <w:t>UNIVERSITY ADMISSION:</w:t>
      </w:r>
    </w:p>
    <w:p w14:paraId="7F8D81E4" w14:textId="77777777" w:rsidR="004F0C1F" w:rsidRPr="004F0C1F" w:rsidRDefault="004F0C1F" w:rsidP="0079457C"/>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9">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10">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282AE0C" w14:textId="006468C6" w:rsidR="006B20B8" w:rsidRDefault="000F6BB6" w:rsidP="006B20B8">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1">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2714210A" w14:textId="77777777" w:rsidR="006B20B8" w:rsidRDefault="006B20B8" w:rsidP="00E5429C">
      <w:pPr>
        <w:pStyle w:val="ListParagraph"/>
        <w:tabs>
          <w:tab w:val="left" w:pos="1021"/>
        </w:tabs>
        <w:ind w:left="792" w:right="187" w:firstLine="0"/>
        <w:rPr>
          <w:rFonts w:asciiTheme="majorHAnsi" w:hAnsiTheme="majorHAnsi"/>
          <w:sz w:val="21"/>
          <w:szCs w:val="21"/>
        </w:rPr>
      </w:pPr>
    </w:p>
    <w:p w14:paraId="0AB63A84" w14:textId="067B5A4E" w:rsidR="006B20B8" w:rsidRPr="00E5429C" w:rsidRDefault="006B20B8" w:rsidP="00E5429C">
      <w:pPr>
        <w:pStyle w:val="ListParagraph"/>
        <w:numPr>
          <w:ilvl w:val="0"/>
          <w:numId w:val="1"/>
        </w:numPr>
        <w:tabs>
          <w:tab w:val="left" w:pos="1021"/>
        </w:tabs>
        <w:ind w:left="792" w:right="187" w:hanging="432"/>
        <w:rPr>
          <w:rFonts w:asciiTheme="majorHAnsi" w:hAnsiTheme="majorHAnsi"/>
          <w:sz w:val="21"/>
          <w:szCs w:val="21"/>
        </w:rPr>
      </w:pPr>
      <w:r w:rsidRPr="00E5429C">
        <w:rPr>
          <w:rFonts w:asciiTheme="majorHAnsi" w:hAnsiTheme="majorHAnsi"/>
          <w:sz w:val="21"/>
          <w:szCs w:val="21"/>
        </w:rPr>
        <w:t xml:space="preserve">Courses evaluated as </w:t>
      </w:r>
      <w:r w:rsidR="005E45DA">
        <w:rPr>
          <w:rFonts w:asciiTheme="majorHAnsi" w:hAnsiTheme="majorHAnsi"/>
          <w:sz w:val="21"/>
          <w:szCs w:val="21"/>
        </w:rPr>
        <w:t>Vocational Education (</w:t>
      </w:r>
      <w:r w:rsidRPr="00E5429C">
        <w:rPr>
          <w:rFonts w:asciiTheme="majorHAnsi" w:hAnsiTheme="majorHAnsi"/>
          <w:sz w:val="21"/>
          <w:szCs w:val="21"/>
        </w:rPr>
        <w:t>VOCED</w:t>
      </w:r>
      <w:r w:rsidR="005E45DA">
        <w:rPr>
          <w:rFonts w:asciiTheme="majorHAnsi" w:hAnsiTheme="majorHAnsi"/>
          <w:sz w:val="21"/>
          <w:szCs w:val="21"/>
        </w:rPr>
        <w:t>)</w:t>
      </w:r>
      <w:r w:rsidRPr="00E5429C">
        <w:rPr>
          <w:rFonts w:asciiTheme="majorHAnsi" w:hAnsiTheme="majorHAnsi"/>
          <w:sz w:val="21"/>
          <w:szCs w:val="21"/>
        </w:rPr>
        <w:t xml:space="preserve"> are not computed in the transfer grade point average (GPA). VOCED courses </w:t>
      </w:r>
      <w:r>
        <w:rPr>
          <w:rFonts w:asciiTheme="majorHAnsi" w:hAnsiTheme="majorHAnsi"/>
          <w:sz w:val="21"/>
          <w:szCs w:val="21"/>
        </w:rPr>
        <w:t xml:space="preserve">will </w:t>
      </w:r>
      <w:r w:rsidRPr="00E5429C">
        <w:rPr>
          <w:rFonts w:asciiTheme="majorHAnsi" w:hAnsiTheme="majorHAnsi"/>
          <w:sz w:val="21"/>
          <w:szCs w:val="21"/>
        </w:rPr>
        <w:t xml:space="preserve">not be used for admission purposes. </w:t>
      </w:r>
      <w:r w:rsidRPr="00E5429C">
        <w:rPr>
          <w:rFonts w:asciiTheme="majorHAnsi" w:hAnsiTheme="majorHAnsi"/>
          <w:sz w:val="21"/>
          <w:szCs w:val="21"/>
        </w:rPr>
        <w:tab/>
      </w:r>
      <w:r w:rsidRPr="00E5429C">
        <w:rPr>
          <w:rFonts w:asciiTheme="majorHAnsi" w:hAnsiTheme="majorHAnsi"/>
          <w:sz w:val="21"/>
          <w:szCs w:val="21"/>
        </w:rPr>
        <w:tab/>
      </w:r>
      <w:r w:rsidRPr="00E5429C">
        <w:rPr>
          <w:rFonts w:asciiTheme="majorHAnsi" w:hAnsiTheme="majorHAnsi"/>
          <w:sz w:val="21"/>
          <w:szCs w:val="21"/>
        </w:rPr>
        <w:tab/>
      </w:r>
      <w:r w:rsidRPr="00E5429C">
        <w:rPr>
          <w:rFonts w:asciiTheme="majorHAnsi" w:hAnsiTheme="majorHAnsi"/>
          <w:sz w:val="21"/>
          <w:szCs w:val="21"/>
        </w:rPr>
        <w:tab/>
      </w:r>
    </w:p>
    <w:p w14:paraId="5C5A0F1E" w14:textId="58806A3F" w:rsidR="006B20B8" w:rsidRPr="002975B6" w:rsidRDefault="006B20B8" w:rsidP="00E5429C">
      <w:pPr>
        <w:pStyle w:val="ListParagraph"/>
        <w:tabs>
          <w:tab w:val="left" w:pos="1021"/>
        </w:tabs>
        <w:ind w:right="187" w:firstLine="0"/>
        <w:rPr>
          <w:rFonts w:asciiTheme="majorHAnsi" w:hAnsiTheme="majorHAnsi"/>
          <w:sz w:val="21"/>
          <w:szCs w:val="21"/>
        </w:rPr>
      </w:pPr>
      <w:r w:rsidRPr="006B20B8">
        <w:rPr>
          <w:rFonts w:asciiTheme="majorHAnsi" w:hAnsiTheme="majorHAnsi"/>
          <w:sz w:val="21"/>
          <w:szCs w:val="21"/>
        </w:rPr>
        <w:tab/>
      </w:r>
      <w:r w:rsidRPr="006B20B8">
        <w:rPr>
          <w:rFonts w:asciiTheme="majorHAnsi" w:hAnsiTheme="majorHAnsi"/>
          <w:sz w:val="21"/>
          <w:szCs w:val="21"/>
        </w:rPr>
        <w:tab/>
      </w:r>
    </w:p>
    <w:p w14:paraId="0172438C" w14:textId="77777777" w:rsidR="00B16860" w:rsidRPr="002975B6" w:rsidRDefault="00B16860" w:rsidP="00FA3CAC">
      <w:pPr>
        <w:pStyle w:val="BodyText"/>
        <w:ind w:left="360" w:right="180"/>
        <w:rPr>
          <w:rFonts w:asciiTheme="majorHAnsi" w:hAnsiTheme="majorHAnsi"/>
        </w:rPr>
      </w:pPr>
    </w:p>
    <w:p w14:paraId="17960856" w14:textId="619DED9E" w:rsidR="00B16860"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2">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3">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02B1A94F" w14:textId="2FF3F93C" w:rsidR="006B20B8" w:rsidRDefault="006B20B8" w:rsidP="00FA3CAC">
      <w:pPr>
        <w:pStyle w:val="BodyText"/>
        <w:ind w:left="360" w:right="180"/>
        <w:rPr>
          <w:rFonts w:asciiTheme="majorHAnsi" w:hAnsiTheme="majorHAnsi"/>
        </w:rPr>
      </w:pPr>
    </w:p>
    <w:p w14:paraId="3404B4A0" w14:textId="77777777" w:rsidR="006B20B8" w:rsidRPr="00447915" w:rsidRDefault="006B20B8" w:rsidP="006B20B8">
      <w:pPr>
        <w:ind w:left="360" w:right="180"/>
        <w:rPr>
          <w:sz w:val="21"/>
          <w:szCs w:val="21"/>
        </w:rPr>
      </w:pPr>
      <w:r w:rsidRPr="00447915">
        <w:rPr>
          <w:sz w:val="21"/>
          <w:szCs w:val="21"/>
        </w:rPr>
        <w:t>In accordance with rule </w:t>
      </w:r>
      <w:hyperlink r:id="rId14" w:tgtFrame="_blank" w:history="1">
        <w:r w:rsidRPr="00447915">
          <w:rPr>
            <w:color w:val="0000FF" w:themeColor="hyperlink"/>
            <w:sz w:val="21"/>
            <w:szCs w:val="21"/>
            <w:u w:val="single"/>
          </w:rPr>
          <w:t>§4.25 of the Texas Administrative code</w:t>
        </w:r>
      </w:hyperlink>
      <w:r w:rsidRPr="00447915">
        <w:rPr>
          <w:sz w:val="21"/>
          <w:szCs w:val="21"/>
        </w:rPr>
        <w:t>, Texas State will apply to a degree up to 66 semester credit hours from an accredited junior/community college. (At the approval of the individual college dean, 6-8 hours may be added.) At the time of transfer, all transferable work attempted at a junior/community college will be recorded on the official transcript. If the number of hours transferred from a junior college exceeds 66, the student’s chair or director will recommend to the college dean how the student will satisfy degree requirements. For more details, see the </w:t>
      </w:r>
      <w:hyperlink r:id="rId15" w:tgtFrame="_blank" w:history="1">
        <w:r w:rsidRPr="00447915">
          <w:rPr>
            <w:color w:val="0000FF" w:themeColor="hyperlink"/>
            <w:sz w:val="21"/>
            <w:szCs w:val="21"/>
            <w:u w:val="single"/>
          </w:rPr>
          <w:t>Undergraduate Admissions</w:t>
        </w:r>
      </w:hyperlink>
      <w:r w:rsidRPr="00447915">
        <w:rPr>
          <w:sz w:val="21"/>
          <w:szCs w:val="21"/>
        </w:rPr>
        <w:t> section of the Texas State undergraduate catalog.</w:t>
      </w:r>
    </w:p>
    <w:p w14:paraId="3DAD4EF6" w14:textId="77777777" w:rsidR="006B20B8" w:rsidRPr="002975B6" w:rsidRDefault="006B20B8" w:rsidP="00FA3CAC">
      <w:pPr>
        <w:pStyle w:val="BodyText"/>
        <w:ind w:left="360" w:right="180"/>
        <w:rPr>
          <w:rFonts w:asciiTheme="majorHAnsi" w:hAnsiTheme="majorHAnsi"/>
        </w:rPr>
      </w:pPr>
    </w:p>
    <w:p w14:paraId="71CA80BD" w14:textId="77777777" w:rsidR="00B16860" w:rsidRPr="002975B6" w:rsidRDefault="00B16860" w:rsidP="00FA3CAC">
      <w:pPr>
        <w:pStyle w:val="BodyText"/>
        <w:ind w:left="360" w:right="180"/>
        <w:rPr>
          <w:rFonts w:asciiTheme="majorHAnsi" w:hAnsiTheme="majorHAnsi"/>
        </w:rPr>
      </w:pPr>
    </w:p>
    <w:p w14:paraId="7AF0A314" w14:textId="77AB1396" w:rsidR="00B30C85" w:rsidRPr="00B30C85" w:rsidRDefault="000F6BB6" w:rsidP="00B30C8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A11FF68" w14:textId="77777777" w:rsidR="004F0C1F" w:rsidRPr="002975B6" w:rsidRDefault="004F0C1F" w:rsidP="0079457C"/>
    <w:p w14:paraId="71009C4A" w14:textId="77777777" w:rsidR="004F0C1F"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3F78C6AF" w:rsidR="00B16860"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176AEE89" w14:textId="2EFCEC66" w:rsidR="004F0C1F" w:rsidRPr="002975B6" w:rsidRDefault="004F0C1F"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1F5915D0" w:rsidR="00B16860" w:rsidRPr="002975B6" w:rsidRDefault="00E5429C" w:rsidP="00FA3CAC">
      <w:pPr>
        <w:pStyle w:val="BodyText"/>
        <w:ind w:left="360" w:right="180"/>
        <w:rPr>
          <w:rFonts w:asciiTheme="majorHAnsi" w:hAnsiTheme="majorHAnsi"/>
        </w:rPr>
      </w:pPr>
      <w:hyperlink r:id="rId16" w:history="1">
        <w:r w:rsidR="002975B6" w:rsidRPr="00723F43">
          <w:rPr>
            <w:rStyle w:val="Hyperlink"/>
            <w:rFonts w:asciiTheme="majorHAnsi" w:hAnsiTheme="majorHAnsi"/>
          </w:rPr>
          <w:t>www.admissions.txstate.edu</w:t>
        </w:r>
      </w:hyperlink>
    </w:p>
    <w:p w14:paraId="26D9BB5A" w14:textId="7D5B8628" w:rsidR="00B16860" w:rsidRPr="002975B6" w:rsidRDefault="00C42CCF" w:rsidP="00FA3CAC">
      <w:pPr>
        <w:pStyle w:val="BodyText"/>
        <w:ind w:left="360" w:right="180"/>
        <w:rPr>
          <w:rFonts w:asciiTheme="majorHAnsi" w:hAnsiTheme="majorHAnsi"/>
        </w:rPr>
      </w:pPr>
      <w:r>
        <w:rPr>
          <w:rFonts w:asciiTheme="majorHAnsi" w:hAnsiTheme="majorHAnsi"/>
        </w:rPr>
        <w:tab/>
      </w:r>
    </w:p>
    <w:p w14:paraId="09F540BE" w14:textId="5874BABE"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4F0C1F">
        <w:rPr>
          <w:rFonts w:asciiTheme="majorHAnsi" w:hAnsiTheme="majorHAnsi"/>
        </w:rPr>
        <w:t>Applied Arts Advising Center</w:t>
      </w:r>
    </w:p>
    <w:p w14:paraId="1B5FD400" w14:textId="6C1640EA" w:rsidR="002975B6" w:rsidRDefault="004F0C1F" w:rsidP="00FA3CAC">
      <w:pPr>
        <w:pStyle w:val="BodyText"/>
        <w:ind w:left="360" w:right="180"/>
        <w:rPr>
          <w:rFonts w:asciiTheme="majorHAnsi" w:hAnsiTheme="majorHAnsi"/>
        </w:rPr>
      </w:pPr>
      <w:r>
        <w:rPr>
          <w:rFonts w:asciiTheme="majorHAnsi" w:hAnsiTheme="majorHAnsi"/>
        </w:rPr>
        <w:t>Agriculture Building 201</w:t>
      </w:r>
    </w:p>
    <w:p w14:paraId="3F178691" w14:textId="2ED17D96" w:rsidR="002975B6" w:rsidRDefault="000F6BB6" w:rsidP="00FA3CAC">
      <w:pPr>
        <w:pStyle w:val="BodyText"/>
        <w:ind w:left="360" w:right="180"/>
        <w:rPr>
          <w:rFonts w:asciiTheme="majorHAnsi" w:hAnsiTheme="majorHAnsi"/>
        </w:rPr>
      </w:pPr>
      <w:r w:rsidRPr="002975B6">
        <w:rPr>
          <w:rFonts w:asciiTheme="majorHAnsi" w:hAnsiTheme="majorHAnsi"/>
        </w:rPr>
        <w:t>512.245.1</w:t>
      </w:r>
      <w:r w:rsidR="004F0C1F">
        <w:rPr>
          <w:rFonts w:asciiTheme="majorHAnsi" w:hAnsiTheme="majorHAnsi"/>
        </w:rPr>
        <w:t>490</w:t>
      </w:r>
      <w:r w:rsidRPr="002975B6">
        <w:rPr>
          <w:rFonts w:asciiTheme="majorHAnsi" w:hAnsiTheme="majorHAnsi"/>
        </w:rPr>
        <w:t xml:space="preserve"> </w:t>
      </w:r>
    </w:p>
    <w:p w14:paraId="20C172B8" w14:textId="32E082E2" w:rsidR="00B16860" w:rsidRPr="002975B6" w:rsidRDefault="00E5429C" w:rsidP="00FA3CAC">
      <w:pPr>
        <w:pStyle w:val="BodyText"/>
        <w:ind w:left="360" w:right="180"/>
        <w:rPr>
          <w:rFonts w:asciiTheme="majorHAnsi" w:hAnsiTheme="majorHAnsi"/>
        </w:rPr>
      </w:pPr>
      <w:hyperlink r:id="rId17" w:history="1">
        <w:r w:rsidR="00C42CCF" w:rsidRPr="00C42CCF">
          <w:rPr>
            <w:rStyle w:val="Hyperlink"/>
            <w:rFonts w:asciiTheme="majorHAnsi" w:hAnsiTheme="majorHAnsi"/>
          </w:rPr>
          <w:t>https://advising.appliedarts.txstate.edu</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05073D30" w14:textId="71DA7C3C" w:rsidR="001D14C3" w:rsidRPr="002975B6" w:rsidRDefault="00A539FA" w:rsidP="00CD1DA3">
      <w:pPr>
        <w:ind w:left="360" w:right="180"/>
        <w:jc w:val="right"/>
        <w:rPr>
          <w:b/>
          <w:i/>
          <w:sz w:val="17"/>
        </w:rPr>
      </w:pPr>
      <w:r>
        <w:rPr>
          <w:b/>
          <w:sz w:val="17"/>
        </w:rPr>
        <w:t>May 202</w:t>
      </w:r>
      <w:r w:rsidR="006B20B8">
        <w:rPr>
          <w:b/>
          <w:sz w:val="17"/>
        </w:rPr>
        <w:t>2</w:t>
      </w:r>
    </w:p>
    <w:sectPr w:rsidR="001D14C3"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7196237">
    <w:abstractNumId w:val="0"/>
  </w:num>
  <w:num w:numId="2" w16cid:durableId="1987397834">
    <w:abstractNumId w:val="2"/>
  </w:num>
  <w:num w:numId="3" w16cid:durableId="1932006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41EA1"/>
    <w:rsid w:val="00090AF8"/>
    <w:rsid w:val="000C60BB"/>
    <w:rsid w:val="000F6BB6"/>
    <w:rsid w:val="00182046"/>
    <w:rsid w:val="001D14C3"/>
    <w:rsid w:val="002529D8"/>
    <w:rsid w:val="002975B6"/>
    <w:rsid w:val="002C38F2"/>
    <w:rsid w:val="003B49D0"/>
    <w:rsid w:val="00401089"/>
    <w:rsid w:val="004F0C1F"/>
    <w:rsid w:val="00525FF8"/>
    <w:rsid w:val="00541824"/>
    <w:rsid w:val="005E45DA"/>
    <w:rsid w:val="00604A77"/>
    <w:rsid w:val="006B20B8"/>
    <w:rsid w:val="006D0F9F"/>
    <w:rsid w:val="0079457C"/>
    <w:rsid w:val="00826320"/>
    <w:rsid w:val="00A539FA"/>
    <w:rsid w:val="00AC2F6F"/>
    <w:rsid w:val="00B16860"/>
    <w:rsid w:val="00B30C85"/>
    <w:rsid w:val="00B76511"/>
    <w:rsid w:val="00BC4F3C"/>
    <w:rsid w:val="00C13710"/>
    <w:rsid w:val="00C42CCF"/>
    <w:rsid w:val="00CD1DA3"/>
    <w:rsid w:val="00E11A6D"/>
    <w:rsid w:val="00E5429C"/>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1D14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4C3"/>
    <w:rPr>
      <w:rFonts w:ascii="Segoe UI" w:eastAsia="Cambria" w:hAnsi="Segoe UI" w:cs="Segoe UI"/>
      <w:sz w:val="18"/>
      <w:szCs w:val="18"/>
      <w:lang w:bidi="en-US"/>
    </w:rPr>
  </w:style>
  <w:style w:type="character" w:styleId="FollowedHyperlink">
    <w:name w:val="FollowedHyperlink"/>
    <w:basedOn w:val="DefaultParagraphFont"/>
    <w:uiPriority w:val="99"/>
    <w:semiHidden/>
    <w:unhideWhenUsed/>
    <w:rsid w:val="00A539FA"/>
    <w:rPr>
      <w:color w:val="800080" w:themeColor="followedHyperlink"/>
      <w:u w:val="single"/>
    </w:rPr>
  </w:style>
  <w:style w:type="paragraph" w:styleId="Revision">
    <w:name w:val="Revision"/>
    <w:hidden/>
    <w:uiPriority w:val="99"/>
    <w:semiHidden/>
    <w:rsid w:val="006B20B8"/>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730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wls.txstate.edu/undergraduate-degrees/Work-life-Experience-Credit.html" TargetMode="External"/><Relationship Id="rId13" Type="http://schemas.openxmlformats.org/officeDocument/2006/relationships/hyperlink" Target="http://mycatalog.txstate.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hyperlink" Target="https://advising.appliedarts.txstate.edu/" TargetMode="External"/><Relationship Id="rId2" Type="http://schemas.openxmlformats.org/officeDocument/2006/relationships/styles" Target="styles.xml"/><Relationship Id="rId16" Type="http://schemas.openxmlformats.org/officeDocument/2006/relationships/hyperlink" Target="http://www.admissions.txstate.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mycatalog.txstate.edu/undergraduate/general-information/admissions/" TargetMode="External"/><Relationship Id="rId10" Type="http://schemas.openxmlformats.org/officeDocument/2006/relationships/hyperlink" Target="http://www.admissions.txstate.edu/future/application-dat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missions.txstate.edu/apply" TargetMode="External"/><Relationship Id="rId14" Type="http://schemas.openxmlformats.org/officeDocument/2006/relationships/hyperlink" Target="https://texreg.sos.state.tx.us/public/readtac$ext.TacPage?sl=R&amp;app=9&amp;p_dir=&amp;p_rloc=&amp;p_tloc=&amp;p_ploc=&amp;pg=1&amp;p_tac=&amp;ti=19&amp;pt=1&amp;ch=4&amp;r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4</cp:revision>
  <dcterms:created xsi:type="dcterms:W3CDTF">2022-05-11T15:29:00Z</dcterms:created>
  <dcterms:modified xsi:type="dcterms:W3CDTF">2022-06-10T20:13:00Z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