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6D75C0F8">
            <wp:extent cx="3575465"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6"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701C1458" w:rsidR="00B16860" w:rsidRPr="00041EA1" w:rsidRDefault="000F6BB6" w:rsidP="00FA3CAC">
      <w:pPr>
        <w:pStyle w:val="Heading1"/>
        <w:spacing w:before="0"/>
        <w:ind w:left="360" w:right="180"/>
        <w:jc w:val="center"/>
      </w:pPr>
      <w:r w:rsidRPr="00041EA1">
        <w:t xml:space="preserve">Transfer Planning Guide </w:t>
      </w:r>
      <w:r w:rsidR="004A36FD" w:rsidRPr="00041EA1">
        <w:t>20</w:t>
      </w:r>
      <w:r w:rsidR="004A36FD">
        <w:t>2</w:t>
      </w:r>
      <w:r w:rsidR="00F02C6E">
        <w:t>2</w:t>
      </w:r>
      <w:r w:rsidR="00B76511">
        <w:t>-</w:t>
      </w:r>
      <w:r w:rsidR="004A36FD">
        <w:t>202</w:t>
      </w:r>
      <w:r w:rsidR="00F02C6E">
        <w:t>3</w:t>
      </w:r>
    </w:p>
    <w:p w14:paraId="05016D93" w14:textId="07F0B373" w:rsidR="002827E5" w:rsidRDefault="000F6BB6" w:rsidP="000B5EE6">
      <w:pPr>
        <w:pStyle w:val="Heading2"/>
        <w:spacing w:before="0" w:line="240" w:lineRule="auto"/>
        <w:ind w:left="360" w:right="180"/>
      </w:pPr>
      <w:r w:rsidRPr="000F6BB6">
        <w:t xml:space="preserve">Major in </w:t>
      </w:r>
      <w:r w:rsidR="00B15D7D">
        <w:t>Theatre</w:t>
      </w:r>
    </w:p>
    <w:p w14:paraId="7BFFB377" w14:textId="3F5B3C06" w:rsidR="00B17D9B" w:rsidRDefault="00EC1DC9" w:rsidP="000B5EE6">
      <w:pPr>
        <w:pStyle w:val="Heading2"/>
        <w:spacing w:before="0" w:line="240" w:lineRule="auto"/>
        <w:ind w:left="360" w:right="180"/>
      </w:pPr>
      <w:r>
        <w:t>Acting Pre-Professional Concentration</w:t>
      </w:r>
    </w:p>
    <w:p w14:paraId="576B6108" w14:textId="6EDEC26C" w:rsidR="00FA3CAC" w:rsidRDefault="000F6BB6" w:rsidP="00FA3CAC">
      <w:pPr>
        <w:pStyle w:val="Heading2"/>
        <w:spacing w:before="0" w:line="240" w:lineRule="auto"/>
        <w:ind w:left="360" w:right="180"/>
      </w:pPr>
      <w:r w:rsidRPr="000F6BB6">
        <w:t xml:space="preserve">Bachelor of </w:t>
      </w:r>
      <w:r w:rsidR="00E139B3">
        <w:t>Fine Arts</w:t>
      </w:r>
      <w:r w:rsidRPr="000F6BB6">
        <w:t xml:space="preserve"> </w:t>
      </w:r>
      <w:r w:rsidR="00DA5756">
        <w:t xml:space="preserve">Degree </w:t>
      </w:r>
      <w:r w:rsidRPr="000F6BB6">
        <w:t>(B</w:t>
      </w:r>
      <w:r w:rsidR="00E139B3">
        <w:t>FA</w:t>
      </w:r>
      <w:r w:rsidRPr="000F6BB6">
        <w:t xml:space="preserve">) </w:t>
      </w:r>
    </w:p>
    <w:p w14:paraId="1271F32E" w14:textId="566F1984" w:rsidR="00B16860" w:rsidRPr="000F6BB6" w:rsidRDefault="000F6BB6" w:rsidP="00FA3CAC">
      <w:pPr>
        <w:pStyle w:val="Heading2"/>
        <w:spacing w:before="0" w:line="240" w:lineRule="auto"/>
        <w:ind w:left="360" w:right="180"/>
      </w:pPr>
      <w:r w:rsidRPr="000F6BB6">
        <w:t>1</w:t>
      </w:r>
      <w:r w:rsidR="00B15D7D">
        <w:t>2</w:t>
      </w:r>
      <w:r w:rsidR="00EC1DC9">
        <w:t>5</w:t>
      </w:r>
      <w:r w:rsidRPr="000F6BB6">
        <w:t xml:space="preserve"> Credit Hours</w:t>
      </w:r>
    </w:p>
    <w:p w14:paraId="388AF6B7" w14:textId="77777777" w:rsidR="00B16860" w:rsidRDefault="00B16860" w:rsidP="00FA3CAC">
      <w:pPr>
        <w:pStyle w:val="BodyText"/>
        <w:ind w:left="360" w:right="180"/>
        <w:rPr>
          <w:sz w:val="23"/>
        </w:rPr>
      </w:pPr>
    </w:p>
    <w:p w14:paraId="46279D80" w14:textId="77777777" w:rsidR="00B16860" w:rsidRPr="00DA074D" w:rsidRDefault="000F6BB6" w:rsidP="0079457C">
      <w:pPr>
        <w:pStyle w:val="BodyText"/>
        <w:ind w:left="360" w:right="180"/>
        <w:rPr>
          <w:rFonts w:asciiTheme="majorHAnsi" w:hAnsiTheme="majorHAnsi"/>
        </w:rPr>
      </w:pPr>
      <w:r w:rsidRPr="00DA074D">
        <w:rPr>
          <w:rFonts w:asciiTheme="majorHAnsi" w:hAnsiTheme="majorHAnsi"/>
        </w:rPr>
        <w:t xml:space="preserve">Texas Education Code Section 61.822 requires that Texas public institutions facilitate the transferability of lower-division course credit through the </w:t>
      </w:r>
      <w:r w:rsidRPr="00DA074D">
        <w:rPr>
          <w:rFonts w:asciiTheme="majorHAnsi" w:hAnsiTheme="majorHAnsi"/>
          <w:b/>
        </w:rPr>
        <w:t>Core Curriculum</w:t>
      </w:r>
      <w:r w:rsidRPr="00DA074D">
        <w:rPr>
          <w:rFonts w:asciiTheme="majorHAnsi" w:hAnsiTheme="majorHAnsi"/>
        </w:rPr>
        <w:t xml:space="preserve">. The </w:t>
      </w:r>
      <w:hyperlink r:id="rId7">
        <w:r w:rsidRPr="00DA074D">
          <w:rPr>
            <w:rFonts w:asciiTheme="majorHAnsi" w:hAnsiTheme="majorHAnsi"/>
            <w:color w:val="0000FF"/>
            <w:u w:val="single" w:color="0000FF"/>
          </w:rPr>
          <w:t>Core Curriculum</w:t>
        </w:r>
        <w:r w:rsidRPr="00DA074D">
          <w:rPr>
            <w:rFonts w:asciiTheme="majorHAnsi" w:hAnsiTheme="majorHAnsi"/>
            <w:color w:val="0000FF"/>
          </w:rPr>
          <w:t xml:space="preserve"> </w:t>
        </w:r>
      </w:hyperlink>
      <w:r w:rsidRPr="00DA074D">
        <w:rPr>
          <w:rFonts w:asciiTheme="majorHAnsi" w:hAnsiTheme="majorHAnsi"/>
        </w:rPr>
        <w:t>contains nine Foundational Component Areas (42 hours), which every Texas State student must satisfy to graduate.</w:t>
      </w:r>
    </w:p>
    <w:p w14:paraId="78D21B3A" w14:textId="77777777" w:rsidR="00B16860" w:rsidRPr="00DA074D" w:rsidRDefault="00B16860" w:rsidP="00FA3CAC">
      <w:pPr>
        <w:pStyle w:val="BodyText"/>
        <w:ind w:left="360" w:right="180"/>
        <w:rPr>
          <w:rFonts w:asciiTheme="majorHAnsi" w:hAnsiTheme="majorHAnsi"/>
        </w:rPr>
      </w:pPr>
    </w:p>
    <w:p w14:paraId="2F6B7735" w14:textId="77777777" w:rsidR="00B16860" w:rsidRPr="00DA074D" w:rsidRDefault="000F6BB6" w:rsidP="00FA3CAC">
      <w:pPr>
        <w:pStyle w:val="BodyText"/>
        <w:ind w:left="360" w:right="180"/>
        <w:jc w:val="both"/>
        <w:rPr>
          <w:rFonts w:asciiTheme="majorHAnsi" w:hAnsiTheme="majorHAnsi"/>
        </w:rPr>
      </w:pPr>
      <w:r w:rsidRPr="00DA074D">
        <w:rPr>
          <w:rFonts w:asciiTheme="majorHAnsi" w:hAnsiTheme="majorHAnsi"/>
        </w:rPr>
        <w:t>Texas</w:t>
      </w:r>
      <w:r w:rsidRPr="00DA074D">
        <w:rPr>
          <w:rFonts w:asciiTheme="majorHAnsi" w:hAnsiTheme="majorHAnsi"/>
          <w:spacing w:val="-7"/>
        </w:rPr>
        <w:t xml:space="preserve"> </w:t>
      </w:r>
      <w:r w:rsidRPr="00DA074D">
        <w:rPr>
          <w:rFonts w:asciiTheme="majorHAnsi" w:hAnsiTheme="majorHAnsi"/>
        </w:rPr>
        <w:t>State</w:t>
      </w:r>
      <w:r w:rsidRPr="00DA074D">
        <w:rPr>
          <w:rFonts w:asciiTheme="majorHAnsi" w:hAnsiTheme="majorHAnsi"/>
          <w:spacing w:val="-7"/>
        </w:rPr>
        <w:t xml:space="preserve"> </w:t>
      </w:r>
      <w:r w:rsidRPr="00DA074D">
        <w:rPr>
          <w:rFonts w:asciiTheme="majorHAnsi" w:hAnsiTheme="majorHAnsi"/>
        </w:rPr>
        <w:t>is</w:t>
      </w:r>
      <w:r w:rsidRPr="00DA074D">
        <w:rPr>
          <w:rFonts w:asciiTheme="majorHAnsi" w:hAnsiTheme="majorHAnsi"/>
          <w:spacing w:val="-7"/>
        </w:rPr>
        <w:t xml:space="preserve"> </w:t>
      </w:r>
      <w:r w:rsidRPr="00DA074D">
        <w:rPr>
          <w:rFonts w:asciiTheme="majorHAnsi" w:hAnsiTheme="majorHAnsi"/>
        </w:rPr>
        <w:t>a</w:t>
      </w:r>
      <w:r w:rsidRPr="00DA074D">
        <w:rPr>
          <w:rFonts w:asciiTheme="majorHAnsi" w:hAnsiTheme="majorHAnsi"/>
          <w:spacing w:val="-7"/>
        </w:rPr>
        <w:t xml:space="preserve"> </w:t>
      </w:r>
      <w:r w:rsidRPr="00DA074D">
        <w:rPr>
          <w:rFonts w:asciiTheme="majorHAnsi" w:hAnsiTheme="majorHAnsi"/>
        </w:rPr>
        <w:t>participant</w:t>
      </w:r>
      <w:r w:rsidRPr="00DA074D">
        <w:rPr>
          <w:rFonts w:asciiTheme="majorHAnsi" w:hAnsiTheme="majorHAnsi"/>
          <w:spacing w:val="-7"/>
        </w:rPr>
        <w:t xml:space="preserve"> </w:t>
      </w:r>
      <w:r w:rsidRPr="00DA074D">
        <w:rPr>
          <w:rFonts w:asciiTheme="majorHAnsi" w:hAnsiTheme="majorHAnsi"/>
        </w:rPr>
        <w:t>in</w:t>
      </w:r>
      <w:r w:rsidRPr="00DA074D">
        <w:rPr>
          <w:rFonts w:asciiTheme="majorHAnsi" w:hAnsiTheme="majorHAnsi"/>
          <w:spacing w:val="-7"/>
        </w:rPr>
        <w:t xml:space="preserve"> </w:t>
      </w:r>
      <w:r w:rsidRPr="00DA074D">
        <w:rPr>
          <w:rFonts w:asciiTheme="majorHAnsi" w:hAnsiTheme="majorHAnsi"/>
        </w:rPr>
        <w:t>the</w:t>
      </w:r>
      <w:r w:rsidRPr="00DA074D">
        <w:rPr>
          <w:rFonts w:asciiTheme="majorHAnsi" w:hAnsiTheme="majorHAnsi"/>
          <w:spacing w:val="-8"/>
        </w:rPr>
        <w:t xml:space="preserve"> </w:t>
      </w:r>
      <w:r w:rsidRPr="00DA074D">
        <w:rPr>
          <w:rFonts w:asciiTheme="majorHAnsi" w:hAnsiTheme="majorHAnsi"/>
        </w:rPr>
        <w:t>*</w:t>
      </w:r>
      <w:r w:rsidRPr="00DA074D">
        <w:rPr>
          <w:rFonts w:asciiTheme="majorHAnsi" w:hAnsiTheme="majorHAnsi"/>
          <w:b/>
        </w:rPr>
        <w:t>Texas</w:t>
      </w:r>
      <w:r w:rsidRPr="00DA074D">
        <w:rPr>
          <w:rFonts w:asciiTheme="majorHAnsi" w:hAnsiTheme="majorHAnsi"/>
          <w:b/>
          <w:spacing w:val="-8"/>
        </w:rPr>
        <w:t xml:space="preserve"> </w:t>
      </w:r>
      <w:r w:rsidRPr="00DA074D">
        <w:rPr>
          <w:rFonts w:asciiTheme="majorHAnsi" w:hAnsiTheme="majorHAnsi"/>
          <w:b/>
        </w:rPr>
        <w:t>Common</w:t>
      </w:r>
      <w:r w:rsidRPr="00DA074D">
        <w:rPr>
          <w:rFonts w:asciiTheme="majorHAnsi" w:hAnsiTheme="majorHAnsi"/>
          <w:b/>
          <w:spacing w:val="-8"/>
        </w:rPr>
        <w:t xml:space="preserve"> </w:t>
      </w:r>
      <w:r w:rsidRPr="00DA074D">
        <w:rPr>
          <w:rFonts w:asciiTheme="majorHAnsi" w:hAnsiTheme="majorHAnsi"/>
          <w:b/>
        </w:rPr>
        <w:t>Course</w:t>
      </w:r>
      <w:r w:rsidRPr="00DA074D">
        <w:rPr>
          <w:rFonts w:asciiTheme="majorHAnsi" w:hAnsiTheme="majorHAnsi"/>
          <w:b/>
          <w:spacing w:val="-8"/>
        </w:rPr>
        <w:t xml:space="preserve"> </w:t>
      </w:r>
      <w:r w:rsidRPr="00DA074D">
        <w:rPr>
          <w:rFonts w:asciiTheme="majorHAnsi" w:hAnsiTheme="majorHAnsi"/>
          <w:b/>
        </w:rPr>
        <w:t>Numbering</w:t>
      </w:r>
      <w:r w:rsidRPr="00DA074D">
        <w:rPr>
          <w:rFonts w:asciiTheme="majorHAnsi" w:hAnsiTheme="majorHAnsi"/>
          <w:b/>
          <w:spacing w:val="-7"/>
        </w:rPr>
        <w:t xml:space="preserve"> </w:t>
      </w:r>
      <w:r w:rsidRPr="00DA074D">
        <w:rPr>
          <w:rFonts w:asciiTheme="majorHAnsi" w:hAnsiTheme="majorHAnsi"/>
          <w:b/>
        </w:rPr>
        <w:t>System</w:t>
      </w:r>
      <w:r w:rsidRPr="00DA074D">
        <w:rPr>
          <w:rFonts w:asciiTheme="majorHAnsi" w:hAnsiTheme="majorHAnsi"/>
          <w:b/>
          <w:spacing w:val="-6"/>
        </w:rPr>
        <w:t xml:space="preserve"> </w:t>
      </w:r>
      <w:hyperlink r:id="rId8">
        <w:r w:rsidRPr="00DA074D">
          <w:rPr>
            <w:rFonts w:asciiTheme="majorHAnsi" w:hAnsiTheme="majorHAnsi"/>
          </w:rPr>
          <w:t>(</w:t>
        </w:r>
        <w:r w:rsidRPr="00DA074D">
          <w:rPr>
            <w:rFonts w:asciiTheme="majorHAnsi" w:hAnsiTheme="majorHAnsi"/>
            <w:color w:val="0000FF"/>
            <w:u w:val="single" w:color="0000FF"/>
          </w:rPr>
          <w:t>TCCNS</w:t>
        </w:r>
        <w:r w:rsidRPr="00DA074D">
          <w:rPr>
            <w:rFonts w:asciiTheme="majorHAnsi" w:hAnsiTheme="majorHAnsi"/>
          </w:rPr>
          <w:t>).</w:t>
        </w:r>
        <w:r w:rsidRPr="00DA074D">
          <w:rPr>
            <w:rFonts w:asciiTheme="majorHAnsi" w:hAnsiTheme="majorHAnsi"/>
            <w:spacing w:val="-7"/>
          </w:rPr>
          <w:t xml:space="preserve"> </w:t>
        </w:r>
      </w:hyperlink>
      <w:r w:rsidRPr="00DA074D">
        <w:rPr>
          <w:rFonts w:asciiTheme="majorHAnsi" w:hAnsiTheme="majorHAnsi"/>
        </w:rPr>
        <w:t>Use</w:t>
      </w:r>
      <w:r w:rsidRPr="00DA074D">
        <w:rPr>
          <w:rFonts w:asciiTheme="majorHAnsi" w:hAnsiTheme="majorHAnsi"/>
          <w:spacing w:val="-7"/>
        </w:rPr>
        <w:t xml:space="preserve"> </w:t>
      </w:r>
      <w:r w:rsidRPr="00DA074D">
        <w:rPr>
          <w:rFonts w:asciiTheme="majorHAnsi" w:hAnsiTheme="majorHAnsi"/>
        </w:rPr>
        <w:t>the</w:t>
      </w:r>
      <w:r w:rsidRPr="00DA074D">
        <w:rPr>
          <w:rFonts w:asciiTheme="majorHAnsi" w:hAnsiTheme="majorHAnsi"/>
          <w:spacing w:val="-7"/>
        </w:rPr>
        <w:t xml:space="preserve"> </w:t>
      </w:r>
      <w:r w:rsidRPr="00DA074D">
        <w:rPr>
          <w:rFonts w:asciiTheme="majorHAnsi" w:hAnsiTheme="majorHAnsi"/>
        </w:rPr>
        <w:t>TCCNS</w:t>
      </w:r>
      <w:r w:rsidRPr="00DA074D">
        <w:rPr>
          <w:rFonts w:asciiTheme="majorHAnsi" w:hAnsiTheme="majorHAnsi"/>
          <w:spacing w:val="-6"/>
        </w:rPr>
        <w:t xml:space="preserve"> </w:t>
      </w:r>
      <w:r w:rsidRPr="00DA074D">
        <w:rPr>
          <w:rFonts w:asciiTheme="majorHAnsi" w:hAnsiTheme="majorHAnsi"/>
        </w:rPr>
        <w:t>to</w:t>
      </w:r>
      <w:r w:rsidRPr="00DA074D">
        <w:rPr>
          <w:rFonts w:asciiTheme="majorHAnsi" w:hAnsiTheme="majorHAnsi"/>
          <w:spacing w:val="-7"/>
        </w:rPr>
        <w:t xml:space="preserve"> </w:t>
      </w:r>
      <w:r w:rsidRPr="00DA074D">
        <w:rPr>
          <w:rFonts w:asciiTheme="majorHAnsi" w:hAnsiTheme="majorHAnsi"/>
        </w:rPr>
        <w:t>find courses you can take at your institution to ensure transfer of credit toward freshman- and sophomore- level degree requirements at Texas</w:t>
      </w:r>
      <w:r w:rsidRPr="00DA074D">
        <w:rPr>
          <w:rFonts w:asciiTheme="majorHAnsi" w:hAnsiTheme="majorHAnsi"/>
          <w:spacing w:val="-5"/>
        </w:rPr>
        <w:t xml:space="preserve"> </w:t>
      </w:r>
      <w:r w:rsidRPr="00DA074D">
        <w:rPr>
          <w:rFonts w:asciiTheme="majorHAnsi" w:hAnsiTheme="majorHAnsi"/>
        </w:rPr>
        <w:t>State.</w:t>
      </w:r>
    </w:p>
    <w:p w14:paraId="48C8FEE6" w14:textId="77777777" w:rsidR="00B16860" w:rsidRPr="00DA074D"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DA074D" w14:paraId="59EA30EA" w14:textId="77777777" w:rsidTr="00FA3CAC">
        <w:trPr>
          <w:trHeight w:val="247"/>
          <w:tblHeader/>
        </w:trPr>
        <w:tc>
          <w:tcPr>
            <w:tcW w:w="630" w:type="dxa"/>
          </w:tcPr>
          <w:p w14:paraId="1B7BD4E0" w14:textId="0980CA08" w:rsidR="00C13710" w:rsidRPr="00DA074D" w:rsidRDefault="00FA3CAC"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Code</w:t>
            </w:r>
          </w:p>
        </w:tc>
        <w:tc>
          <w:tcPr>
            <w:tcW w:w="3150" w:type="dxa"/>
          </w:tcPr>
          <w:p w14:paraId="78A25343" w14:textId="44F851B4" w:rsidR="00C13710" w:rsidRPr="00DA074D" w:rsidRDefault="00C13710"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Course</w:t>
            </w:r>
          </w:p>
        </w:tc>
        <w:tc>
          <w:tcPr>
            <w:tcW w:w="6310" w:type="dxa"/>
          </w:tcPr>
          <w:p w14:paraId="066132E5" w14:textId="1952AE11" w:rsidR="00C13710" w:rsidRPr="00DA074D" w:rsidRDefault="00C13710"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Required Hours</w:t>
            </w:r>
          </w:p>
        </w:tc>
      </w:tr>
      <w:tr w:rsidR="00B16860" w:rsidRPr="00DA074D" w14:paraId="00952CDF" w14:textId="77777777" w:rsidTr="00FA3CAC">
        <w:trPr>
          <w:trHeight w:val="247"/>
        </w:trPr>
        <w:tc>
          <w:tcPr>
            <w:tcW w:w="630" w:type="dxa"/>
          </w:tcPr>
          <w:p w14:paraId="61E7A4CE"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010</w:t>
            </w:r>
          </w:p>
        </w:tc>
        <w:tc>
          <w:tcPr>
            <w:tcW w:w="3150" w:type="dxa"/>
          </w:tcPr>
          <w:p w14:paraId="0EAA5838"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Communication</w:t>
            </w:r>
          </w:p>
        </w:tc>
        <w:tc>
          <w:tcPr>
            <w:tcW w:w="6310" w:type="dxa"/>
          </w:tcPr>
          <w:p w14:paraId="3807069B" w14:textId="2A9EB756"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6 required hours</w:t>
            </w:r>
          </w:p>
        </w:tc>
      </w:tr>
      <w:tr w:rsidR="00B16860" w:rsidRPr="00DA074D" w14:paraId="36DB38E2" w14:textId="77777777" w:rsidTr="00FA3CAC">
        <w:trPr>
          <w:trHeight w:val="245"/>
        </w:trPr>
        <w:tc>
          <w:tcPr>
            <w:tcW w:w="630" w:type="dxa"/>
          </w:tcPr>
          <w:p w14:paraId="75E72234"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020</w:t>
            </w:r>
          </w:p>
        </w:tc>
        <w:tc>
          <w:tcPr>
            <w:tcW w:w="3150" w:type="dxa"/>
          </w:tcPr>
          <w:p w14:paraId="3F1811C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Mathematics</w:t>
            </w:r>
          </w:p>
        </w:tc>
        <w:tc>
          <w:tcPr>
            <w:tcW w:w="6310" w:type="dxa"/>
          </w:tcPr>
          <w:p w14:paraId="196E4860" w14:textId="7376466A"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23CB023D" w14:textId="77777777" w:rsidTr="00FA3CAC">
        <w:trPr>
          <w:trHeight w:val="246"/>
        </w:trPr>
        <w:tc>
          <w:tcPr>
            <w:tcW w:w="630" w:type="dxa"/>
          </w:tcPr>
          <w:p w14:paraId="1321FDD0"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030</w:t>
            </w:r>
          </w:p>
        </w:tc>
        <w:tc>
          <w:tcPr>
            <w:tcW w:w="3150" w:type="dxa"/>
          </w:tcPr>
          <w:p w14:paraId="1A12C186"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Life and Physical Sciences</w:t>
            </w:r>
          </w:p>
        </w:tc>
        <w:tc>
          <w:tcPr>
            <w:tcW w:w="6310" w:type="dxa"/>
          </w:tcPr>
          <w:p w14:paraId="5C96E48E" w14:textId="6BC35CF0"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0B5563CA" w14:textId="77777777" w:rsidTr="00FA3CAC">
        <w:trPr>
          <w:trHeight w:val="246"/>
        </w:trPr>
        <w:tc>
          <w:tcPr>
            <w:tcW w:w="630" w:type="dxa"/>
          </w:tcPr>
          <w:p w14:paraId="3E21B228"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040</w:t>
            </w:r>
          </w:p>
        </w:tc>
        <w:tc>
          <w:tcPr>
            <w:tcW w:w="3150" w:type="dxa"/>
          </w:tcPr>
          <w:p w14:paraId="2DBC73C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Language, Philosophy &amp; Culture</w:t>
            </w:r>
          </w:p>
        </w:tc>
        <w:tc>
          <w:tcPr>
            <w:tcW w:w="6310" w:type="dxa"/>
          </w:tcPr>
          <w:p w14:paraId="31B1C167" w14:textId="0D84618B"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7BB59567" w14:textId="77777777" w:rsidTr="00FA3CAC">
        <w:trPr>
          <w:trHeight w:val="245"/>
        </w:trPr>
        <w:tc>
          <w:tcPr>
            <w:tcW w:w="630" w:type="dxa"/>
          </w:tcPr>
          <w:p w14:paraId="65E1E7EA"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050</w:t>
            </w:r>
          </w:p>
        </w:tc>
        <w:tc>
          <w:tcPr>
            <w:tcW w:w="3150" w:type="dxa"/>
          </w:tcPr>
          <w:p w14:paraId="268AEA4E"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Creative Arts</w:t>
            </w:r>
          </w:p>
        </w:tc>
        <w:tc>
          <w:tcPr>
            <w:tcW w:w="6310" w:type="dxa"/>
          </w:tcPr>
          <w:p w14:paraId="3A4B7433" w14:textId="75FA3EDE"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3 required hours</w:t>
            </w:r>
          </w:p>
        </w:tc>
      </w:tr>
      <w:tr w:rsidR="00B16860" w:rsidRPr="00DA074D" w14:paraId="72469CDD" w14:textId="77777777" w:rsidTr="00FA3CAC">
        <w:trPr>
          <w:trHeight w:val="246"/>
        </w:trPr>
        <w:tc>
          <w:tcPr>
            <w:tcW w:w="630" w:type="dxa"/>
          </w:tcPr>
          <w:p w14:paraId="0031783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060</w:t>
            </w:r>
          </w:p>
        </w:tc>
        <w:tc>
          <w:tcPr>
            <w:tcW w:w="3150" w:type="dxa"/>
          </w:tcPr>
          <w:p w14:paraId="04DCDFAC"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American History</w:t>
            </w:r>
          </w:p>
        </w:tc>
        <w:tc>
          <w:tcPr>
            <w:tcW w:w="6310" w:type="dxa"/>
          </w:tcPr>
          <w:p w14:paraId="287D843B" w14:textId="5EB2DD3B"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79D8DEF5" w14:textId="77777777" w:rsidTr="00FA3CAC">
        <w:trPr>
          <w:trHeight w:val="246"/>
        </w:trPr>
        <w:tc>
          <w:tcPr>
            <w:tcW w:w="630" w:type="dxa"/>
          </w:tcPr>
          <w:p w14:paraId="19FCC49C"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070</w:t>
            </w:r>
          </w:p>
        </w:tc>
        <w:tc>
          <w:tcPr>
            <w:tcW w:w="3150" w:type="dxa"/>
          </w:tcPr>
          <w:p w14:paraId="110F495A"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Government/Political Science</w:t>
            </w:r>
          </w:p>
        </w:tc>
        <w:tc>
          <w:tcPr>
            <w:tcW w:w="6310" w:type="dxa"/>
          </w:tcPr>
          <w:p w14:paraId="127DA969" w14:textId="7152B8B1"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35F9F66E" w14:textId="77777777" w:rsidTr="00FA3CAC">
        <w:trPr>
          <w:trHeight w:val="247"/>
        </w:trPr>
        <w:tc>
          <w:tcPr>
            <w:tcW w:w="630" w:type="dxa"/>
          </w:tcPr>
          <w:p w14:paraId="0FEE5797"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080</w:t>
            </w:r>
          </w:p>
        </w:tc>
        <w:tc>
          <w:tcPr>
            <w:tcW w:w="3150" w:type="dxa"/>
          </w:tcPr>
          <w:p w14:paraId="45A2F5A0"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Social and Behavioral Sciences</w:t>
            </w:r>
          </w:p>
        </w:tc>
        <w:tc>
          <w:tcPr>
            <w:tcW w:w="6310" w:type="dxa"/>
          </w:tcPr>
          <w:p w14:paraId="17B5D6B1" w14:textId="6D9576EA"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51298485" w14:textId="77777777" w:rsidTr="00FA3CAC">
        <w:trPr>
          <w:trHeight w:val="247"/>
        </w:trPr>
        <w:tc>
          <w:tcPr>
            <w:tcW w:w="630" w:type="dxa"/>
          </w:tcPr>
          <w:p w14:paraId="516FA14B"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090</w:t>
            </w:r>
          </w:p>
        </w:tc>
        <w:tc>
          <w:tcPr>
            <w:tcW w:w="3150" w:type="dxa"/>
          </w:tcPr>
          <w:p w14:paraId="428B9117"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Component Area Option</w:t>
            </w:r>
          </w:p>
        </w:tc>
        <w:tc>
          <w:tcPr>
            <w:tcW w:w="6310" w:type="dxa"/>
          </w:tcPr>
          <w:p w14:paraId="7F49E6D5" w14:textId="06138FC9"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6 required hours</w:t>
            </w:r>
            <w:r w:rsidR="000239C9">
              <w:rPr>
                <w:rFonts w:asciiTheme="majorHAnsi" w:hAnsiTheme="majorHAnsi"/>
                <w:sz w:val="21"/>
                <w:szCs w:val="21"/>
              </w:rPr>
              <w:t xml:space="preserve"> </w:t>
            </w:r>
            <w:r w:rsidR="000239C9" w:rsidRPr="00DA074D">
              <w:rPr>
                <w:rFonts w:asciiTheme="majorHAnsi" w:hAnsiTheme="majorHAnsi"/>
                <w:i/>
                <w:sz w:val="21"/>
                <w:szCs w:val="21"/>
              </w:rPr>
              <w:t>(see Recommended Core Curriculum Choices below)</w:t>
            </w:r>
          </w:p>
        </w:tc>
      </w:tr>
    </w:tbl>
    <w:p w14:paraId="40CDC7FF" w14:textId="77777777" w:rsidR="00B16860" w:rsidRPr="00DA074D" w:rsidRDefault="00B16860" w:rsidP="00FA3CAC">
      <w:pPr>
        <w:pStyle w:val="BodyText"/>
        <w:ind w:left="360" w:right="180"/>
        <w:rPr>
          <w:rFonts w:asciiTheme="majorHAnsi" w:hAnsiTheme="majorHAnsi"/>
        </w:rPr>
      </w:pPr>
    </w:p>
    <w:p w14:paraId="317E47C5" w14:textId="77777777" w:rsidR="00B16860" w:rsidRPr="00DA074D" w:rsidRDefault="000F6BB6" w:rsidP="00FA3CAC">
      <w:pPr>
        <w:ind w:left="360" w:right="180"/>
        <w:rPr>
          <w:rFonts w:asciiTheme="majorHAnsi" w:hAnsiTheme="majorHAnsi"/>
          <w:i/>
          <w:sz w:val="21"/>
          <w:szCs w:val="21"/>
        </w:rPr>
      </w:pPr>
      <w:r w:rsidRPr="00DA074D">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DA074D" w:rsidRDefault="00B16860" w:rsidP="00FA3CAC">
      <w:pPr>
        <w:pStyle w:val="BodyText"/>
        <w:ind w:left="360" w:right="180"/>
        <w:rPr>
          <w:rFonts w:asciiTheme="majorHAnsi" w:hAnsiTheme="majorHAnsi"/>
          <w:i/>
        </w:rPr>
      </w:pPr>
    </w:p>
    <w:p w14:paraId="3D874B93" w14:textId="26E1B97D" w:rsidR="00B16860" w:rsidRPr="00DA074D" w:rsidRDefault="000F6BB6" w:rsidP="002975B6">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AD</w:t>
      </w:r>
      <w:r w:rsidR="00EC1DC9">
        <w:rPr>
          <w:rFonts w:asciiTheme="majorHAnsi" w:hAnsiTheme="majorHAnsi"/>
          <w:sz w:val="21"/>
          <w:szCs w:val="21"/>
        </w:rPr>
        <w:t>MITTANCE</w:t>
      </w:r>
      <w:r w:rsidRPr="00DA074D">
        <w:rPr>
          <w:rFonts w:asciiTheme="majorHAnsi" w:hAnsiTheme="majorHAnsi"/>
          <w:sz w:val="21"/>
          <w:szCs w:val="21"/>
        </w:rPr>
        <w:t xml:space="preserve"> REQUIREMENTS</w:t>
      </w:r>
      <w:r w:rsidR="00EC1DC9">
        <w:rPr>
          <w:rFonts w:asciiTheme="majorHAnsi" w:hAnsiTheme="majorHAnsi"/>
          <w:sz w:val="21"/>
          <w:szCs w:val="21"/>
        </w:rPr>
        <w:t>:</w:t>
      </w:r>
    </w:p>
    <w:p w14:paraId="35FD50CD" w14:textId="77777777" w:rsidR="00DA5756" w:rsidRDefault="00DA5756" w:rsidP="00EC1DC9">
      <w:pPr>
        <w:tabs>
          <w:tab w:val="left" w:pos="270"/>
        </w:tabs>
        <w:rPr>
          <w:rFonts w:asciiTheme="majorHAnsi" w:hAnsiTheme="majorHAnsi"/>
          <w:sz w:val="21"/>
          <w:szCs w:val="21"/>
        </w:rPr>
      </w:pPr>
    </w:p>
    <w:p w14:paraId="5B43BD86" w14:textId="17F7E26D" w:rsidR="00EC1DC9" w:rsidRDefault="00EC1DC9" w:rsidP="00EC1DC9">
      <w:pPr>
        <w:ind w:left="360"/>
        <w:rPr>
          <w:rFonts w:eastAsiaTheme="minorHAnsi" w:cstheme="minorBidi"/>
          <w:sz w:val="21"/>
          <w:szCs w:val="21"/>
          <w:lang w:bidi="ar-SA"/>
        </w:rPr>
      </w:pPr>
      <w:r>
        <w:rPr>
          <w:rFonts w:asciiTheme="majorHAnsi" w:hAnsiTheme="majorHAnsi"/>
          <w:sz w:val="21"/>
          <w:szCs w:val="21"/>
        </w:rPr>
        <w:t>Admission</w:t>
      </w:r>
      <w:r w:rsidR="00DA5756" w:rsidRPr="00DA5756">
        <w:rPr>
          <w:rFonts w:asciiTheme="majorHAnsi" w:hAnsiTheme="majorHAnsi"/>
          <w:sz w:val="21"/>
          <w:szCs w:val="21"/>
        </w:rPr>
        <w:t xml:space="preserve"> </w:t>
      </w:r>
      <w:r>
        <w:rPr>
          <w:sz w:val="21"/>
          <w:szCs w:val="21"/>
        </w:rPr>
        <w:t xml:space="preserve">to the BFA in Theatre with Acting Concentration program is highly competitive and based on an audition/interview with the Bachelor of Fine Arts Review Committee. Prospective students audition during </w:t>
      </w:r>
    </w:p>
    <w:p w14:paraId="1D87312B" w14:textId="7098BCF7" w:rsidR="00EC1DC9" w:rsidRPr="00EC1DC9" w:rsidRDefault="00EC1DC9" w:rsidP="00EC1DC9">
      <w:pPr>
        <w:ind w:left="360" w:right="90"/>
        <w:rPr>
          <w:rFonts w:eastAsiaTheme="minorHAnsi" w:cstheme="minorBidi"/>
          <w:sz w:val="21"/>
          <w:szCs w:val="21"/>
          <w:lang w:bidi="ar-SA"/>
        </w:rPr>
      </w:pPr>
      <w:r>
        <w:rPr>
          <w:sz w:val="21"/>
          <w:szCs w:val="21"/>
        </w:rPr>
        <w:t>their senior year of high school. Interested transfer students must</w:t>
      </w:r>
      <w:r w:rsidR="00DA5756" w:rsidRPr="00DA5756">
        <w:rPr>
          <w:rFonts w:asciiTheme="majorHAnsi" w:hAnsiTheme="majorHAnsi"/>
          <w:sz w:val="21"/>
          <w:szCs w:val="21"/>
        </w:rPr>
        <w:t xml:space="preserve"> contact the </w:t>
      </w:r>
      <w:hyperlink r:id="rId9" w:history="1">
        <w:r w:rsidR="00DA5756" w:rsidRPr="00DA5756">
          <w:rPr>
            <w:rStyle w:val="Hyperlink"/>
            <w:rFonts w:asciiTheme="majorHAnsi" w:hAnsiTheme="majorHAnsi"/>
            <w:sz w:val="21"/>
            <w:szCs w:val="21"/>
          </w:rPr>
          <w:t>Department of Theatre and Dance</w:t>
        </w:r>
      </w:hyperlink>
      <w:r w:rsidR="00DA5756" w:rsidRPr="00DA5756">
        <w:rPr>
          <w:rFonts w:asciiTheme="majorHAnsi" w:hAnsiTheme="majorHAnsi"/>
          <w:sz w:val="21"/>
          <w:szCs w:val="21"/>
        </w:rPr>
        <w:t xml:space="preserve"> </w:t>
      </w:r>
      <w:r>
        <w:rPr>
          <w:sz w:val="21"/>
          <w:szCs w:val="21"/>
        </w:rPr>
        <w:t>to see if there are any available slots in their class level; typically, transfer students require more than the usual four years to complete their degree. Students in the program are always on probation, with their work and progress continually evaluated. There is a formal review at the end of the sophomore year that determines whether each student may advance to the upper-level training.</w:t>
      </w:r>
    </w:p>
    <w:p w14:paraId="6E3E9A59" w14:textId="2666D5A8" w:rsidR="00BE09DE" w:rsidRDefault="00BE09DE" w:rsidP="00756DA5">
      <w:pPr>
        <w:tabs>
          <w:tab w:val="left" w:pos="270"/>
        </w:tabs>
        <w:ind w:left="360"/>
        <w:rPr>
          <w:rFonts w:asciiTheme="majorHAnsi" w:hAnsiTheme="majorHAnsi"/>
          <w:sz w:val="21"/>
          <w:szCs w:val="21"/>
        </w:rPr>
      </w:pPr>
    </w:p>
    <w:p w14:paraId="352A384C" w14:textId="0A6D965F" w:rsidR="00E139B3" w:rsidRPr="00DA5756" w:rsidRDefault="00DA5756" w:rsidP="00756DA5">
      <w:pPr>
        <w:tabs>
          <w:tab w:val="left" w:pos="270"/>
        </w:tabs>
        <w:ind w:left="360"/>
        <w:rPr>
          <w:rFonts w:asciiTheme="majorHAnsi" w:hAnsiTheme="majorHAnsi"/>
          <w:sz w:val="21"/>
          <w:szCs w:val="21"/>
        </w:rPr>
      </w:pPr>
      <w:r w:rsidRPr="00DA5756">
        <w:rPr>
          <w:rFonts w:asciiTheme="majorHAnsi" w:hAnsiTheme="majorHAnsi"/>
          <w:sz w:val="21"/>
          <w:szCs w:val="21"/>
        </w:rPr>
        <w:t>A minimum of</w:t>
      </w:r>
      <w:r w:rsidR="00B15D7D" w:rsidRPr="00DA5756">
        <w:rPr>
          <w:rFonts w:asciiTheme="majorHAnsi" w:hAnsiTheme="majorHAnsi"/>
          <w:sz w:val="21"/>
          <w:szCs w:val="21"/>
        </w:rPr>
        <w:t xml:space="preserve"> </w:t>
      </w:r>
      <w:r w:rsidR="00EC1DC9">
        <w:rPr>
          <w:rFonts w:asciiTheme="majorHAnsi" w:hAnsiTheme="majorHAnsi"/>
          <w:sz w:val="21"/>
          <w:szCs w:val="21"/>
        </w:rPr>
        <w:t>4</w:t>
      </w:r>
      <w:r w:rsidR="00B15D7D" w:rsidRPr="00DA5756">
        <w:rPr>
          <w:rFonts w:asciiTheme="majorHAnsi" w:hAnsiTheme="majorHAnsi"/>
          <w:sz w:val="21"/>
          <w:szCs w:val="21"/>
        </w:rPr>
        <w:t xml:space="preserve"> years of residency at Texas State University</w:t>
      </w:r>
      <w:r w:rsidRPr="00DA5756">
        <w:rPr>
          <w:rFonts w:asciiTheme="majorHAnsi" w:hAnsiTheme="majorHAnsi"/>
          <w:sz w:val="21"/>
          <w:szCs w:val="21"/>
        </w:rPr>
        <w:t xml:space="preserve"> </w:t>
      </w:r>
      <w:r w:rsidR="00EC1DC9">
        <w:rPr>
          <w:rFonts w:asciiTheme="majorHAnsi" w:hAnsiTheme="majorHAnsi"/>
          <w:sz w:val="21"/>
          <w:szCs w:val="21"/>
        </w:rPr>
        <w:t>is required for</w:t>
      </w:r>
      <w:r w:rsidRPr="00DA5756">
        <w:rPr>
          <w:rFonts w:asciiTheme="majorHAnsi" w:hAnsiTheme="majorHAnsi"/>
          <w:sz w:val="21"/>
          <w:szCs w:val="21"/>
        </w:rPr>
        <w:t xml:space="preserve"> this degree</w:t>
      </w:r>
      <w:r w:rsidR="00756DA5" w:rsidRPr="00DA5756">
        <w:rPr>
          <w:rFonts w:asciiTheme="majorHAnsi" w:hAnsiTheme="majorHAnsi"/>
          <w:sz w:val="21"/>
          <w:szCs w:val="21"/>
        </w:rPr>
        <w:t>.</w:t>
      </w:r>
    </w:p>
    <w:p w14:paraId="1D006D93" w14:textId="77777777" w:rsidR="00B15D7D" w:rsidRPr="00756DA5" w:rsidRDefault="00B15D7D" w:rsidP="00756DA5">
      <w:pPr>
        <w:tabs>
          <w:tab w:val="left" w:pos="270"/>
        </w:tabs>
        <w:ind w:left="360"/>
        <w:rPr>
          <w:rFonts w:asciiTheme="majorHAnsi" w:hAnsiTheme="majorHAnsi"/>
          <w:i/>
          <w:iCs/>
          <w:sz w:val="21"/>
          <w:szCs w:val="21"/>
        </w:rPr>
      </w:pPr>
    </w:p>
    <w:p w14:paraId="0AC82290" w14:textId="77777777" w:rsidR="00DA5756" w:rsidRDefault="00DA5756">
      <w:pPr>
        <w:rPr>
          <w:rFonts w:asciiTheme="majorHAnsi" w:hAnsiTheme="majorHAnsi"/>
          <w:sz w:val="21"/>
          <w:szCs w:val="21"/>
        </w:rPr>
      </w:pPr>
      <w:r>
        <w:rPr>
          <w:rFonts w:asciiTheme="majorHAnsi" w:hAnsiTheme="majorHAnsi"/>
          <w:sz w:val="21"/>
          <w:szCs w:val="21"/>
        </w:rPr>
        <w:br w:type="page"/>
      </w:r>
    </w:p>
    <w:p w14:paraId="4BAD2735" w14:textId="5211AA89" w:rsidR="00B16860" w:rsidRPr="00DA074D" w:rsidRDefault="000F6BB6" w:rsidP="002975B6">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lastRenderedPageBreak/>
        <w:t>UNIVERSITY ADMISSION:</w:t>
      </w:r>
    </w:p>
    <w:p w14:paraId="7F8D81E4" w14:textId="77777777" w:rsidR="004F0C1F" w:rsidRPr="00DA074D" w:rsidRDefault="004F0C1F" w:rsidP="0079457C">
      <w:pPr>
        <w:rPr>
          <w:rFonts w:asciiTheme="majorHAnsi" w:hAnsiTheme="majorHAnsi"/>
          <w:sz w:val="21"/>
          <w:szCs w:val="21"/>
        </w:rPr>
      </w:pPr>
    </w:p>
    <w:p w14:paraId="4CC5E7DB" w14:textId="4DD9F0CE" w:rsidR="00B16860" w:rsidRPr="00DA074D"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DA074D">
        <w:rPr>
          <w:rFonts w:asciiTheme="majorHAnsi" w:hAnsiTheme="majorHAnsi"/>
          <w:sz w:val="21"/>
          <w:szCs w:val="21"/>
        </w:rPr>
        <w:t>Submit a completed</w:t>
      </w:r>
      <w:r w:rsidRPr="00DA074D">
        <w:rPr>
          <w:rFonts w:asciiTheme="majorHAnsi" w:hAnsiTheme="majorHAnsi"/>
          <w:color w:val="0462C1"/>
          <w:sz w:val="21"/>
          <w:szCs w:val="21"/>
        </w:rPr>
        <w:t xml:space="preserve"> </w:t>
      </w:r>
      <w:hyperlink r:id="rId10">
        <w:r w:rsidRPr="00DA074D">
          <w:rPr>
            <w:rFonts w:asciiTheme="majorHAnsi" w:hAnsiTheme="majorHAnsi"/>
            <w:color w:val="0462C1"/>
            <w:sz w:val="21"/>
            <w:szCs w:val="21"/>
            <w:u w:val="single" w:color="0462C1"/>
          </w:rPr>
          <w:t>application</w:t>
        </w:r>
        <w:r w:rsidRPr="00DA074D">
          <w:rPr>
            <w:rFonts w:asciiTheme="majorHAnsi" w:hAnsiTheme="majorHAnsi"/>
            <w:sz w:val="21"/>
            <w:szCs w:val="21"/>
          </w:rPr>
          <w:t xml:space="preserve">, </w:t>
        </w:r>
      </w:hyperlink>
      <w:r w:rsidRPr="00DA074D">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11">
        <w:r w:rsidRPr="00DA074D">
          <w:rPr>
            <w:rFonts w:asciiTheme="majorHAnsi" w:hAnsiTheme="majorHAnsi"/>
            <w:color w:val="0000FF"/>
            <w:spacing w:val="-4"/>
            <w:sz w:val="21"/>
            <w:szCs w:val="21"/>
          </w:rPr>
          <w:t xml:space="preserve"> </w:t>
        </w:r>
        <w:r w:rsidRPr="00DA074D">
          <w:rPr>
            <w:rFonts w:asciiTheme="majorHAnsi" w:hAnsiTheme="majorHAnsi"/>
            <w:color w:val="0000FF"/>
            <w:sz w:val="21"/>
            <w:szCs w:val="21"/>
            <w:u w:val="single" w:color="0000FF"/>
          </w:rPr>
          <w:t>priority</w:t>
        </w:r>
        <w:r w:rsidR="00AC2F6F" w:rsidRPr="00DA074D">
          <w:rPr>
            <w:rFonts w:asciiTheme="majorHAnsi" w:hAnsiTheme="majorHAnsi"/>
            <w:color w:val="0000FF"/>
            <w:sz w:val="21"/>
            <w:szCs w:val="21"/>
            <w:u w:val="single" w:color="0000FF"/>
          </w:rPr>
          <w:t xml:space="preserve"> </w:t>
        </w:r>
        <w:r w:rsidRPr="00DA074D">
          <w:rPr>
            <w:rFonts w:asciiTheme="majorHAnsi" w:hAnsiTheme="majorHAnsi"/>
            <w:color w:val="0000FF"/>
            <w:sz w:val="21"/>
            <w:szCs w:val="21"/>
            <w:u w:val="single" w:color="0000FF"/>
          </w:rPr>
          <w:t>date</w:t>
        </w:r>
        <w:r w:rsidRPr="00DA074D">
          <w:rPr>
            <w:rFonts w:asciiTheme="majorHAnsi" w:hAnsiTheme="majorHAnsi"/>
            <w:sz w:val="21"/>
            <w:szCs w:val="21"/>
          </w:rPr>
          <w:t>.</w:t>
        </w:r>
      </w:hyperlink>
    </w:p>
    <w:p w14:paraId="5F5CA0F6" w14:textId="77777777" w:rsidR="00B16860" w:rsidRPr="00DA074D" w:rsidRDefault="00B16860" w:rsidP="002975B6">
      <w:pPr>
        <w:pStyle w:val="BodyText"/>
        <w:ind w:left="792" w:right="187" w:hanging="432"/>
        <w:rPr>
          <w:rFonts w:asciiTheme="majorHAnsi" w:hAnsiTheme="majorHAnsi"/>
        </w:rPr>
      </w:pPr>
    </w:p>
    <w:p w14:paraId="7F97E67D" w14:textId="56EEE91D" w:rsidR="00B16860" w:rsidRPr="00DA074D"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DA074D">
        <w:rPr>
          <w:rFonts w:asciiTheme="majorHAnsi" w:hAnsiTheme="majorHAnsi"/>
          <w:sz w:val="21"/>
          <w:szCs w:val="21"/>
        </w:rPr>
        <w:t xml:space="preserve">Students with </w:t>
      </w:r>
      <w:r w:rsidRPr="00DA074D">
        <w:rPr>
          <w:rFonts w:asciiTheme="majorHAnsi" w:hAnsiTheme="majorHAnsi"/>
          <w:b/>
          <w:sz w:val="21"/>
          <w:szCs w:val="21"/>
        </w:rPr>
        <w:t>1-</w:t>
      </w:r>
      <w:r w:rsidR="00AC2F6F" w:rsidRPr="00DA074D">
        <w:rPr>
          <w:rFonts w:asciiTheme="majorHAnsi" w:hAnsiTheme="majorHAnsi"/>
          <w:b/>
          <w:sz w:val="21"/>
          <w:szCs w:val="21"/>
        </w:rPr>
        <w:t>15</w:t>
      </w:r>
      <w:r w:rsidRPr="00DA074D">
        <w:rPr>
          <w:rFonts w:asciiTheme="majorHAnsi" w:hAnsiTheme="majorHAnsi"/>
          <w:b/>
          <w:sz w:val="21"/>
          <w:szCs w:val="21"/>
        </w:rPr>
        <w:t xml:space="preserve"> transferable hours </w:t>
      </w:r>
      <w:r w:rsidRPr="00DA074D">
        <w:rPr>
          <w:rFonts w:asciiTheme="majorHAnsi" w:hAnsiTheme="majorHAnsi"/>
          <w:sz w:val="21"/>
          <w:szCs w:val="21"/>
        </w:rPr>
        <w:t>must have a minimum 2.0 GPA in all transferable course work and meet</w:t>
      </w:r>
      <w:r w:rsidRPr="00DA074D">
        <w:rPr>
          <w:rFonts w:asciiTheme="majorHAnsi" w:hAnsiTheme="majorHAnsi"/>
          <w:color w:val="0462C1"/>
          <w:sz w:val="21"/>
          <w:szCs w:val="21"/>
        </w:rPr>
        <w:t xml:space="preserve"> </w:t>
      </w:r>
      <w:hyperlink r:id="rId12">
        <w:r w:rsidRPr="00DA074D">
          <w:rPr>
            <w:rFonts w:asciiTheme="majorHAnsi" w:hAnsiTheme="majorHAnsi"/>
            <w:color w:val="0462C1"/>
            <w:sz w:val="21"/>
            <w:szCs w:val="21"/>
            <w:u w:val="single" w:color="0462C1"/>
          </w:rPr>
          <w:t>freshman admission standards</w:t>
        </w:r>
        <w:r w:rsidRPr="00DA074D">
          <w:rPr>
            <w:rFonts w:asciiTheme="majorHAnsi" w:hAnsiTheme="majorHAnsi"/>
            <w:sz w:val="21"/>
            <w:szCs w:val="21"/>
          </w:rPr>
          <w:t xml:space="preserve">. </w:t>
        </w:r>
      </w:hyperlink>
      <w:r w:rsidR="00AC2F6F" w:rsidRPr="00DA074D">
        <w:rPr>
          <w:rFonts w:asciiTheme="majorHAnsi" w:hAnsiTheme="majorHAnsi"/>
          <w:sz w:val="21"/>
          <w:szCs w:val="21"/>
        </w:rPr>
        <w:t xml:space="preserve">Students with </w:t>
      </w:r>
      <w:r w:rsidR="00AC2F6F" w:rsidRPr="00DA074D">
        <w:rPr>
          <w:rFonts w:asciiTheme="majorHAnsi" w:hAnsiTheme="majorHAnsi"/>
          <w:b/>
          <w:sz w:val="21"/>
          <w:szCs w:val="21"/>
        </w:rPr>
        <w:t xml:space="preserve">16-29 transferable hours </w:t>
      </w:r>
      <w:r w:rsidR="00AC2F6F" w:rsidRPr="00DA074D">
        <w:rPr>
          <w:rFonts w:asciiTheme="majorHAnsi" w:hAnsiTheme="majorHAnsi"/>
          <w:sz w:val="21"/>
          <w:szCs w:val="21"/>
        </w:rPr>
        <w:t xml:space="preserve">must have a minimum 2.5 GPA in all transferable course work. </w:t>
      </w:r>
      <w:r w:rsidRPr="00DA074D">
        <w:rPr>
          <w:rFonts w:asciiTheme="majorHAnsi" w:hAnsiTheme="majorHAnsi"/>
          <w:sz w:val="21"/>
          <w:szCs w:val="21"/>
        </w:rPr>
        <w:t xml:space="preserve">Students with </w:t>
      </w:r>
      <w:r w:rsidRPr="00DA074D">
        <w:rPr>
          <w:rFonts w:asciiTheme="majorHAnsi" w:hAnsiTheme="majorHAnsi"/>
          <w:b/>
          <w:sz w:val="21"/>
          <w:szCs w:val="21"/>
        </w:rPr>
        <w:t xml:space="preserve">30 or more transferable hours </w:t>
      </w:r>
      <w:r w:rsidRPr="00DA074D">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DA074D">
        <w:rPr>
          <w:rFonts w:asciiTheme="majorHAnsi" w:hAnsiTheme="majorHAnsi"/>
          <w:spacing w:val="-15"/>
          <w:sz w:val="21"/>
          <w:szCs w:val="21"/>
        </w:rPr>
        <w:t xml:space="preserve"> </w:t>
      </w:r>
      <w:r w:rsidRPr="00DA074D">
        <w:rPr>
          <w:rFonts w:asciiTheme="majorHAnsi" w:hAnsiTheme="majorHAnsi"/>
          <w:sz w:val="21"/>
          <w:szCs w:val="21"/>
        </w:rPr>
        <w:t>school.</w:t>
      </w:r>
    </w:p>
    <w:p w14:paraId="0172438C" w14:textId="77777777" w:rsidR="00B16860" w:rsidRPr="00DA074D" w:rsidRDefault="00B16860" w:rsidP="00FA3CAC">
      <w:pPr>
        <w:pStyle w:val="BodyText"/>
        <w:ind w:left="360" w:right="180"/>
        <w:rPr>
          <w:rFonts w:asciiTheme="majorHAnsi" w:hAnsiTheme="majorHAnsi"/>
        </w:rPr>
      </w:pPr>
    </w:p>
    <w:p w14:paraId="17960856" w14:textId="77777777" w:rsidR="00B16860" w:rsidRPr="00DA074D" w:rsidRDefault="000F6BB6" w:rsidP="00FA3CAC">
      <w:pPr>
        <w:pStyle w:val="BodyText"/>
        <w:ind w:left="360" w:right="180"/>
        <w:rPr>
          <w:rFonts w:asciiTheme="majorHAnsi" w:hAnsiTheme="majorHAnsi"/>
        </w:rPr>
      </w:pPr>
      <w:r w:rsidRPr="00DA074D">
        <w:rPr>
          <w:rFonts w:asciiTheme="majorHAnsi" w:hAnsiTheme="majorHAnsi"/>
        </w:rPr>
        <w:t xml:space="preserve">Students transferring to Texas State from a community college may elect to follow the </w:t>
      </w:r>
      <w:hyperlink r:id="rId13">
        <w:r w:rsidRPr="00DA074D">
          <w:rPr>
            <w:rFonts w:asciiTheme="majorHAnsi" w:hAnsiTheme="majorHAnsi"/>
            <w:color w:val="0000FF"/>
            <w:u w:val="single" w:color="0000FF"/>
          </w:rPr>
          <w:t>Texas State</w:t>
        </w:r>
      </w:hyperlink>
      <w:r w:rsidRPr="00DA074D">
        <w:rPr>
          <w:rFonts w:asciiTheme="majorHAnsi" w:hAnsiTheme="majorHAnsi"/>
          <w:color w:val="0000FF"/>
        </w:rPr>
        <w:t xml:space="preserve"> </w:t>
      </w:r>
      <w:hyperlink r:id="rId14">
        <w:r w:rsidRPr="00DA074D">
          <w:rPr>
            <w:rFonts w:asciiTheme="majorHAnsi" w:hAnsiTheme="majorHAnsi"/>
            <w:color w:val="0000FF"/>
            <w:u w:val="single" w:color="0000FF"/>
          </w:rPr>
          <w:t>Undergraduate Catalog</w:t>
        </w:r>
        <w:r w:rsidRPr="00DA074D">
          <w:rPr>
            <w:rFonts w:asciiTheme="majorHAnsi" w:hAnsiTheme="majorHAnsi"/>
            <w:color w:val="0000FF"/>
          </w:rPr>
          <w:t xml:space="preserve"> </w:t>
        </w:r>
      </w:hyperlink>
      <w:r w:rsidRPr="00DA074D">
        <w:rPr>
          <w:rFonts w:asciiTheme="majorHAnsi" w:hAnsiTheme="majorHAnsi"/>
        </w:rPr>
        <w:t xml:space="preserve">that was in effect at the time they enrolled at their community college. Students may also, with the approval of their College Dean, follow a subsequent catalog. Students are reminded to refer to their designated catalog for information related to </w:t>
      </w:r>
      <w:proofErr w:type="gramStart"/>
      <w:r w:rsidRPr="00DA074D">
        <w:rPr>
          <w:rFonts w:asciiTheme="majorHAnsi" w:hAnsiTheme="majorHAnsi"/>
        </w:rPr>
        <w:t>University</w:t>
      </w:r>
      <w:proofErr w:type="gramEnd"/>
      <w:r w:rsidRPr="00DA074D">
        <w:rPr>
          <w:rFonts w:asciiTheme="majorHAnsi" w:hAnsiTheme="majorHAnsi"/>
        </w:rPr>
        <w:t xml:space="preserve"> requirements for curriculum, graduation, probation/suspension, and other general information.</w:t>
      </w:r>
    </w:p>
    <w:p w14:paraId="71CA80BD" w14:textId="77777777" w:rsidR="00B16860" w:rsidRPr="00DA074D" w:rsidRDefault="00B16860" w:rsidP="00FA3CAC">
      <w:pPr>
        <w:pStyle w:val="BodyText"/>
        <w:ind w:left="360" w:right="180"/>
        <w:rPr>
          <w:rFonts w:asciiTheme="majorHAnsi" w:hAnsiTheme="majorHAnsi"/>
        </w:rPr>
      </w:pPr>
    </w:p>
    <w:p w14:paraId="7AF0A314" w14:textId="77AB1396" w:rsidR="00B30C85" w:rsidRPr="00DA074D" w:rsidRDefault="000F6BB6" w:rsidP="00B30C85">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FOR MORE INFORMATION, CONTACT:</w:t>
      </w:r>
    </w:p>
    <w:p w14:paraId="5A11FF68" w14:textId="77777777" w:rsidR="004F0C1F" w:rsidRPr="00DA074D" w:rsidRDefault="004F0C1F" w:rsidP="0079457C">
      <w:pPr>
        <w:rPr>
          <w:rFonts w:asciiTheme="majorHAnsi" w:hAnsiTheme="majorHAnsi"/>
          <w:sz w:val="21"/>
          <w:szCs w:val="21"/>
        </w:rPr>
      </w:pPr>
    </w:p>
    <w:p w14:paraId="71009C4A" w14:textId="77777777" w:rsidR="004F0C1F" w:rsidRPr="00DA074D" w:rsidRDefault="000F6BB6" w:rsidP="00FA3CAC">
      <w:pPr>
        <w:pStyle w:val="BodyText"/>
        <w:ind w:left="360" w:right="180"/>
        <w:rPr>
          <w:rFonts w:asciiTheme="majorHAnsi" w:hAnsiTheme="majorHAnsi"/>
        </w:rPr>
      </w:pPr>
      <w:r w:rsidRPr="00DA074D">
        <w:rPr>
          <w:rFonts w:asciiTheme="majorHAnsi" w:hAnsiTheme="majorHAnsi"/>
        </w:rPr>
        <w:t xml:space="preserve">Office of Undergraduate Admissions </w:t>
      </w:r>
    </w:p>
    <w:p w14:paraId="73CE4AA6" w14:textId="3F78C6AF" w:rsidR="00B16860" w:rsidRPr="00DA074D" w:rsidRDefault="000F6BB6" w:rsidP="00FA3CAC">
      <w:pPr>
        <w:pStyle w:val="BodyText"/>
        <w:ind w:left="360" w:right="180"/>
        <w:rPr>
          <w:rFonts w:asciiTheme="majorHAnsi" w:hAnsiTheme="majorHAnsi"/>
        </w:rPr>
      </w:pPr>
      <w:r w:rsidRPr="00DA074D">
        <w:rPr>
          <w:rFonts w:asciiTheme="majorHAnsi" w:hAnsiTheme="majorHAnsi"/>
        </w:rPr>
        <w:t>Texas State University</w:t>
      </w:r>
    </w:p>
    <w:p w14:paraId="176AEE89" w14:textId="2EFCEC66" w:rsidR="004F0C1F" w:rsidRPr="00DA074D" w:rsidRDefault="004F0C1F" w:rsidP="00FA3CAC">
      <w:pPr>
        <w:pStyle w:val="BodyText"/>
        <w:ind w:left="360" w:right="180"/>
        <w:rPr>
          <w:rFonts w:asciiTheme="majorHAnsi" w:hAnsiTheme="majorHAnsi"/>
        </w:rPr>
      </w:pPr>
      <w:r w:rsidRPr="00DA074D">
        <w:rPr>
          <w:rFonts w:asciiTheme="majorHAnsi" w:hAnsiTheme="majorHAnsi"/>
        </w:rPr>
        <w:t>Richard A. Castro Undergraduate Admissions Center</w:t>
      </w:r>
    </w:p>
    <w:p w14:paraId="4C12B8B1" w14:textId="77777777" w:rsidR="00B16860" w:rsidRPr="00DA074D" w:rsidRDefault="000F6BB6" w:rsidP="00FA3CAC">
      <w:pPr>
        <w:pStyle w:val="BodyText"/>
        <w:ind w:left="360" w:right="180"/>
        <w:rPr>
          <w:rFonts w:asciiTheme="majorHAnsi" w:hAnsiTheme="majorHAnsi"/>
        </w:rPr>
      </w:pPr>
      <w:r w:rsidRPr="00DA074D">
        <w:rPr>
          <w:rFonts w:asciiTheme="majorHAnsi" w:hAnsiTheme="majorHAnsi"/>
        </w:rPr>
        <w:t>429 N. Guadalupe St.</w:t>
      </w:r>
    </w:p>
    <w:p w14:paraId="0E6D390D" w14:textId="77777777" w:rsidR="002975B6" w:rsidRPr="00DA074D" w:rsidRDefault="000F6BB6" w:rsidP="00FA3CAC">
      <w:pPr>
        <w:pStyle w:val="BodyText"/>
        <w:ind w:left="360" w:right="180"/>
        <w:rPr>
          <w:rFonts w:asciiTheme="majorHAnsi" w:hAnsiTheme="majorHAnsi"/>
        </w:rPr>
      </w:pPr>
      <w:r w:rsidRPr="00DA074D">
        <w:rPr>
          <w:rFonts w:asciiTheme="majorHAnsi" w:hAnsiTheme="majorHAnsi"/>
        </w:rPr>
        <w:t xml:space="preserve">San Marcos, Texas 78666 </w:t>
      </w:r>
    </w:p>
    <w:p w14:paraId="1A11F6EB" w14:textId="37A6A0A2" w:rsidR="002975B6" w:rsidRPr="00DA074D" w:rsidRDefault="000F6BB6" w:rsidP="00FA3CAC">
      <w:pPr>
        <w:pStyle w:val="BodyText"/>
        <w:ind w:left="360" w:right="180"/>
        <w:rPr>
          <w:rFonts w:asciiTheme="majorHAnsi" w:hAnsiTheme="majorHAnsi"/>
        </w:rPr>
      </w:pPr>
      <w:r w:rsidRPr="00DA074D">
        <w:rPr>
          <w:rFonts w:asciiTheme="majorHAnsi" w:hAnsiTheme="majorHAnsi"/>
        </w:rPr>
        <w:t xml:space="preserve">512.245.2364 </w:t>
      </w:r>
    </w:p>
    <w:p w14:paraId="2FA0D107" w14:textId="4983E65A" w:rsidR="0040482C" w:rsidRPr="00DA074D" w:rsidRDefault="00F02C6E" w:rsidP="00FA3CAC">
      <w:pPr>
        <w:pStyle w:val="BodyText"/>
        <w:ind w:left="360" w:right="180"/>
        <w:rPr>
          <w:rFonts w:asciiTheme="majorHAnsi" w:hAnsiTheme="majorHAnsi"/>
        </w:rPr>
      </w:pPr>
      <w:hyperlink r:id="rId15" w:history="1">
        <w:r w:rsidR="0040482C" w:rsidRPr="00DA074D">
          <w:rPr>
            <w:rStyle w:val="Hyperlink"/>
            <w:rFonts w:asciiTheme="majorHAnsi" w:hAnsiTheme="majorHAnsi"/>
          </w:rPr>
          <w:t>https://www.admissions.txstate.edu/</w:t>
        </w:r>
      </w:hyperlink>
    </w:p>
    <w:p w14:paraId="26D9BB5A" w14:textId="073C4E9F" w:rsidR="00B16860" w:rsidRPr="00DA074D" w:rsidRDefault="00C42CCF" w:rsidP="00FA3CAC">
      <w:pPr>
        <w:pStyle w:val="BodyText"/>
        <w:ind w:left="360" w:right="180"/>
        <w:rPr>
          <w:rFonts w:asciiTheme="majorHAnsi" w:hAnsiTheme="majorHAnsi"/>
        </w:rPr>
      </w:pPr>
      <w:r w:rsidRPr="00DA074D">
        <w:rPr>
          <w:rFonts w:asciiTheme="majorHAnsi" w:hAnsiTheme="majorHAnsi"/>
        </w:rPr>
        <w:tab/>
      </w:r>
    </w:p>
    <w:p w14:paraId="09F540BE" w14:textId="718725C5" w:rsidR="00B16860" w:rsidRPr="00DA074D" w:rsidRDefault="000F6BB6" w:rsidP="00FA3CAC">
      <w:pPr>
        <w:pStyle w:val="BodyText"/>
        <w:ind w:left="360" w:right="180"/>
        <w:rPr>
          <w:rFonts w:asciiTheme="majorHAnsi" w:hAnsiTheme="majorHAnsi"/>
        </w:rPr>
      </w:pPr>
      <w:r w:rsidRPr="00DA074D">
        <w:rPr>
          <w:rFonts w:asciiTheme="majorHAnsi" w:hAnsiTheme="majorHAnsi"/>
        </w:rPr>
        <w:t xml:space="preserve">College of </w:t>
      </w:r>
      <w:r w:rsidR="00F60E49">
        <w:rPr>
          <w:rFonts w:asciiTheme="majorHAnsi" w:hAnsiTheme="majorHAnsi"/>
        </w:rPr>
        <w:t>Fine</w:t>
      </w:r>
      <w:r w:rsidR="004F0C1F" w:rsidRPr="00DA074D">
        <w:rPr>
          <w:rFonts w:asciiTheme="majorHAnsi" w:hAnsiTheme="majorHAnsi"/>
        </w:rPr>
        <w:t xml:space="preserve"> Arts</w:t>
      </w:r>
      <w:r w:rsidR="00F60E49">
        <w:rPr>
          <w:rFonts w:asciiTheme="majorHAnsi" w:hAnsiTheme="majorHAnsi"/>
        </w:rPr>
        <w:t xml:space="preserve"> and Communication</w:t>
      </w:r>
      <w:r w:rsidR="004F0C1F" w:rsidRPr="00DA074D">
        <w:rPr>
          <w:rFonts w:asciiTheme="majorHAnsi" w:hAnsiTheme="majorHAnsi"/>
        </w:rPr>
        <w:t xml:space="preserve"> Advising Center</w:t>
      </w:r>
    </w:p>
    <w:p w14:paraId="1B5FD400" w14:textId="635B38DD" w:rsidR="002975B6" w:rsidRPr="00DA074D" w:rsidRDefault="004B7799" w:rsidP="00FA3CAC">
      <w:pPr>
        <w:pStyle w:val="BodyText"/>
        <w:ind w:left="360" w:right="180"/>
        <w:rPr>
          <w:rFonts w:asciiTheme="majorHAnsi" w:hAnsiTheme="majorHAnsi"/>
        </w:rPr>
      </w:pPr>
      <w:r>
        <w:rPr>
          <w:rFonts w:asciiTheme="majorHAnsi" w:hAnsiTheme="majorHAnsi"/>
        </w:rPr>
        <w:t>Old Main</w:t>
      </w:r>
      <w:r w:rsidR="0040482C" w:rsidRPr="00DA074D">
        <w:rPr>
          <w:rFonts w:asciiTheme="majorHAnsi" w:hAnsiTheme="majorHAnsi"/>
        </w:rPr>
        <w:t>, Room</w:t>
      </w:r>
      <w:r w:rsidR="004F0C1F" w:rsidRPr="00DA074D">
        <w:rPr>
          <w:rFonts w:asciiTheme="majorHAnsi" w:hAnsiTheme="majorHAnsi"/>
        </w:rPr>
        <w:t xml:space="preserve"> </w:t>
      </w:r>
      <w:r>
        <w:rPr>
          <w:rFonts w:asciiTheme="majorHAnsi" w:hAnsiTheme="majorHAnsi"/>
        </w:rPr>
        <w:t>118</w:t>
      </w:r>
    </w:p>
    <w:p w14:paraId="3F178691" w14:textId="1D2D2BAB" w:rsidR="002975B6" w:rsidRPr="00DA074D" w:rsidRDefault="000F6BB6" w:rsidP="00FA3CAC">
      <w:pPr>
        <w:pStyle w:val="BodyText"/>
        <w:ind w:left="360" w:right="180"/>
        <w:rPr>
          <w:rFonts w:asciiTheme="majorHAnsi" w:hAnsiTheme="majorHAnsi"/>
        </w:rPr>
      </w:pPr>
      <w:r w:rsidRPr="00DA074D">
        <w:rPr>
          <w:rFonts w:asciiTheme="majorHAnsi" w:hAnsiTheme="majorHAnsi"/>
        </w:rPr>
        <w:t>512.245.</w:t>
      </w:r>
      <w:r w:rsidR="004B7799">
        <w:rPr>
          <w:rFonts w:asciiTheme="majorHAnsi" w:hAnsiTheme="majorHAnsi"/>
        </w:rPr>
        <w:t>1932</w:t>
      </w:r>
      <w:r w:rsidRPr="00DA074D">
        <w:rPr>
          <w:rFonts w:asciiTheme="majorHAnsi" w:hAnsiTheme="majorHAnsi"/>
        </w:rPr>
        <w:t xml:space="preserve"> </w:t>
      </w:r>
    </w:p>
    <w:p w14:paraId="385AD170" w14:textId="1301D220" w:rsidR="00B16860" w:rsidRDefault="00F02C6E" w:rsidP="00FA3CAC">
      <w:pPr>
        <w:pStyle w:val="BodyText"/>
        <w:ind w:left="360" w:right="180"/>
      </w:pPr>
      <w:hyperlink r:id="rId16" w:history="1">
        <w:r w:rsidR="004B7799" w:rsidRPr="00680F97">
          <w:rPr>
            <w:rStyle w:val="Hyperlink"/>
          </w:rPr>
          <w:t>https://advising.finearts.txstate.edu/</w:t>
        </w:r>
      </w:hyperlink>
    </w:p>
    <w:p w14:paraId="3050B629" w14:textId="77777777" w:rsidR="004B7799" w:rsidRDefault="004B7799"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00455E4C" w:rsidR="00B16860" w:rsidRPr="002975B6" w:rsidRDefault="00F02C6E" w:rsidP="002975B6">
      <w:pPr>
        <w:ind w:left="360" w:right="180"/>
        <w:jc w:val="right"/>
        <w:rPr>
          <w:b/>
          <w:i/>
          <w:sz w:val="17"/>
        </w:rPr>
      </w:pPr>
      <w:r>
        <w:rPr>
          <w:b/>
          <w:sz w:val="17"/>
        </w:rPr>
        <w:t>JUNE 2022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F38C3"/>
    <w:multiLevelType w:val="hybridMultilevel"/>
    <w:tmpl w:val="B824AE14"/>
    <w:lvl w:ilvl="0" w:tplc="9628F3B2">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2" w15:restartNumberingAfterBreak="0">
    <w:nsid w:val="4E235B54"/>
    <w:multiLevelType w:val="hybridMultilevel"/>
    <w:tmpl w:val="F588F4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93091F"/>
    <w:multiLevelType w:val="hybridMultilevel"/>
    <w:tmpl w:val="7098E360"/>
    <w:lvl w:ilvl="0" w:tplc="6F3E4070">
      <w:start w:val="512"/>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4222744">
    <w:abstractNumId w:val="1"/>
  </w:num>
  <w:num w:numId="2" w16cid:durableId="2094623779">
    <w:abstractNumId w:val="4"/>
  </w:num>
  <w:num w:numId="3" w16cid:durableId="1688870440">
    <w:abstractNumId w:val="3"/>
  </w:num>
  <w:num w:numId="4" w16cid:durableId="922640383">
    <w:abstractNumId w:val="0"/>
  </w:num>
  <w:num w:numId="5" w16cid:durableId="169223979">
    <w:abstractNumId w:val="2"/>
  </w:num>
  <w:num w:numId="6" w16cid:durableId="7701216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239C9"/>
    <w:rsid w:val="000315D4"/>
    <w:rsid w:val="00041EA1"/>
    <w:rsid w:val="00090AF8"/>
    <w:rsid w:val="000B5EE6"/>
    <w:rsid w:val="000B7B60"/>
    <w:rsid w:val="000F6BB6"/>
    <w:rsid w:val="00131CC5"/>
    <w:rsid w:val="00182046"/>
    <w:rsid w:val="001A05AA"/>
    <w:rsid w:val="001E254C"/>
    <w:rsid w:val="002827E5"/>
    <w:rsid w:val="002975B6"/>
    <w:rsid w:val="003012EC"/>
    <w:rsid w:val="00395167"/>
    <w:rsid w:val="00401089"/>
    <w:rsid w:val="0040482C"/>
    <w:rsid w:val="004A36FD"/>
    <w:rsid w:val="004B7799"/>
    <w:rsid w:val="004F0C1F"/>
    <w:rsid w:val="00537510"/>
    <w:rsid w:val="00541824"/>
    <w:rsid w:val="00600E5C"/>
    <w:rsid w:val="00623961"/>
    <w:rsid w:val="00653F91"/>
    <w:rsid w:val="006D0F9F"/>
    <w:rsid w:val="00756DA5"/>
    <w:rsid w:val="0079457C"/>
    <w:rsid w:val="00825488"/>
    <w:rsid w:val="008A6200"/>
    <w:rsid w:val="009D73BC"/>
    <w:rsid w:val="00AC2F6F"/>
    <w:rsid w:val="00AC7162"/>
    <w:rsid w:val="00B15D7D"/>
    <w:rsid w:val="00B16860"/>
    <w:rsid w:val="00B17D9B"/>
    <w:rsid w:val="00B30C85"/>
    <w:rsid w:val="00B44884"/>
    <w:rsid w:val="00B76511"/>
    <w:rsid w:val="00BA039C"/>
    <w:rsid w:val="00BC4F3C"/>
    <w:rsid w:val="00BE09DE"/>
    <w:rsid w:val="00C13710"/>
    <w:rsid w:val="00C42CCF"/>
    <w:rsid w:val="00D95063"/>
    <w:rsid w:val="00DA074D"/>
    <w:rsid w:val="00DA5756"/>
    <w:rsid w:val="00E11A6D"/>
    <w:rsid w:val="00E139B3"/>
    <w:rsid w:val="00EA6F71"/>
    <w:rsid w:val="00EC1DC9"/>
    <w:rsid w:val="00F02C6E"/>
    <w:rsid w:val="00F16A57"/>
    <w:rsid w:val="00F60E49"/>
    <w:rsid w:val="00FA3CAC"/>
    <w:rsid w:val="00FC7716"/>
    <w:rsid w:val="00FF16F1"/>
    <w:rsid w:val="00FF2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EA6F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F71"/>
    <w:rPr>
      <w:rFonts w:ascii="Segoe UI" w:eastAsia="Cambria" w:hAnsi="Segoe UI" w:cs="Segoe UI"/>
      <w:sz w:val="18"/>
      <w:szCs w:val="18"/>
      <w:lang w:bidi="en-US"/>
    </w:rPr>
  </w:style>
  <w:style w:type="paragraph" w:styleId="Revision">
    <w:name w:val="Revision"/>
    <w:hidden/>
    <w:uiPriority w:val="99"/>
    <w:semiHidden/>
    <w:rsid w:val="00F02C6E"/>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77712">
      <w:bodyDiv w:val="1"/>
      <w:marLeft w:val="0"/>
      <w:marRight w:val="0"/>
      <w:marTop w:val="0"/>
      <w:marBottom w:val="0"/>
      <w:divBdr>
        <w:top w:val="none" w:sz="0" w:space="0" w:color="auto"/>
        <w:left w:val="none" w:sz="0" w:space="0" w:color="auto"/>
        <w:bottom w:val="none" w:sz="0" w:space="0" w:color="auto"/>
        <w:right w:val="none" w:sz="0" w:space="0" w:color="auto"/>
      </w:divBdr>
    </w:div>
    <w:div w:id="1079405321">
      <w:bodyDiv w:val="1"/>
      <w:marLeft w:val="0"/>
      <w:marRight w:val="0"/>
      <w:marTop w:val="0"/>
      <w:marBottom w:val="0"/>
      <w:divBdr>
        <w:top w:val="none" w:sz="0" w:space="0" w:color="auto"/>
        <w:left w:val="none" w:sz="0" w:space="0" w:color="auto"/>
        <w:bottom w:val="none" w:sz="0" w:space="0" w:color="auto"/>
        <w:right w:val="none" w:sz="0" w:space="0" w:color="auto"/>
      </w:divBdr>
    </w:div>
    <w:div w:id="1580362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ccns.org/" TargetMode="External"/><Relationship Id="rId13" Type="http://schemas.openxmlformats.org/officeDocument/2006/relationships/hyperlink" Target="http://mycatalog.txstate.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mycatalog.txstate.edu/undergraduate/general-education-core-curriculum/" TargetMode="External"/><Relationship Id="rId12" Type="http://schemas.openxmlformats.org/officeDocument/2006/relationships/hyperlink" Target="http://www.admissions.txstate.edu/future/freshman/admissions-requiremen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dvising.finearts.txstate.ed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admissions.txstate.edu/future/application-dates.html" TargetMode="External"/><Relationship Id="rId5" Type="http://schemas.openxmlformats.org/officeDocument/2006/relationships/webSettings" Target="webSettings.xml"/><Relationship Id="rId15" Type="http://schemas.openxmlformats.org/officeDocument/2006/relationships/hyperlink" Target="https://www.admissions.txstate.edu/" TargetMode="External"/><Relationship Id="rId10" Type="http://schemas.openxmlformats.org/officeDocument/2006/relationships/hyperlink" Target="https://www.admissions.txstate.edu/apply" TargetMode="External"/><Relationship Id="rId4" Type="http://schemas.openxmlformats.org/officeDocument/2006/relationships/settings" Target="settings.xml"/><Relationship Id="rId9" Type="http://schemas.openxmlformats.org/officeDocument/2006/relationships/hyperlink" Target="https://www.theatreanddance.txstate.edu/About-the-Department/Contact-Us.html" TargetMode="External"/><Relationship Id="rId14" Type="http://schemas.openxmlformats.org/officeDocument/2006/relationships/hyperlink" Target="http://mycatalog.tx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DD855-C567-4A4A-B9E8-D1D2AC86B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2</cp:revision>
  <dcterms:created xsi:type="dcterms:W3CDTF">2022-07-01T15:25:00Z</dcterms:created>
  <dcterms:modified xsi:type="dcterms:W3CDTF">2022-07-01T15:25:00Z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