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0DBDEB75">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6"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015CB6CE" w:rsidR="00B16860" w:rsidRPr="00041EA1" w:rsidRDefault="000F6BB6" w:rsidP="00FA3CAC">
      <w:pPr>
        <w:pStyle w:val="Heading1"/>
        <w:spacing w:before="0"/>
        <w:ind w:left="360" w:right="180"/>
        <w:jc w:val="center"/>
      </w:pPr>
      <w:r w:rsidRPr="00041EA1">
        <w:t xml:space="preserve">Transfer Planning Guide </w:t>
      </w:r>
      <w:r w:rsidR="004D6F70">
        <w:t>202</w:t>
      </w:r>
      <w:r w:rsidR="004C733E">
        <w:t>2</w:t>
      </w:r>
      <w:r w:rsidR="004D6F70">
        <w:t>-202</w:t>
      </w:r>
      <w:r w:rsidR="004C733E">
        <w:t>3</w:t>
      </w:r>
    </w:p>
    <w:p w14:paraId="05016D93" w14:textId="5A19649A" w:rsidR="002827E5" w:rsidRDefault="000F6BB6" w:rsidP="000B5EE6">
      <w:pPr>
        <w:pStyle w:val="Heading2"/>
        <w:spacing w:before="0" w:line="240" w:lineRule="auto"/>
        <w:ind w:left="360" w:right="180"/>
      </w:pPr>
      <w:r w:rsidRPr="000F6BB6">
        <w:t xml:space="preserve">Major in </w:t>
      </w:r>
      <w:r w:rsidR="000841CF">
        <w:t>Performance</w:t>
      </w:r>
    </w:p>
    <w:p w14:paraId="576B6108" w14:textId="47BE5636" w:rsidR="00FA3CAC" w:rsidRDefault="000F6BB6" w:rsidP="00FA3CAC">
      <w:pPr>
        <w:pStyle w:val="Heading2"/>
        <w:spacing w:before="0" w:line="240" w:lineRule="auto"/>
        <w:ind w:left="360" w:right="180"/>
      </w:pPr>
      <w:r w:rsidRPr="000F6BB6">
        <w:t xml:space="preserve">Bachelor of </w:t>
      </w:r>
      <w:r w:rsidR="000841CF">
        <w:t>Music</w:t>
      </w:r>
      <w:r w:rsidRPr="000F6BB6">
        <w:t xml:space="preserve"> </w:t>
      </w:r>
      <w:r w:rsidR="00FC658F">
        <w:t xml:space="preserve">Degree </w:t>
      </w:r>
      <w:r w:rsidRPr="000F6BB6">
        <w:t>(B</w:t>
      </w:r>
      <w:r w:rsidR="000841CF">
        <w:t>M</w:t>
      </w:r>
      <w:r w:rsidRPr="000F6BB6">
        <w:t xml:space="preserve">) </w:t>
      </w:r>
    </w:p>
    <w:p w14:paraId="1271F32E" w14:textId="3C7BA4BA" w:rsidR="00B16860" w:rsidRPr="000F6BB6" w:rsidRDefault="000F6BB6" w:rsidP="00FA3CAC">
      <w:pPr>
        <w:pStyle w:val="Heading2"/>
        <w:spacing w:before="0" w:line="240" w:lineRule="auto"/>
        <w:ind w:left="360" w:right="180"/>
      </w:pPr>
      <w:r w:rsidRPr="000F6BB6">
        <w:t>1</w:t>
      </w:r>
      <w:r w:rsidR="00E139B3">
        <w:t>20</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DA074D" w:rsidRDefault="000F6BB6" w:rsidP="0079457C">
      <w:pPr>
        <w:pStyle w:val="BodyText"/>
        <w:ind w:left="360" w:right="180"/>
        <w:rPr>
          <w:rFonts w:asciiTheme="majorHAnsi" w:hAnsiTheme="majorHAnsi"/>
        </w:rPr>
      </w:pPr>
      <w:r w:rsidRPr="00DA074D">
        <w:rPr>
          <w:rFonts w:asciiTheme="majorHAnsi" w:hAnsiTheme="majorHAnsi"/>
        </w:rPr>
        <w:t xml:space="preserve">Texas Education Code Section 61.822 requires that Texas public institutions facilitate the transferability of lower-division course credit through the </w:t>
      </w:r>
      <w:r w:rsidRPr="00DA074D">
        <w:rPr>
          <w:rFonts w:asciiTheme="majorHAnsi" w:hAnsiTheme="majorHAnsi"/>
          <w:b/>
        </w:rPr>
        <w:t>Core Curriculum</w:t>
      </w:r>
      <w:r w:rsidRPr="00DA074D">
        <w:rPr>
          <w:rFonts w:asciiTheme="majorHAnsi" w:hAnsiTheme="majorHAnsi"/>
        </w:rPr>
        <w:t xml:space="preserve">. The </w:t>
      </w:r>
      <w:hyperlink r:id="rId7">
        <w:r w:rsidRPr="00DA074D">
          <w:rPr>
            <w:rFonts w:asciiTheme="majorHAnsi" w:hAnsiTheme="majorHAnsi"/>
            <w:color w:val="0000FF"/>
            <w:u w:val="single" w:color="0000FF"/>
          </w:rPr>
          <w:t>Core Curriculum</w:t>
        </w:r>
        <w:r w:rsidRPr="00DA074D">
          <w:rPr>
            <w:rFonts w:asciiTheme="majorHAnsi" w:hAnsiTheme="majorHAnsi"/>
            <w:color w:val="0000FF"/>
          </w:rPr>
          <w:t xml:space="preserve"> </w:t>
        </w:r>
      </w:hyperlink>
      <w:r w:rsidRPr="00DA074D">
        <w:rPr>
          <w:rFonts w:asciiTheme="majorHAnsi" w:hAnsiTheme="majorHAnsi"/>
        </w:rPr>
        <w:t>contains nine Foundational Component Areas (42 hours), which every Texas State student must satisfy to graduate.</w:t>
      </w:r>
    </w:p>
    <w:p w14:paraId="78D21B3A" w14:textId="77777777" w:rsidR="00B16860" w:rsidRPr="00DA074D" w:rsidRDefault="00B16860" w:rsidP="00FA3CAC">
      <w:pPr>
        <w:pStyle w:val="BodyText"/>
        <w:ind w:left="360" w:right="180"/>
        <w:rPr>
          <w:rFonts w:asciiTheme="majorHAnsi" w:hAnsiTheme="majorHAnsi"/>
        </w:rPr>
      </w:pPr>
    </w:p>
    <w:p w14:paraId="2F6B7735" w14:textId="77777777" w:rsidR="00B16860" w:rsidRPr="00DA074D" w:rsidRDefault="000F6BB6" w:rsidP="00FA3CAC">
      <w:pPr>
        <w:pStyle w:val="BodyText"/>
        <w:ind w:left="360" w:right="180"/>
        <w:jc w:val="both"/>
        <w:rPr>
          <w:rFonts w:asciiTheme="majorHAnsi" w:hAnsiTheme="majorHAnsi"/>
        </w:rPr>
      </w:pPr>
      <w:r w:rsidRPr="00DA074D">
        <w:rPr>
          <w:rFonts w:asciiTheme="majorHAnsi" w:hAnsiTheme="majorHAnsi"/>
        </w:rPr>
        <w:t>Texas</w:t>
      </w:r>
      <w:r w:rsidRPr="00DA074D">
        <w:rPr>
          <w:rFonts w:asciiTheme="majorHAnsi" w:hAnsiTheme="majorHAnsi"/>
          <w:spacing w:val="-7"/>
        </w:rPr>
        <w:t xml:space="preserve"> </w:t>
      </w:r>
      <w:r w:rsidRPr="00DA074D">
        <w:rPr>
          <w:rFonts w:asciiTheme="majorHAnsi" w:hAnsiTheme="majorHAnsi"/>
        </w:rPr>
        <w:t>State</w:t>
      </w:r>
      <w:r w:rsidRPr="00DA074D">
        <w:rPr>
          <w:rFonts w:asciiTheme="majorHAnsi" w:hAnsiTheme="majorHAnsi"/>
          <w:spacing w:val="-7"/>
        </w:rPr>
        <w:t xml:space="preserve"> </w:t>
      </w:r>
      <w:r w:rsidRPr="00DA074D">
        <w:rPr>
          <w:rFonts w:asciiTheme="majorHAnsi" w:hAnsiTheme="majorHAnsi"/>
        </w:rPr>
        <w:t>is</w:t>
      </w:r>
      <w:r w:rsidRPr="00DA074D">
        <w:rPr>
          <w:rFonts w:asciiTheme="majorHAnsi" w:hAnsiTheme="majorHAnsi"/>
          <w:spacing w:val="-7"/>
        </w:rPr>
        <w:t xml:space="preserve"> </w:t>
      </w:r>
      <w:r w:rsidRPr="00DA074D">
        <w:rPr>
          <w:rFonts w:asciiTheme="majorHAnsi" w:hAnsiTheme="majorHAnsi"/>
        </w:rPr>
        <w:t>a</w:t>
      </w:r>
      <w:r w:rsidRPr="00DA074D">
        <w:rPr>
          <w:rFonts w:asciiTheme="majorHAnsi" w:hAnsiTheme="majorHAnsi"/>
          <w:spacing w:val="-7"/>
        </w:rPr>
        <w:t xml:space="preserve"> </w:t>
      </w:r>
      <w:r w:rsidRPr="00DA074D">
        <w:rPr>
          <w:rFonts w:asciiTheme="majorHAnsi" w:hAnsiTheme="majorHAnsi"/>
        </w:rPr>
        <w:t>participant</w:t>
      </w:r>
      <w:r w:rsidRPr="00DA074D">
        <w:rPr>
          <w:rFonts w:asciiTheme="majorHAnsi" w:hAnsiTheme="majorHAnsi"/>
          <w:spacing w:val="-7"/>
        </w:rPr>
        <w:t xml:space="preserve"> </w:t>
      </w:r>
      <w:r w:rsidRPr="00DA074D">
        <w:rPr>
          <w:rFonts w:asciiTheme="majorHAnsi" w:hAnsiTheme="majorHAnsi"/>
        </w:rPr>
        <w:t>in</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8"/>
        </w:rPr>
        <w:t xml:space="preserve"> </w:t>
      </w:r>
      <w:r w:rsidRPr="00DA074D">
        <w:rPr>
          <w:rFonts w:asciiTheme="majorHAnsi" w:hAnsiTheme="majorHAnsi"/>
        </w:rPr>
        <w:t>*</w:t>
      </w:r>
      <w:r w:rsidRPr="00DA074D">
        <w:rPr>
          <w:rFonts w:asciiTheme="majorHAnsi" w:hAnsiTheme="majorHAnsi"/>
          <w:b/>
        </w:rPr>
        <w:t>Texas</w:t>
      </w:r>
      <w:r w:rsidRPr="00DA074D">
        <w:rPr>
          <w:rFonts w:asciiTheme="majorHAnsi" w:hAnsiTheme="majorHAnsi"/>
          <w:b/>
          <w:spacing w:val="-8"/>
        </w:rPr>
        <w:t xml:space="preserve"> </w:t>
      </w:r>
      <w:r w:rsidRPr="00DA074D">
        <w:rPr>
          <w:rFonts w:asciiTheme="majorHAnsi" w:hAnsiTheme="majorHAnsi"/>
          <w:b/>
        </w:rPr>
        <w:t>Common</w:t>
      </w:r>
      <w:r w:rsidRPr="00DA074D">
        <w:rPr>
          <w:rFonts w:asciiTheme="majorHAnsi" w:hAnsiTheme="majorHAnsi"/>
          <w:b/>
          <w:spacing w:val="-8"/>
        </w:rPr>
        <w:t xml:space="preserve"> </w:t>
      </w:r>
      <w:r w:rsidRPr="00DA074D">
        <w:rPr>
          <w:rFonts w:asciiTheme="majorHAnsi" w:hAnsiTheme="majorHAnsi"/>
          <w:b/>
        </w:rPr>
        <w:t>Course</w:t>
      </w:r>
      <w:r w:rsidRPr="00DA074D">
        <w:rPr>
          <w:rFonts w:asciiTheme="majorHAnsi" w:hAnsiTheme="majorHAnsi"/>
          <w:b/>
          <w:spacing w:val="-8"/>
        </w:rPr>
        <w:t xml:space="preserve"> </w:t>
      </w:r>
      <w:r w:rsidRPr="00DA074D">
        <w:rPr>
          <w:rFonts w:asciiTheme="majorHAnsi" w:hAnsiTheme="majorHAnsi"/>
          <w:b/>
        </w:rPr>
        <w:t>Numbering</w:t>
      </w:r>
      <w:r w:rsidRPr="00DA074D">
        <w:rPr>
          <w:rFonts w:asciiTheme="majorHAnsi" w:hAnsiTheme="majorHAnsi"/>
          <w:b/>
          <w:spacing w:val="-7"/>
        </w:rPr>
        <w:t xml:space="preserve"> </w:t>
      </w:r>
      <w:r w:rsidRPr="00DA074D">
        <w:rPr>
          <w:rFonts w:asciiTheme="majorHAnsi" w:hAnsiTheme="majorHAnsi"/>
          <w:b/>
        </w:rPr>
        <w:t>System</w:t>
      </w:r>
      <w:r w:rsidRPr="00DA074D">
        <w:rPr>
          <w:rFonts w:asciiTheme="majorHAnsi" w:hAnsiTheme="majorHAnsi"/>
          <w:b/>
          <w:spacing w:val="-6"/>
        </w:rPr>
        <w:t xml:space="preserve"> </w:t>
      </w:r>
      <w:hyperlink r:id="rId8">
        <w:r w:rsidRPr="00DA074D">
          <w:rPr>
            <w:rFonts w:asciiTheme="majorHAnsi" w:hAnsiTheme="majorHAnsi"/>
          </w:rPr>
          <w:t>(</w:t>
        </w:r>
        <w:r w:rsidRPr="00DA074D">
          <w:rPr>
            <w:rFonts w:asciiTheme="majorHAnsi" w:hAnsiTheme="majorHAnsi"/>
            <w:color w:val="0000FF"/>
            <w:u w:val="single" w:color="0000FF"/>
          </w:rPr>
          <w:t>TCCNS</w:t>
        </w:r>
        <w:r w:rsidRPr="00DA074D">
          <w:rPr>
            <w:rFonts w:asciiTheme="majorHAnsi" w:hAnsiTheme="majorHAnsi"/>
          </w:rPr>
          <w:t>).</w:t>
        </w:r>
        <w:r w:rsidRPr="00DA074D">
          <w:rPr>
            <w:rFonts w:asciiTheme="majorHAnsi" w:hAnsiTheme="majorHAnsi"/>
            <w:spacing w:val="-7"/>
          </w:rPr>
          <w:t xml:space="preserve"> </w:t>
        </w:r>
      </w:hyperlink>
      <w:r w:rsidRPr="00DA074D">
        <w:rPr>
          <w:rFonts w:asciiTheme="majorHAnsi" w:hAnsiTheme="majorHAnsi"/>
        </w:rPr>
        <w:t>Use</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7"/>
        </w:rPr>
        <w:t xml:space="preserve"> </w:t>
      </w:r>
      <w:r w:rsidRPr="00DA074D">
        <w:rPr>
          <w:rFonts w:asciiTheme="majorHAnsi" w:hAnsiTheme="majorHAnsi"/>
        </w:rPr>
        <w:t>TCCNS</w:t>
      </w:r>
      <w:r w:rsidRPr="00DA074D">
        <w:rPr>
          <w:rFonts w:asciiTheme="majorHAnsi" w:hAnsiTheme="majorHAnsi"/>
          <w:spacing w:val="-6"/>
        </w:rPr>
        <w:t xml:space="preserve"> </w:t>
      </w:r>
      <w:r w:rsidRPr="00DA074D">
        <w:rPr>
          <w:rFonts w:asciiTheme="majorHAnsi" w:hAnsiTheme="majorHAnsi"/>
        </w:rPr>
        <w:t>to</w:t>
      </w:r>
      <w:r w:rsidRPr="00DA074D">
        <w:rPr>
          <w:rFonts w:asciiTheme="majorHAnsi" w:hAnsiTheme="majorHAnsi"/>
          <w:spacing w:val="-7"/>
        </w:rPr>
        <w:t xml:space="preserve"> </w:t>
      </w:r>
      <w:r w:rsidRPr="00DA074D">
        <w:rPr>
          <w:rFonts w:asciiTheme="majorHAnsi" w:hAnsiTheme="majorHAnsi"/>
        </w:rPr>
        <w:t>find courses you can take at your institution to ensure transfer of credit toward freshman- and sophomore- level degree requirements at Texas</w:t>
      </w:r>
      <w:r w:rsidRPr="00DA074D">
        <w:rPr>
          <w:rFonts w:asciiTheme="majorHAnsi" w:hAnsiTheme="majorHAnsi"/>
          <w:spacing w:val="-5"/>
        </w:rPr>
        <w:t xml:space="preserve"> </w:t>
      </w:r>
      <w:r w:rsidRPr="00DA074D">
        <w:rPr>
          <w:rFonts w:asciiTheme="majorHAnsi" w:hAnsiTheme="majorHAnsi"/>
        </w:rPr>
        <w:t>State.</w:t>
      </w:r>
    </w:p>
    <w:p w14:paraId="48C8FEE6"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DA074D" w14:paraId="59EA30EA" w14:textId="77777777" w:rsidTr="00FA3CAC">
        <w:trPr>
          <w:trHeight w:val="247"/>
          <w:tblHeader/>
        </w:trPr>
        <w:tc>
          <w:tcPr>
            <w:tcW w:w="630" w:type="dxa"/>
          </w:tcPr>
          <w:p w14:paraId="1B7BD4E0" w14:textId="0980CA08" w:rsidR="00C13710" w:rsidRPr="00DA074D" w:rsidRDefault="00FA3CAC"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Code</w:t>
            </w:r>
          </w:p>
        </w:tc>
        <w:tc>
          <w:tcPr>
            <w:tcW w:w="3150" w:type="dxa"/>
          </w:tcPr>
          <w:p w14:paraId="78A25343" w14:textId="44F851B4"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Course</w:t>
            </w:r>
          </w:p>
        </w:tc>
        <w:tc>
          <w:tcPr>
            <w:tcW w:w="6310" w:type="dxa"/>
          </w:tcPr>
          <w:p w14:paraId="066132E5" w14:textId="1952AE11"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Required Hours</w:t>
            </w:r>
          </w:p>
        </w:tc>
      </w:tr>
      <w:tr w:rsidR="00B16860" w:rsidRPr="00DA074D" w14:paraId="00952CDF" w14:textId="77777777" w:rsidTr="00FA3CAC">
        <w:trPr>
          <w:trHeight w:val="247"/>
        </w:trPr>
        <w:tc>
          <w:tcPr>
            <w:tcW w:w="630" w:type="dxa"/>
          </w:tcPr>
          <w:p w14:paraId="61E7A4C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010</w:t>
            </w:r>
          </w:p>
        </w:tc>
        <w:tc>
          <w:tcPr>
            <w:tcW w:w="3150" w:type="dxa"/>
          </w:tcPr>
          <w:p w14:paraId="0EAA583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Communication</w:t>
            </w:r>
          </w:p>
        </w:tc>
        <w:tc>
          <w:tcPr>
            <w:tcW w:w="6310" w:type="dxa"/>
          </w:tcPr>
          <w:p w14:paraId="3807069B" w14:textId="2A9EB756"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r w:rsidR="00B16860" w:rsidRPr="00DA074D" w14:paraId="36DB38E2" w14:textId="77777777" w:rsidTr="00FA3CAC">
        <w:trPr>
          <w:trHeight w:val="245"/>
        </w:trPr>
        <w:tc>
          <w:tcPr>
            <w:tcW w:w="630" w:type="dxa"/>
          </w:tcPr>
          <w:p w14:paraId="75E72234"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020</w:t>
            </w:r>
          </w:p>
        </w:tc>
        <w:tc>
          <w:tcPr>
            <w:tcW w:w="3150" w:type="dxa"/>
          </w:tcPr>
          <w:p w14:paraId="3F1811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Mathematics</w:t>
            </w:r>
          </w:p>
        </w:tc>
        <w:tc>
          <w:tcPr>
            <w:tcW w:w="6310" w:type="dxa"/>
          </w:tcPr>
          <w:p w14:paraId="196E4860" w14:textId="7376466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23CB023D" w14:textId="77777777" w:rsidTr="00FA3CAC">
        <w:trPr>
          <w:trHeight w:val="246"/>
        </w:trPr>
        <w:tc>
          <w:tcPr>
            <w:tcW w:w="630" w:type="dxa"/>
          </w:tcPr>
          <w:p w14:paraId="1321FDD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030</w:t>
            </w:r>
          </w:p>
        </w:tc>
        <w:tc>
          <w:tcPr>
            <w:tcW w:w="3150" w:type="dxa"/>
          </w:tcPr>
          <w:p w14:paraId="1A12C186"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Life and Physical Sciences</w:t>
            </w:r>
          </w:p>
        </w:tc>
        <w:tc>
          <w:tcPr>
            <w:tcW w:w="6310" w:type="dxa"/>
          </w:tcPr>
          <w:p w14:paraId="5C96E48E" w14:textId="6BC35CF0"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0B5563CA" w14:textId="77777777" w:rsidTr="00FA3CAC">
        <w:trPr>
          <w:trHeight w:val="246"/>
        </w:trPr>
        <w:tc>
          <w:tcPr>
            <w:tcW w:w="630" w:type="dxa"/>
          </w:tcPr>
          <w:p w14:paraId="3E21B22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040</w:t>
            </w:r>
          </w:p>
        </w:tc>
        <w:tc>
          <w:tcPr>
            <w:tcW w:w="3150" w:type="dxa"/>
          </w:tcPr>
          <w:p w14:paraId="2DBC73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Language, Philosophy &amp; Culture</w:t>
            </w:r>
          </w:p>
        </w:tc>
        <w:tc>
          <w:tcPr>
            <w:tcW w:w="6310" w:type="dxa"/>
          </w:tcPr>
          <w:p w14:paraId="31B1C167" w14:textId="0D84618B"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7BB59567" w14:textId="77777777" w:rsidTr="00FA3CAC">
        <w:trPr>
          <w:trHeight w:val="245"/>
        </w:trPr>
        <w:tc>
          <w:tcPr>
            <w:tcW w:w="630" w:type="dxa"/>
          </w:tcPr>
          <w:p w14:paraId="65E1E7E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050</w:t>
            </w:r>
          </w:p>
        </w:tc>
        <w:tc>
          <w:tcPr>
            <w:tcW w:w="3150" w:type="dxa"/>
          </w:tcPr>
          <w:p w14:paraId="268AEA4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Creative Arts</w:t>
            </w:r>
          </w:p>
        </w:tc>
        <w:tc>
          <w:tcPr>
            <w:tcW w:w="6310" w:type="dxa"/>
          </w:tcPr>
          <w:p w14:paraId="3A4B7433" w14:textId="75FA3EDE"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3 required hours</w:t>
            </w:r>
          </w:p>
        </w:tc>
      </w:tr>
      <w:tr w:rsidR="00B16860" w:rsidRPr="00DA074D" w14:paraId="72469CDD" w14:textId="77777777" w:rsidTr="00FA3CAC">
        <w:trPr>
          <w:trHeight w:val="246"/>
        </w:trPr>
        <w:tc>
          <w:tcPr>
            <w:tcW w:w="630" w:type="dxa"/>
          </w:tcPr>
          <w:p w14:paraId="0031783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060</w:t>
            </w:r>
          </w:p>
        </w:tc>
        <w:tc>
          <w:tcPr>
            <w:tcW w:w="3150" w:type="dxa"/>
          </w:tcPr>
          <w:p w14:paraId="04DCDFA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American History</w:t>
            </w:r>
          </w:p>
        </w:tc>
        <w:tc>
          <w:tcPr>
            <w:tcW w:w="6310" w:type="dxa"/>
          </w:tcPr>
          <w:p w14:paraId="287D843B" w14:textId="5EB2DD3B"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79D8DEF5" w14:textId="77777777" w:rsidTr="00FA3CAC">
        <w:trPr>
          <w:trHeight w:val="246"/>
        </w:trPr>
        <w:tc>
          <w:tcPr>
            <w:tcW w:w="630" w:type="dxa"/>
          </w:tcPr>
          <w:p w14:paraId="19FCC49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070</w:t>
            </w:r>
          </w:p>
        </w:tc>
        <w:tc>
          <w:tcPr>
            <w:tcW w:w="3150" w:type="dxa"/>
          </w:tcPr>
          <w:p w14:paraId="110F495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Government/Political Science</w:t>
            </w:r>
          </w:p>
        </w:tc>
        <w:tc>
          <w:tcPr>
            <w:tcW w:w="6310" w:type="dxa"/>
          </w:tcPr>
          <w:p w14:paraId="127DA969" w14:textId="7152B8B1"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35F9F66E" w14:textId="77777777" w:rsidTr="00FA3CAC">
        <w:trPr>
          <w:trHeight w:val="247"/>
        </w:trPr>
        <w:tc>
          <w:tcPr>
            <w:tcW w:w="630" w:type="dxa"/>
          </w:tcPr>
          <w:p w14:paraId="0FEE579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080</w:t>
            </w:r>
          </w:p>
        </w:tc>
        <w:tc>
          <w:tcPr>
            <w:tcW w:w="3150" w:type="dxa"/>
          </w:tcPr>
          <w:p w14:paraId="45A2F5A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Social and Behavioral Sciences</w:t>
            </w:r>
          </w:p>
        </w:tc>
        <w:tc>
          <w:tcPr>
            <w:tcW w:w="6310" w:type="dxa"/>
          </w:tcPr>
          <w:p w14:paraId="17B5D6B1" w14:textId="6D9576E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51298485" w14:textId="77777777" w:rsidTr="00FA3CAC">
        <w:trPr>
          <w:trHeight w:val="247"/>
        </w:trPr>
        <w:tc>
          <w:tcPr>
            <w:tcW w:w="630" w:type="dxa"/>
          </w:tcPr>
          <w:p w14:paraId="516FA14B"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090</w:t>
            </w:r>
          </w:p>
        </w:tc>
        <w:tc>
          <w:tcPr>
            <w:tcW w:w="3150" w:type="dxa"/>
          </w:tcPr>
          <w:p w14:paraId="428B911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Component Area Option</w:t>
            </w:r>
          </w:p>
        </w:tc>
        <w:tc>
          <w:tcPr>
            <w:tcW w:w="6310" w:type="dxa"/>
          </w:tcPr>
          <w:p w14:paraId="7F49E6D5" w14:textId="2ECBFCCC"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bl>
    <w:p w14:paraId="40CDC7FF" w14:textId="77777777" w:rsidR="00B16860" w:rsidRPr="00DA074D" w:rsidRDefault="00B16860" w:rsidP="00FA3CAC">
      <w:pPr>
        <w:pStyle w:val="BodyText"/>
        <w:ind w:left="360" w:right="180"/>
        <w:rPr>
          <w:rFonts w:asciiTheme="majorHAnsi" w:hAnsiTheme="majorHAnsi"/>
        </w:rPr>
      </w:pPr>
    </w:p>
    <w:p w14:paraId="317E47C5" w14:textId="77777777" w:rsidR="00B16860" w:rsidRPr="00DA074D" w:rsidRDefault="000F6BB6" w:rsidP="00FA3CAC">
      <w:pPr>
        <w:ind w:left="360" w:right="180"/>
        <w:rPr>
          <w:rFonts w:asciiTheme="majorHAnsi" w:hAnsiTheme="majorHAnsi"/>
          <w:i/>
          <w:sz w:val="21"/>
          <w:szCs w:val="21"/>
        </w:rPr>
      </w:pPr>
      <w:r w:rsidRPr="00DA074D">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DA074D" w:rsidRDefault="00B16860" w:rsidP="00FA3CAC">
      <w:pPr>
        <w:pStyle w:val="BodyText"/>
        <w:ind w:left="360" w:right="180"/>
        <w:rPr>
          <w:rFonts w:asciiTheme="majorHAnsi" w:hAnsiTheme="majorHAnsi"/>
          <w:i/>
        </w:rPr>
      </w:pPr>
    </w:p>
    <w:p w14:paraId="3D874B93" w14:textId="00FBAB7F"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ADDITIONAL LOWER-DIVISION REQUIREMENTS</w:t>
      </w:r>
    </w:p>
    <w:p w14:paraId="0A6B15E8" w14:textId="77777777" w:rsidR="00B16860" w:rsidRPr="00DA074D" w:rsidRDefault="00B16860" w:rsidP="00FA3CAC">
      <w:pPr>
        <w:pStyle w:val="BodyText"/>
        <w:ind w:left="360" w:right="180"/>
        <w:rPr>
          <w:rFonts w:asciiTheme="majorHAnsi" w:hAnsiTheme="majorHAnsi"/>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130"/>
        <w:gridCol w:w="4950"/>
      </w:tblGrid>
      <w:tr w:rsidR="00E11A6D" w:rsidRPr="00DA074D" w14:paraId="448423A5" w14:textId="77777777" w:rsidTr="00022E4A">
        <w:trPr>
          <w:trHeight w:val="265"/>
          <w:tblHeader/>
        </w:trPr>
        <w:tc>
          <w:tcPr>
            <w:tcW w:w="5130" w:type="dxa"/>
          </w:tcPr>
          <w:p w14:paraId="1935DB85" w14:textId="664089B7"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TCCN</w:t>
            </w:r>
          </w:p>
        </w:tc>
        <w:tc>
          <w:tcPr>
            <w:tcW w:w="4950" w:type="dxa"/>
          </w:tcPr>
          <w:p w14:paraId="423348FF" w14:textId="05D785E3"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TEXAS</w:t>
            </w:r>
            <w:r w:rsidRPr="00DA074D">
              <w:rPr>
                <w:rFonts w:asciiTheme="majorHAnsi" w:hAnsiTheme="majorHAnsi"/>
                <w:spacing w:val="-2"/>
                <w:sz w:val="21"/>
                <w:szCs w:val="21"/>
                <w:u w:val="single"/>
              </w:rPr>
              <w:t xml:space="preserve"> </w:t>
            </w:r>
            <w:r w:rsidRPr="00DA074D">
              <w:rPr>
                <w:rFonts w:asciiTheme="majorHAnsi" w:hAnsiTheme="majorHAnsi"/>
                <w:sz w:val="21"/>
                <w:szCs w:val="21"/>
                <w:u w:val="single"/>
              </w:rPr>
              <w:t>STATE</w:t>
            </w:r>
          </w:p>
        </w:tc>
      </w:tr>
      <w:tr w:rsidR="00DB381F" w:rsidRPr="00DA074D" w14:paraId="061E4A50" w14:textId="77777777" w:rsidTr="00022E4A">
        <w:trPr>
          <w:trHeight w:val="265"/>
          <w:tblHeader/>
        </w:trPr>
        <w:tc>
          <w:tcPr>
            <w:tcW w:w="5130" w:type="dxa"/>
          </w:tcPr>
          <w:p w14:paraId="7FD1D19A" w14:textId="4217A8C2" w:rsidR="00DB381F" w:rsidRPr="00DA074D" w:rsidRDefault="00DB381F" w:rsidP="00DB381F">
            <w:pPr>
              <w:ind w:right="180"/>
              <w:rPr>
                <w:rFonts w:asciiTheme="majorHAnsi" w:hAnsiTheme="majorHAnsi"/>
                <w:sz w:val="21"/>
                <w:szCs w:val="21"/>
              </w:rPr>
            </w:pPr>
            <w:r>
              <w:rPr>
                <w:rFonts w:asciiTheme="majorHAnsi" w:hAnsiTheme="majorHAnsi"/>
                <w:sz w:val="21"/>
                <w:szCs w:val="21"/>
              </w:rPr>
              <w:t>MUSI 1116, 1117, 2116 &amp; 2117</w:t>
            </w:r>
          </w:p>
        </w:tc>
        <w:tc>
          <w:tcPr>
            <w:tcW w:w="4950" w:type="dxa"/>
          </w:tcPr>
          <w:p w14:paraId="2F630E09" w14:textId="6840FEB7" w:rsidR="00DB381F" w:rsidRPr="00DA074D" w:rsidRDefault="00DB381F" w:rsidP="00DB381F">
            <w:pPr>
              <w:ind w:right="180"/>
              <w:rPr>
                <w:rFonts w:asciiTheme="majorHAnsi" w:hAnsiTheme="majorHAnsi"/>
                <w:sz w:val="21"/>
                <w:szCs w:val="21"/>
              </w:rPr>
            </w:pPr>
            <w:r>
              <w:rPr>
                <w:rFonts w:asciiTheme="majorHAnsi" w:hAnsiTheme="majorHAnsi"/>
                <w:sz w:val="21"/>
                <w:szCs w:val="21"/>
              </w:rPr>
              <w:t>MU 1115, 1116, 2115 &amp; 2116</w:t>
            </w:r>
          </w:p>
        </w:tc>
      </w:tr>
      <w:tr w:rsidR="00DB381F" w:rsidRPr="00DA074D" w14:paraId="232BC0E6" w14:textId="77777777" w:rsidTr="00022E4A">
        <w:trPr>
          <w:trHeight w:val="265"/>
          <w:tblHeader/>
        </w:trPr>
        <w:tc>
          <w:tcPr>
            <w:tcW w:w="5130" w:type="dxa"/>
          </w:tcPr>
          <w:p w14:paraId="7111733B" w14:textId="4C19328C" w:rsidR="00DB381F" w:rsidRDefault="00DB381F" w:rsidP="00DB381F">
            <w:pPr>
              <w:ind w:right="180"/>
              <w:rPr>
                <w:rFonts w:asciiTheme="majorHAnsi" w:hAnsiTheme="majorHAnsi"/>
                <w:sz w:val="21"/>
                <w:szCs w:val="21"/>
              </w:rPr>
            </w:pPr>
            <w:r>
              <w:rPr>
                <w:rFonts w:asciiTheme="majorHAnsi" w:hAnsiTheme="majorHAnsi"/>
                <w:sz w:val="21"/>
                <w:szCs w:val="21"/>
              </w:rPr>
              <w:t>MUSI 1311, 1312, 2311 &amp; 2312</w:t>
            </w:r>
          </w:p>
        </w:tc>
        <w:tc>
          <w:tcPr>
            <w:tcW w:w="4950" w:type="dxa"/>
          </w:tcPr>
          <w:p w14:paraId="457E8E74" w14:textId="2311F0E9" w:rsidR="00DB381F" w:rsidRDefault="00DB381F" w:rsidP="00DB381F">
            <w:pPr>
              <w:ind w:right="180"/>
              <w:rPr>
                <w:rFonts w:asciiTheme="majorHAnsi" w:hAnsiTheme="majorHAnsi"/>
                <w:sz w:val="21"/>
                <w:szCs w:val="21"/>
              </w:rPr>
            </w:pPr>
            <w:r>
              <w:rPr>
                <w:rFonts w:asciiTheme="majorHAnsi" w:hAnsiTheme="majorHAnsi"/>
                <w:sz w:val="21"/>
                <w:szCs w:val="21"/>
              </w:rPr>
              <w:t>MU 1315, 1316, 2315 &amp; 2316</w:t>
            </w:r>
          </w:p>
        </w:tc>
      </w:tr>
      <w:tr w:rsidR="00DB381F" w:rsidRPr="00DA074D" w14:paraId="72E9A93D" w14:textId="77777777" w:rsidTr="00022E4A">
        <w:trPr>
          <w:trHeight w:val="265"/>
          <w:tblHeader/>
        </w:trPr>
        <w:tc>
          <w:tcPr>
            <w:tcW w:w="5130" w:type="dxa"/>
          </w:tcPr>
          <w:p w14:paraId="64113471" w14:textId="56492251" w:rsidR="00DB381F" w:rsidRDefault="00DB381F" w:rsidP="00DB381F">
            <w:pPr>
              <w:ind w:right="180"/>
              <w:rPr>
                <w:rFonts w:asciiTheme="majorHAnsi" w:hAnsiTheme="majorHAnsi"/>
                <w:sz w:val="21"/>
                <w:szCs w:val="21"/>
              </w:rPr>
            </w:pPr>
            <w:r>
              <w:rPr>
                <w:rFonts w:asciiTheme="majorHAnsi" w:hAnsiTheme="majorHAnsi"/>
                <w:sz w:val="21"/>
                <w:szCs w:val="21"/>
              </w:rPr>
              <w:t>MUSI 1307</w:t>
            </w:r>
          </w:p>
        </w:tc>
        <w:tc>
          <w:tcPr>
            <w:tcW w:w="4950" w:type="dxa"/>
          </w:tcPr>
          <w:p w14:paraId="0315B5BC" w14:textId="4616082A" w:rsidR="00DB381F" w:rsidRDefault="00DB381F" w:rsidP="00DB381F">
            <w:pPr>
              <w:ind w:right="180"/>
              <w:rPr>
                <w:rFonts w:asciiTheme="majorHAnsi" w:hAnsiTheme="majorHAnsi"/>
                <w:sz w:val="21"/>
                <w:szCs w:val="21"/>
              </w:rPr>
            </w:pPr>
            <w:r>
              <w:rPr>
                <w:rFonts w:asciiTheme="majorHAnsi" w:hAnsiTheme="majorHAnsi"/>
                <w:sz w:val="21"/>
                <w:szCs w:val="21"/>
              </w:rPr>
              <w:t>MU 2303</w:t>
            </w:r>
          </w:p>
        </w:tc>
      </w:tr>
      <w:tr w:rsidR="00DB381F" w:rsidRPr="00DA074D" w14:paraId="2F70D591" w14:textId="77777777" w:rsidTr="00022E4A">
        <w:trPr>
          <w:trHeight w:val="265"/>
          <w:tblHeader/>
        </w:trPr>
        <w:tc>
          <w:tcPr>
            <w:tcW w:w="5130" w:type="dxa"/>
          </w:tcPr>
          <w:p w14:paraId="29782342" w14:textId="56441B55" w:rsidR="00DB381F" w:rsidRDefault="00DB381F" w:rsidP="00DB381F">
            <w:pPr>
              <w:ind w:right="180"/>
              <w:rPr>
                <w:rFonts w:asciiTheme="majorHAnsi" w:hAnsiTheme="majorHAnsi"/>
                <w:sz w:val="21"/>
                <w:szCs w:val="21"/>
              </w:rPr>
            </w:pPr>
            <w:r>
              <w:rPr>
                <w:rFonts w:asciiTheme="majorHAnsi" w:hAnsiTheme="majorHAnsi"/>
                <w:sz w:val="21"/>
                <w:szCs w:val="21"/>
              </w:rPr>
              <w:t>MUAP 11XX, 12XX, 21XX &amp; 22XX</w:t>
            </w:r>
          </w:p>
        </w:tc>
        <w:tc>
          <w:tcPr>
            <w:tcW w:w="4950" w:type="dxa"/>
          </w:tcPr>
          <w:p w14:paraId="00ED6CBA" w14:textId="0DD9712F" w:rsidR="00DB381F" w:rsidRDefault="00DB381F" w:rsidP="00DB381F">
            <w:pPr>
              <w:ind w:right="180"/>
              <w:rPr>
                <w:rFonts w:asciiTheme="majorHAnsi" w:hAnsiTheme="majorHAnsi"/>
                <w:sz w:val="21"/>
                <w:szCs w:val="21"/>
              </w:rPr>
            </w:pPr>
            <w:r>
              <w:rPr>
                <w:rFonts w:asciiTheme="majorHAnsi" w:hAnsiTheme="majorHAnsi"/>
                <w:sz w:val="21"/>
                <w:szCs w:val="21"/>
              </w:rPr>
              <w:t>MUSP 11XX, 12XX, 21XX &amp; 22XX</w:t>
            </w:r>
          </w:p>
        </w:tc>
      </w:tr>
      <w:tr w:rsidR="00DB381F" w:rsidRPr="00DA074D" w14:paraId="75407758" w14:textId="77777777" w:rsidTr="00022E4A">
        <w:trPr>
          <w:trHeight w:val="265"/>
          <w:tblHeader/>
        </w:trPr>
        <w:tc>
          <w:tcPr>
            <w:tcW w:w="5130" w:type="dxa"/>
          </w:tcPr>
          <w:p w14:paraId="29D6B5E8" w14:textId="69D7E1BA" w:rsidR="00DB381F" w:rsidRDefault="00DB381F" w:rsidP="00DB381F">
            <w:pPr>
              <w:ind w:right="180"/>
              <w:rPr>
                <w:rFonts w:asciiTheme="majorHAnsi" w:hAnsiTheme="majorHAnsi"/>
                <w:sz w:val="21"/>
                <w:szCs w:val="21"/>
              </w:rPr>
            </w:pPr>
            <w:r>
              <w:rPr>
                <w:rFonts w:asciiTheme="majorHAnsi" w:hAnsiTheme="majorHAnsi"/>
                <w:sz w:val="21"/>
                <w:szCs w:val="21"/>
              </w:rPr>
              <w:t>MUEN 11XX &amp; 21XX</w:t>
            </w:r>
          </w:p>
        </w:tc>
        <w:tc>
          <w:tcPr>
            <w:tcW w:w="4950" w:type="dxa"/>
          </w:tcPr>
          <w:p w14:paraId="2D0D609F" w14:textId="19FB8B9E" w:rsidR="00DB381F" w:rsidRDefault="00DB381F" w:rsidP="00DB381F">
            <w:pPr>
              <w:ind w:right="180"/>
              <w:rPr>
                <w:rFonts w:asciiTheme="majorHAnsi" w:hAnsiTheme="majorHAnsi"/>
                <w:sz w:val="21"/>
                <w:szCs w:val="21"/>
              </w:rPr>
            </w:pPr>
            <w:r>
              <w:rPr>
                <w:rFonts w:asciiTheme="majorHAnsi" w:hAnsiTheme="majorHAnsi"/>
                <w:sz w:val="21"/>
                <w:szCs w:val="21"/>
              </w:rPr>
              <w:t>MUSE ELNA &amp; MUSE ELNA</w:t>
            </w:r>
          </w:p>
        </w:tc>
      </w:tr>
    </w:tbl>
    <w:p w14:paraId="43C5394A" w14:textId="77777777" w:rsidR="000841CF" w:rsidRDefault="000841CF">
      <w:pPr>
        <w:rPr>
          <w:rFonts w:asciiTheme="majorHAnsi" w:hAnsiTheme="majorHAnsi"/>
          <w:sz w:val="21"/>
          <w:szCs w:val="21"/>
        </w:rPr>
      </w:pPr>
      <w:r>
        <w:rPr>
          <w:rFonts w:asciiTheme="majorHAnsi" w:hAnsiTheme="majorHAnsi"/>
          <w:sz w:val="21"/>
          <w:szCs w:val="21"/>
        </w:rPr>
        <w:br w:type="page"/>
      </w:r>
    </w:p>
    <w:p w14:paraId="300DB15A" w14:textId="67C9CCDD" w:rsidR="00DB381F" w:rsidRDefault="00DB381F" w:rsidP="00DB381F">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lastRenderedPageBreak/>
        <w:t>SCHOOL OF MUSIC ADMITTANCE REQUIREMENTS:</w:t>
      </w:r>
    </w:p>
    <w:p w14:paraId="18599946" w14:textId="77777777" w:rsidR="00DB381F" w:rsidRDefault="00DB381F" w:rsidP="00DB381F">
      <w:pPr>
        <w:pStyle w:val="BodyText"/>
        <w:ind w:left="360"/>
      </w:pPr>
    </w:p>
    <w:p w14:paraId="4059C229" w14:textId="77777777" w:rsidR="00DB381F" w:rsidRDefault="00DB381F" w:rsidP="00DB381F">
      <w:pPr>
        <w:pStyle w:val="BodyText"/>
        <w:ind w:left="360"/>
      </w:pPr>
      <w:r>
        <w:rPr>
          <w:rFonts w:cstheme="minorHAnsi"/>
        </w:rPr>
        <w:t>Admission to the School of Music is contingent upon admission to Texas State, successful completion of the audition process, and available space</w:t>
      </w:r>
      <w:r>
        <w:t xml:space="preserve"> in each studio. Moreover, a successful audition does not automatically ensure acceptance to the School of Music at Texas State. Prospective music majors will not be permitted to enroll in applied music and other music major classes until they have been accepted based on their audition and met with an academic advisor.</w:t>
      </w:r>
    </w:p>
    <w:p w14:paraId="4E7A6D6B" w14:textId="77777777" w:rsidR="00DB381F" w:rsidRDefault="004C733E" w:rsidP="00DB381F">
      <w:pPr>
        <w:pStyle w:val="BodyText"/>
        <w:ind w:left="360"/>
      </w:pPr>
      <w:hyperlink r:id="rId9" w:history="1">
        <w:r w:rsidR="00DB381F">
          <w:rPr>
            <w:rStyle w:val="Hyperlink"/>
          </w:rPr>
          <w:t>http://www.music.txstate.edu/prospectivestudents/BecomingaMusicMajor</w:t>
        </w:r>
      </w:hyperlink>
    </w:p>
    <w:p w14:paraId="49C4897F" w14:textId="77777777" w:rsidR="00DB381F" w:rsidRDefault="00DB381F" w:rsidP="00DB381F">
      <w:pPr>
        <w:pStyle w:val="BodyText"/>
        <w:ind w:left="360"/>
      </w:pPr>
    </w:p>
    <w:p w14:paraId="13DBAEFF" w14:textId="77777777" w:rsidR="00DB381F" w:rsidRDefault="00DB381F" w:rsidP="00DB381F">
      <w:pPr>
        <w:pStyle w:val="BodyText"/>
        <w:ind w:left="360"/>
      </w:pPr>
      <w:r>
        <w:rPr>
          <w:b/>
        </w:rPr>
        <w:t>Per the Music Field of Study</w:t>
      </w:r>
      <w:r>
        <w:t>, we will accept eight hours of applied study. Two hour applied lessons should be taken each semester for up to four semesters in the same instrument that the student plans to audition with.</w:t>
      </w:r>
    </w:p>
    <w:p w14:paraId="6DD528A7" w14:textId="77777777" w:rsidR="00DB381F" w:rsidRDefault="00DB381F" w:rsidP="00DB381F">
      <w:pPr>
        <w:pStyle w:val="BodyText"/>
        <w:ind w:left="360"/>
      </w:pPr>
    </w:p>
    <w:p w14:paraId="25857B77" w14:textId="0CDE542F" w:rsidR="00DB381F" w:rsidRDefault="00DB381F" w:rsidP="00DB381F">
      <w:pPr>
        <w:pStyle w:val="BodyText"/>
        <w:ind w:left="360"/>
      </w:pPr>
      <w:r>
        <w:rPr>
          <w:b/>
        </w:rPr>
        <w:t>Major ensembles must match</w:t>
      </w:r>
      <w:r>
        <w:t xml:space="preserve"> the instrument that has been accepted for admission. For example, instrumentalists will need a wind band or orchestra (string), and vocalists will need choral ensembles. Secondary ensembles will not fulfill this requirement.</w:t>
      </w:r>
    </w:p>
    <w:p w14:paraId="48503B48" w14:textId="77777777" w:rsidR="00DB381F" w:rsidRDefault="00DB381F" w:rsidP="00DB381F">
      <w:pPr>
        <w:pStyle w:val="BodyText"/>
        <w:ind w:left="360"/>
      </w:pPr>
    </w:p>
    <w:p w14:paraId="4BAD2735" w14:textId="15175D4D"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UNIVERSITY ADMISSION:</w:t>
      </w:r>
    </w:p>
    <w:p w14:paraId="7F8D81E4" w14:textId="77777777" w:rsidR="004F0C1F" w:rsidRPr="00DA074D" w:rsidRDefault="004F0C1F" w:rsidP="0079457C">
      <w:pPr>
        <w:rPr>
          <w:rFonts w:asciiTheme="majorHAnsi" w:hAnsiTheme="majorHAnsi"/>
          <w:sz w:val="21"/>
          <w:szCs w:val="21"/>
        </w:rPr>
      </w:pPr>
    </w:p>
    <w:p w14:paraId="4CC5E7DB" w14:textId="4DD9F0CE"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Submit a completed</w:t>
      </w:r>
      <w:r w:rsidRPr="00DA074D">
        <w:rPr>
          <w:rFonts w:asciiTheme="majorHAnsi" w:hAnsiTheme="majorHAnsi"/>
          <w:color w:val="0462C1"/>
          <w:sz w:val="21"/>
          <w:szCs w:val="21"/>
        </w:rPr>
        <w:t xml:space="preserve"> </w:t>
      </w:r>
      <w:hyperlink r:id="rId10">
        <w:r w:rsidRPr="00DA074D">
          <w:rPr>
            <w:rFonts w:asciiTheme="majorHAnsi" w:hAnsiTheme="majorHAnsi"/>
            <w:color w:val="0462C1"/>
            <w:sz w:val="21"/>
            <w:szCs w:val="21"/>
            <w:u w:val="single" w:color="0462C1"/>
          </w:rPr>
          <w:t>application</w:t>
        </w:r>
        <w:r w:rsidRPr="00DA074D">
          <w:rPr>
            <w:rFonts w:asciiTheme="majorHAnsi" w:hAnsiTheme="majorHAnsi"/>
            <w:sz w:val="21"/>
            <w:szCs w:val="21"/>
          </w:rPr>
          <w:t xml:space="preserve">, </w:t>
        </w:r>
      </w:hyperlink>
      <w:r w:rsidRPr="00DA074D">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11">
        <w:r w:rsidRPr="00DA074D">
          <w:rPr>
            <w:rFonts w:asciiTheme="majorHAnsi" w:hAnsiTheme="majorHAnsi"/>
            <w:color w:val="0000FF"/>
            <w:spacing w:val="-4"/>
            <w:sz w:val="21"/>
            <w:szCs w:val="21"/>
          </w:rPr>
          <w:t xml:space="preserve"> </w:t>
        </w:r>
        <w:r w:rsidRPr="00DA074D">
          <w:rPr>
            <w:rFonts w:asciiTheme="majorHAnsi" w:hAnsiTheme="majorHAnsi"/>
            <w:color w:val="0000FF"/>
            <w:sz w:val="21"/>
            <w:szCs w:val="21"/>
            <w:u w:val="single" w:color="0000FF"/>
          </w:rPr>
          <w:t>priority</w:t>
        </w:r>
        <w:r w:rsidR="00AC2F6F" w:rsidRPr="00DA074D">
          <w:rPr>
            <w:rFonts w:asciiTheme="majorHAnsi" w:hAnsiTheme="majorHAnsi"/>
            <w:color w:val="0000FF"/>
            <w:sz w:val="21"/>
            <w:szCs w:val="21"/>
            <w:u w:val="single" w:color="0000FF"/>
          </w:rPr>
          <w:t xml:space="preserve"> </w:t>
        </w:r>
        <w:r w:rsidRPr="00DA074D">
          <w:rPr>
            <w:rFonts w:asciiTheme="majorHAnsi" w:hAnsiTheme="majorHAnsi"/>
            <w:color w:val="0000FF"/>
            <w:sz w:val="21"/>
            <w:szCs w:val="21"/>
            <w:u w:val="single" w:color="0000FF"/>
          </w:rPr>
          <w:t>date</w:t>
        </w:r>
        <w:r w:rsidRPr="00DA074D">
          <w:rPr>
            <w:rFonts w:asciiTheme="majorHAnsi" w:hAnsiTheme="majorHAnsi"/>
            <w:sz w:val="21"/>
            <w:szCs w:val="21"/>
          </w:rPr>
          <w:t>.</w:t>
        </w:r>
      </w:hyperlink>
    </w:p>
    <w:p w14:paraId="5F5CA0F6" w14:textId="77777777" w:rsidR="00B16860" w:rsidRPr="00DA074D" w:rsidRDefault="00B16860" w:rsidP="002975B6">
      <w:pPr>
        <w:pStyle w:val="BodyText"/>
        <w:ind w:left="792" w:right="187" w:hanging="432"/>
        <w:rPr>
          <w:rFonts w:asciiTheme="majorHAnsi" w:hAnsiTheme="majorHAnsi"/>
        </w:rPr>
      </w:pPr>
    </w:p>
    <w:p w14:paraId="7F97E67D" w14:textId="56EEE91D"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 xml:space="preserve">Students with </w:t>
      </w:r>
      <w:r w:rsidRPr="00DA074D">
        <w:rPr>
          <w:rFonts w:asciiTheme="majorHAnsi" w:hAnsiTheme="majorHAnsi"/>
          <w:b/>
          <w:sz w:val="21"/>
          <w:szCs w:val="21"/>
        </w:rPr>
        <w:t>1-</w:t>
      </w:r>
      <w:r w:rsidR="00AC2F6F" w:rsidRPr="00DA074D">
        <w:rPr>
          <w:rFonts w:asciiTheme="majorHAnsi" w:hAnsiTheme="majorHAnsi"/>
          <w:b/>
          <w:sz w:val="21"/>
          <w:szCs w:val="21"/>
        </w:rPr>
        <w:t>15</w:t>
      </w:r>
      <w:r w:rsidRPr="00DA074D">
        <w:rPr>
          <w:rFonts w:asciiTheme="majorHAnsi" w:hAnsiTheme="majorHAnsi"/>
          <w:b/>
          <w:sz w:val="21"/>
          <w:szCs w:val="21"/>
        </w:rPr>
        <w:t xml:space="preserve"> transferable hours </w:t>
      </w:r>
      <w:r w:rsidRPr="00DA074D">
        <w:rPr>
          <w:rFonts w:asciiTheme="majorHAnsi" w:hAnsiTheme="majorHAnsi"/>
          <w:sz w:val="21"/>
          <w:szCs w:val="21"/>
        </w:rPr>
        <w:t>must have a minimum 2.0 GPA in all transferable course work and meet</w:t>
      </w:r>
      <w:r w:rsidRPr="00DA074D">
        <w:rPr>
          <w:rFonts w:asciiTheme="majorHAnsi" w:hAnsiTheme="majorHAnsi"/>
          <w:color w:val="0462C1"/>
          <w:sz w:val="21"/>
          <w:szCs w:val="21"/>
        </w:rPr>
        <w:t xml:space="preserve"> </w:t>
      </w:r>
      <w:hyperlink r:id="rId12">
        <w:r w:rsidRPr="00DA074D">
          <w:rPr>
            <w:rFonts w:asciiTheme="majorHAnsi" w:hAnsiTheme="majorHAnsi"/>
            <w:color w:val="0462C1"/>
            <w:sz w:val="21"/>
            <w:szCs w:val="21"/>
            <w:u w:val="single" w:color="0462C1"/>
          </w:rPr>
          <w:t>freshman admission standards</w:t>
        </w:r>
        <w:r w:rsidRPr="00DA074D">
          <w:rPr>
            <w:rFonts w:asciiTheme="majorHAnsi" w:hAnsiTheme="majorHAnsi"/>
            <w:sz w:val="21"/>
            <w:szCs w:val="21"/>
          </w:rPr>
          <w:t xml:space="preserve">. </w:t>
        </w:r>
      </w:hyperlink>
      <w:r w:rsidR="00AC2F6F" w:rsidRPr="00DA074D">
        <w:rPr>
          <w:rFonts w:asciiTheme="majorHAnsi" w:hAnsiTheme="majorHAnsi"/>
          <w:sz w:val="21"/>
          <w:szCs w:val="21"/>
        </w:rPr>
        <w:t xml:space="preserve">Students with </w:t>
      </w:r>
      <w:r w:rsidR="00AC2F6F" w:rsidRPr="00DA074D">
        <w:rPr>
          <w:rFonts w:asciiTheme="majorHAnsi" w:hAnsiTheme="majorHAnsi"/>
          <w:b/>
          <w:sz w:val="21"/>
          <w:szCs w:val="21"/>
        </w:rPr>
        <w:t xml:space="preserve">16-29 transferable hours </w:t>
      </w:r>
      <w:r w:rsidR="00AC2F6F" w:rsidRPr="00DA074D">
        <w:rPr>
          <w:rFonts w:asciiTheme="majorHAnsi" w:hAnsiTheme="majorHAnsi"/>
          <w:sz w:val="21"/>
          <w:szCs w:val="21"/>
        </w:rPr>
        <w:t xml:space="preserve">must have a minimum 2.5 GPA in all transferable course work. </w:t>
      </w:r>
      <w:r w:rsidRPr="00DA074D">
        <w:rPr>
          <w:rFonts w:asciiTheme="majorHAnsi" w:hAnsiTheme="majorHAnsi"/>
          <w:sz w:val="21"/>
          <w:szCs w:val="21"/>
        </w:rPr>
        <w:t xml:space="preserve">Students with </w:t>
      </w:r>
      <w:r w:rsidRPr="00DA074D">
        <w:rPr>
          <w:rFonts w:asciiTheme="majorHAnsi" w:hAnsiTheme="majorHAnsi"/>
          <w:b/>
          <w:sz w:val="21"/>
          <w:szCs w:val="21"/>
        </w:rPr>
        <w:t xml:space="preserve">30 or more transferable hours </w:t>
      </w:r>
      <w:r w:rsidRPr="00DA074D">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DA074D">
        <w:rPr>
          <w:rFonts w:asciiTheme="majorHAnsi" w:hAnsiTheme="majorHAnsi"/>
          <w:spacing w:val="-15"/>
          <w:sz w:val="21"/>
          <w:szCs w:val="21"/>
        </w:rPr>
        <w:t xml:space="preserve"> </w:t>
      </w:r>
      <w:r w:rsidRPr="00DA074D">
        <w:rPr>
          <w:rFonts w:asciiTheme="majorHAnsi" w:hAnsiTheme="majorHAnsi"/>
          <w:sz w:val="21"/>
          <w:szCs w:val="21"/>
        </w:rPr>
        <w:t>school.</w:t>
      </w:r>
    </w:p>
    <w:p w14:paraId="0172438C" w14:textId="77777777" w:rsidR="00B16860" w:rsidRPr="00DA074D" w:rsidRDefault="00B16860" w:rsidP="00FA3CAC">
      <w:pPr>
        <w:pStyle w:val="BodyText"/>
        <w:ind w:left="360" w:right="180"/>
        <w:rPr>
          <w:rFonts w:asciiTheme="majorHAnsi" w:hAnsiTheme="majorHAnsi"/>
        </w:rPr>
      </w:pPr>
    </w:p>
    <w:p w14:paraId="17960856"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Students transferring to Texas State from a community college may elect to follow the </w:t>
      </w:r>
      <w:hyperlink r:id="rId13">
        <w:r w:rsidRPr="00DA074D">
          <w:rPr>
            <w:rFonts w:asciiTheme="majorHAnsi" w:hAnsiTheme="majorHAnsi"/>
            <w:color w:val="0000FF"/>
            <w:u w:val="single" w:color="0000FF"/>
          </w:rPr>
          <w:t>Texas State</w:t>
        </w:r>
      </w:hyperlink>
      <w:r w:rsidRPr="00DA074D">
        <w:rPr>
          <w:rFonts w:asciiTheme="majorHAnsi" w:hAnsiTheme="majorHAnsi"/>
          <w:color w:val="0000FF"/>
        </w:rPr>
        <w:t xml:space="preserve"> </w:t>
      </w:r>
      <w:hyperlink r:id="rId14">
        <w:r w:rsidRPr="00DA074D">
          <w:rPr>
            <w:rFonts w:asciiTheme="majorHAnsi" w:hAnsiTheme="majorHAnsi"/>
            <w:color w:val="0000FF"/>
            <w:u w:val="single" w:color="0000FF"/>
          </w:rPr>
          <w:t>Undergraduate Catalog</w:t>
        </w:r>
        <w:r w:rsidRPr="00DA074D">
          <w:rPr>
            <w:rFonts w:asciiTheme="majorHAnsi" w:hAnsiTheme="majorHAnsi"/>
            <w:color w:val="0000FF"/>
          </w:rPr>
          <w:t xml:space="preserve"> </w:t>
        </w:r>
      </w:hyperlink>
      <w:r w:rsidRPr="00DA074D">
        <w:rPr>
          <w:rFonts w:asciiTheme="majorHAnsi" w:hAnsiTheme="majorHAnsi"/>
        </w:rPr>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71CA80BD" w14:textId="77777777" w:rsidR="00B16860" w:rsidRPr="00DA074D" w:rsidRDefault="00B16860" w:rsidP="00FA3CAC">
      <w:pPr>
        <w:pStyle w:val="BodyText"/>
        <w:ind w:left="360" w:right="180"/>
        <w:rPr>
          <w:rFonts w:asciiTheme="majorHAnsi" w:hAnsiTheme="majorHAnsi"/>
        </w:rPr>
      </w:pPr>
    </w:p>
    <w:p w14:paraId="7AF0A314" w14:textId="77AB1396" w:rsidR="00B30C85" w:rsidRPr="00DA074D" w:rsidRDefault="000F6BB6" w:rsidP="00B30C85">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FOR MORE INFORMATION, CONTACT:</w:t>
      </w:r>
    </w:p>
    <w:p w14:paraId="5A11FF68" w14:textId="77777777" w:rsidR="004F0C1F" w:rsidRPr="00DA074D" w:rsidRDefault="004F0C1F" w:rsidP="0079457C">
      <w:pPr>
        <w:rPr>
          <w:rFonts w:asciiTheme="majorHAnsi" w:hAnsiTheme="majorHAnsi"/>
          <w:sz w:val="21"/>
          <w:szCs w:val="21"/>
        </w:rPr>
      </w:pPr>
    </w:p>
    <w:p w14:paraId="71009C4A" w14:textId="77777777" w:rsidR="004F0C1F" w:rsidRPr="00DA074D" w:rsidRDefault="000F6BB6" w:rsidP="00FA3CAC">
      <w:pPr>
        <w:pStyle w:val="BodyText"/>
        <w:ind w:left="360" w:right="180"/>
        <w:rPr>
          <w:rFonts w:asciiTheme="majorHAnsi" w:hAnsiTheme="majorHAnsi"/>
        </w:rPr>
      </w:pPr>
      <w:r w:rsidRPr="00DA074D">
        <w:rPr>
          <w:rFonts w:asciiTheme="majorHAnsi" w:hAnsiTheme="majorHAnsi"/>
        </w:rPr>
        <w:t xml:space="preserve">Office of Undergraduate Admissions </w:t>
      </w:r>
    </w:p>
    <w:p w14:paraId="73CE4AA6" w14:textId="3F78C6AF" w:rsidR="00B16860" w:rsidRPr="00DA074D" w:rsidRDefault="000F6BB6" w:rsidP="00FA3CAC">
      <w:pPr>
        <w:pStyle w:val="BodyText"/>
        <w:ind w:left="360" w:right="180"/>
        <w:rPr>
          <w:rFonts w:asciiTheme="majorHAnsi" w:hAnsiTheme="majorHAnsi"/>
        </w:rPr>
      </w:pPr>
      <w:r w:rsidRPr="00DA074D">
        <w:rPr>
          <w:rFonts w:asciiTheme="majorHAnsi" w:hAnsiTheme="majorHAnsi"/>
        </w:rPr>
        <w:t>Texas State University</w:t>
      </w:r>
    </w:p>
    <w:p w14:paraId="176AEE89" w14:textId="2EFCEC66" w:rsidR="004F0C1F" w:rsidRPr="00DA074D" w:rsidRDefault="004F0C1F" w:rsidP="00FA3CAC">
      <w:pPr>
        <w:pStyle w:val="BodyText"/>
        <w:ind w:left="360" w:right="180"/>
        <w:rPr>
          <w:rFonts w:asciiTheme="majorHAnsi" w:hAnsiTheme="majorHAnsi"/>
        </w:rPr>
      </w:pPr>
      <w:r w:rsidRPr="00DA074D">
        <w:rPr>
          <w:rFonts w:asciiTheme="majorHAnsi" w:hAnsiTheme="majorHAnsi"/>
        </w:rPr>
        <w:t>Richard A. Castro Undergraduate Admissions Center</w:t>
      </w:r>
    </w:p>
    <w:p w14:paraId="4C12B8B1"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429 N. Guadalupe St.</w:t>
      </w:r>
    </w:p>
    <w:p w14:paraId="0E6D390D" w14:textId="77777777"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San Marcos, Texas 78666 </w:t>
      </w:r>
    </w:p>
    <w:p w14:paraId="1A11F6EB" w14:textId="37A6A0A2"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512.245.2364 </w:t>
      </w:r>
    </w:p>
    <w:p w14:paraId="2FA0D107" w14:textId="4983E65A" w:rsidR="0040482C" w:rsidRPr="00DA074D" w:rsidRDefault="004C733E" w:rsidP="00FA3CAC">
      <w:pPr>
        <w:pStyle w:val="BodyText"/>
        <w:ind w:left="360" w:right="180"/>
        <w:rPr>
          <w:rFonts w:asciiTheme="majorHAnsi" w:hAnsiTheme="majorHAnsi"/>
        </w:rPr>
      </w:pPr>
      <w:hyperlink r:id="rId15" w:history="1">
        <w:r w:rsidR="0040482C" w:rsidRPr="00DA074D">
          <w:rPr>
            <w:rStyle w:val="Hyperlink"/>
            <w:rFonts w:asciiTheme="majorHAnsi" w:hAnsiTheme="majorHAnsi"/>
          </w:rPr>
          <w:t>https://www.admissions.txstate.edu/</w:t>
        </w:r>
      </w:hyperlink>
    </w:p>
    <w:p w14:paraId="26D9BB5A" w14:textId="073C4E9F" w:rsidR="00B16860" w:rsidRPr="00DA074D" w:rsidRDefault="00C42CCF" w:rsidP="00FA3CAC">
      <w:pPr>
        <w:pStyle w:val="BodyText"/>
        <w:ind w:left="360" w:right="180"/>
        <w:rPr>
          <w:rFonts w:asciiTheme="majorHAnsi" w:hAnsiTheme="majorHAnsi"/>
        </w:rPr>
      </w:pPr>
      <w:r w:rsidRPr="00DA074D">
        <w:rPr>
          <w:rFonts w:asciiTheme="majorHAnsi" w:hAnsiTheme="majorHAnsi"/>
        </w:rPr>
        <w:tab/>
      </w:r>
    </w:p>
    <w:p w14:paraId="09F540BE" w14:textId="718725C5"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College of </w:t>
      </w:r>
      <w:r w:rsidR="00F60E49">
        <w:rPr>
          <w:rFonts w:asciiTheme="majorHAnsi" w:hAnsiTheme="majorHAnsi"/>
        </w:rPr>
        <w:t>Fine</w:t>
      </w:r>
      <w:r w:rsidR="004F0C1F" w:rsidRPr="00DA074D">
        <w:rPr>
          <w:rFonts w:asciiTheme="majorHAnsi" w:hAnsiTheme="majorHAnsi"/>
        </w:rPr>
        <w:t xml:space="preserve"> Arts</w:t>
      </w:r>
      <w:r w:rsidR="00F60E49">
        <w:rPr>
          <w:rFonts w:asciiTheme="majorHAnsi" w:hAnsiTheme="majorHAnsi"/>
        </w:rPr>
        <w:t xml:space="preserve"> and Communication</w:t>
      </w:r>
      <w:r w:rsidR="004F0C1F" w:rsidRPr="00DA074D">
        <w:rPr>
          <w:rFonts w:asciiTheme="majorHAnsi" w:hAnsiTheme="majorHAnsi"/>
        </w:rPr>
        <w:t xml:space="preserve"> Advising Center</w:t>
      </w:r>
    </w:p>
    <w:p w14:paraId="1B5FD400" w14:textId="635B38DD" w:rsidR="002975B6" w:rsidRPr="00DA074D" w:rsidRDefault="004B7799" w:rsidP="00FA3CAC">
      <w:pPr>
        <w:pStyle w:val="BodyText"/>
        <w:ind w:left="360" w:right="180"/>
        <w:rPr>
          <w:rFonts w:asciiTheme="majorHAnsi" w:hAnsiTheme="majorHAnsi"/>
        </w:rPr>
      </w:pPr>
      <w:r>
        <w:rPr>
          <w:rFonts w:asciiTheme="majorHAnsi" w:hAnsiTheme="majorHAnsi"/>
        </w:rPr>
        <w:t>Old Main</w:t>
      </w:r>
      <w:r w:rsidR="0040482C" w:rsidRPr="00DA074D">
        <w:rPr>
          <w:rFonts w:asciiTheme="majorHAnsi" w:hAnsiTheme="majorHAnsi"/>
        </w:rPr>
        <w:t>, Room</w:t>
      </w:r>
      <w:r w:rsidR="004F0C1F" w:rsidRPr="00DA074D">
        <w:rPr>
          <w:rFonts w:asciiTheme="majorHAnsi" w:hAnsiTheme="majorHAnsi"/>
        </w:rPr>
        <w:t xml:space="preserve"> </w:t>
      </w:r>
      <w:r>
        <w:rPr>
          <w:rFonts w:asciiTheme="majorHAnsi" w:hAnsiTheme="majorHAnsi"/>
        </w:rPr>
        <w:t>118</w:t>
      </w:r>
    </w:p>
    <w:p w14:paraId="3F178691" w14:textId="1D2D2BAB" w:rsidR="002975B6" w:rsidRPr="00DA074D" w:rsidRDefault="000F6BB6" w:rsidP="00FA3CAC">
      <w:pPr>
        <w:pStyle w:val="BodyText"/>
        <w:ind w:left="360" w:right="180"/>
        <w:rPr>
          <w:rFonts w:asciiTheme="majorHAnsi" w:hAnsiTheme="majorHAnsi"/>
        </w:rPr>
      </w:pPr>
      <w:r w:rsidRPr="00DA074D">
        <w:rPr>
          <w:rFonts w:asciiTheme="majorHAnsi" w:hAnsiTheme="majorHAnsi"/>
        </w:rPr>
        <w:t>512.245.</w:t>
      </w:r>
      <w:r w:rsidR="004B7799">
        <w:rPr>
          <w:rFonts w:asciiTheme="majorHAnsi" w:hAnsiTheme="majorHAnsi"/>
        </w:rPr>
        <w:t>1932</w:t>
      </w:r>
      <w:r w:rsidRPr="00DA074D">
        <w:rPr>
          <w:rFonts w:asciiTheme="majorHAnsi" w:hAnsiTheme="majorHAnsi"/>
        </w:rPr>
        <w:t xml:space="preserve"> </w:t>
      </w:r>
    </w:p>
    <w:p w14:paraId="385AD170" w14:textId="1301D220" w:rsidR="00B16860" w:rsidRDefault="004C733E" w:rsidP="00FA3CAC">
      <w:pPr>
        <w:pStyle w:val="BodyText"/>
        <w:ind w:left="360" w:right="180"/>
      </w:pPr>
      <w:hyperlink r:id="rId16" w:history="1">
        <w:r w:rsidR="004B7799" w:rsidRPr="00680F97">
          <w:rPr>
            <w:rStyle w:val="Hyperlink"/>
          </w:rPr>
          <w:t>https://advising.finearts.txstate.edu/</w:t>
        </w:r>
      </w:hyperlink>
    </w:p>
    <w:p w14:paraId="3050B629" w14:textId="77777777" w:rsidR="004B7799" w:rsidRDefault="004B7799"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1878AD43" w:rsidR="00B16860" w:rsidRPr="002975B6" w:rsidRDefault="004C733E" w:rsidP="002975B6">
      <w:pPr>
        <w:ind w:left="360" w:right="180"/>
        <w:jc w:val="right"/>
        <w:rPr>
          <w:b/>
          <w:i/>
          <w:sz w:val="17"/>
        </w:rPr>
      </w:pPr>
      <w:r>
        <w:rPr>
          <w:b/>
          <w:sz w:val="17"/>
        </w:rPr>
        <w:t>JULY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3B58"/>
    <w:multiLevelType w:val="hybridMultilevel"/>
    <w:tmpl w:val="C23ABD22"/>
    <w:lvl w:ilvl="0" w:tplc="9628F3B2">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5F38C3"/>
    <w:multiLevelType w:val="hybridMultilevel"/>
    <w:tmpl w:val="B824AE14"/>
    <w:lvl w:ilvl="0" w:tplc="9628F3B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8253EBD"/>
    <w:multiLevelType w:val="hybridMultilevel"/>
    <w:tmpl w:val="1E364446"/>
    <w:lvl w:ilvl="0" w:tplc="9628F3B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4"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1807574">
    <w:abstractNumId w:val="3"/>
  </w:num>
  <w:num w:numId="2" w16cid:durableId="223688908">
    <w:abstractNumId w:val="5"/>
  </w:num>
  <w:num w:numId="3" w16cid:durableId="1969507326">
    <w:abstractNumId w:val="4"/>
  </w:num>
  <w:num w:numId="4" w16cid:durableId="626786695">
    <w:abstractNumId w:val="1"/>
  </w:num>
  <w:num w:numId="5" w16cid:durableId="1441681355">
    <w:abstractNumId w:val="0"/>
  </w:num>
  <w:num w:numId="6" w16cid:durableId="891312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22E4A"/>
    <w:rsid w:val="000239C9"/>
    <w:rsid w:val="000315D4"/>
    <w:rsid w:val="00041EA1"/>
    <w:rsid w:val="000841CF"/>
    <w:rsid w:val="00090AF8"/>
    <w:rsid w:val="000B5EE6"/>
    <w:rsid w:val="000B7B60"/>
    <w:rsid w:val="000F6BB6"/>
    <w:rsid w:val="00131CC5"/>
    <w:rsid w:val="00182046"/>
    <w:rsid w:val="001A05AA"/>
    <w:rsid w:val="001E254C"/>
    <w:rsid w:val="002827E5"/>
    <w:rsid w:val="002975B6"/>
    <w:rsid w:val="003012EC"/>
    <w:rsid w:val="00395167"/>
    <w:rsid w:val="00401089"/>
    <w:rsid w:val="0040482C"/>
    <w:rsid w:val="004B7799"/>
    <w:rsid w:val="004C733E"/>
    <w:rsid w:val="004D55B5"/>
    <w:rsid w:val="004D6F70"/>
    <w:rsid w:val="004E029B"/>
    <w:rsid w:val="004F0C1F"/>
    <w:rsid w:val="00537510"/>
    <w:rsid w:val="00541824"/>
    <w:rsid w:val="00600E5C"/>
    <w:rsid w:val="00653F91"/>
    <w:rsid w:val="006D0F9F"/>
    <w:rsid w:val="00756DA5"/>
    <w:rsid w:val="0079457C"/>
    <w:rsid w:val="00825488"/>
    <w:rsid w:val="008A6200"/>
    <w:rsid w:val="0094257F"/>
    <w:rsid w:val="009D31BB"/>
    <w:rsid w:val="009D73BC"/>
    <w:rsid w:val="00A51933"/>
    <w:rsid w:val="00AC2F6F"/>
    <w:rsid w:val="00AC7162"/>
    <w:rsid w:val="00B16860"/>
    <w:rsid w:val="00B17D9B"/>
    <w:rsid w:val="00B30C85"/>
    <w:rsid w:val="00B44884"/>
    <w:rsid w:val="00B76511"/>
    <w:rsid w:val="00BC4F3C"/>
    <w:rsid w:val="00C13710"/>
    <w:rsid w:val="00C42CCF"/>
    <w:rsid w:val="00D95063"/>
    <w:rsid w:val="00DA074D"/>
    <w:rsid w:val="00DB381F"/>
    <w:rsid w:val="00E11A6D"/>
    <w:rsid w:val="00E139B3"/>
    <w:rsid w:val="00F60E49"/>
    <w:rsid w:val="00F626D7"/>
    <w:rsid w:val="00F67B77"/>
    <w:rsid w:val="00FA3CAC"/>
    <w:rsid w:val="00FC658F"/>
    <w:rsid w:val="00FC7716"/>
    <w:rsid w:val="00FF16F1"/>
    <w:rsid w:val="00FF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022E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E4A"/>
    <w:rPr>
      <w:rFonts w:ascii="Segoe UI" w:eastAsia="Cambria" w:hAnsi="Segoe UI" w:cs="Segoe UI"/>
      <w:sz w:val="18"/>
      <w:szCs w:val="18"/>
      <w:lang w:bidi="en-US"/>
    </w:rPr>
  </w:style>
  <w:style w:type="paragraph" w:styleId="Revision">
    <w:name w:val="Revision"/>
    <w:hidden/>
    <w:uiPriority w:val="99"/>
    <w:semiHidden/>
    <w:rsid w:val="004C733E"/>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7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tccns.org/" TargetMode="External"/><Relationship Id="rId13" Type="http://schemas.openxmlformats.org/officeDocument/2006/relationships/hyperlink" Target="http://mycatalog.txstate.ed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mycatalog.txstate.edu/undergraduate/general-education-core-curriculum/" TargetMode="External"/><Relationship Id="rId12" Type="http://schemas.openxmlformats.org/officeDocument/2006/relationships/hyperlink" Target="http://www.admissions.txstate.edu/future/freshman/admissions-requirem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advising.finearts.txstate.ed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admissions.txstate.edu/future/application-dates.html" TargetMode="External"/><Relationship Id="rId5" Type="http://schemas.openxmlformats.org/officeDocument/2006/relationships/webSettings" Target="webSettings.xml"/><Relationship Id="rId15" Type="http://schemas.openxmlformats.org/officeDocument/2006/relationships/hyperlink" Target="https://www.admissions.txstate.edu/" TargetMode="External"/><Relationship Id="rId10" Type="http://schemas.openxmlformats.org/officeDocument/2006/relationships/hyperlink" Target="https://www.admissions.txstate.edu/apply" TargetMode="External"/><Relationship Id="rId4" Type="http://schemas.openxmlformats.org/officeDocument/2006/relationships/settings" Target="settings.xml"/><Relationship Id="rId9" Type="http://schemas.openxmlformats.org/officeDocument/2006/relationships/hyperlink" Target="http://www.music.txstate.edu/prospectivestudents/BecomingaMusicMajor" TargetMode="External"/><Relationship Id="rId14" Type="http://schemas.openxmlformats.org/officeDocument/2006/relationships/hyperlink" Target="http://mycatalog.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F4BDE-0166-43EE-8EEF-AE949735D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4390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2</cp:revision>
  <dcterms:created xsi:type="dcterms:W3CDTF">2022-07-06T15:24:00Z</dcterms:created>
  <dcterms:modified xsi:type="dcterms:W3CDTF">2022-07-06T15:24:00Z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