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E9B6" w14:textId="56B0B40F" w:rsidR="00D55EA6" w:rsidRDefault="00AF7A21" w:rsidP="00AF7A21">
      <w:pPr>
        <w:jc w:val="center"/>
      </w:pPr>
      <w:r>
        <w:rPr>
          <w:rFonts w:ascii="Times New Roman"/>
          <w:noProof/>
          <w:sz w:val="20"/>
        </w:rPr>
        <w:drawing>
          <wp:inline distT="0" distB="0" distL="0" distR="0" wp14:anchorId="2A9DF1E5" wp14:editId="50F22AB8">
            <wp:extent cx="3575480"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80" cy="600741"/>
                    </a:xfrm>
                    <a:prstGeom prst="rect">
                      <a:avLst/>
                    </a:prstGeom>
                  </pic:spPr>
                </pic:pic>
              </a:graphicData>
            </a:graphic>
          </wp:inline>
        </w:drawing>
      </w:r>
    </w:p>
    <w:p w14:paraId="53F8800F" w14:textId="13F1D5BC" w:rsidR="00AF7A21" w:rsidRPr="00AC4E0E" w:rsidRDefault="00AF7A21" w:rsidP="00AC4E0E">
      <w:pPr>
        <w:pStyle w:val="Heading2"/>
        <w:jc w:val="center"/>
        <w:rPr>
          <w:b/>
          <w:bCs/>
          <w:sz w:val="26"/>
          <w:szCs w:val="26"/>
        </w:rPr>
      </w:pPr>
      <w:r w:rsidRPr="00AC4E0E">
        <w:rPr>
          <w:sz w:val="26"/>
          <w:szCs w:val="26"/>
        </w:rPr>
        <w:t xml:space="preserve">Transfer Planning Guide </w:t>
      </w:r>
      <w:r w:rsidR="0099129E">
        <w:rPr>
          <w:sz w:val="26"/>
          <w:szCs w:val="26"/>
        </w:rPr>
        <w:t>2022-2023</w:t>
      </w:r>
    </w:p>
    <w:p w14:paraId="0117E974" w14:textId="5B5DB9F3" w:rsidR="00792CAE" w:rsidRPr="00AC4E0E" w:rsidRDefault="00AF7A21" w:rsidP="00AC4E0E">
      <w:pPr>
        <w:pStyle w:val="Heading2"/>
        <w:jc w:val="center"/>
        <w:rPr>
          <w:b/>
          <w:bCs/>
          <w:sz w:val="26"/>
          <w:szCs w:val="26"/>
        </w:rPr>
      </w:pPr>
      <w:r w:rsidRPr="00AC4E0E">
        <w:rPr>
          <w:sz w:val="26"/>
          <w:szCs w:val="26"/>
        </w:rPr>
        <w:t xml:space="preserve">Major in </w:t>
      </w:r>
      <w:r w:rsidR="00F50CB8">
        <w:rPr>
          <w:sz w:val="26"/>
          <w:szCs w:val="26"/>
        </w:rPr>
        <w:t>Health</w:t>
      </w:r>
      <w:r w:rsidR="006013D1">
        <w:rPr>
          <w:sz w:val="26"/>
          <w:szCs w:val="26"/>
        </w:rPr>
        <w:t>care Administration</w:t>
      </w:r>
    </w:p>
    <w:p w14:paraId="03B072AF" w14:textId="60B34D23" w:rsidR="00AF7A21" w:rsidRPr="00AC4E0E" w:rsidRDefault="00AF7A21" w:rsidP="00AC4E0E">
      <w:pPr>
        <w:pStyle w:val="Heading2"/>
        <w:jc w:val="center"/>
        <w:rPr>
          <w:b/>
          <w:bCs/>
          <w:sz w:val="26"/>
          <w:szCs w:val="26"/>
        </w:rPr>
      </w:pPr>
      <w:r w:rsidRPr="00AC4E0E">
        <w:rPr>
          <w:sz w:val="26"/>
          <w:szCs w:val="26"/>
        </w:rPr>
        <w:t xml:space="preserve">Bachelor of </w:t>
      </w:r>
      <w:r w:rsidR="006013D1">
        <w:rPr>
          <w:sz w:val="26"/>
          <w:szCs w:val="26"/>
        </w:rPr>
        <w:t>Healthcare Administration</w:t>
      </w:r>
      <w:r w:rsidR="006013D1" w:rsidRPr="00AC4E0E">
        <w:rPr>
          <w:sz w:val="26"/>
          <w:szCs w:val="26"/>
        </w:rPr>
        <w:t xml:space="preserve"> </w:t>
      </w:r>
      <w:r w:rsidR="00901465">
        <w:rPr>
          <w:sz w:val="26"/>
          <w:szCs w:val="26"/>
        </w:rPr>
        <w:t xml:space="preserve">Degree </w:t>
      </w:r>
      <w:r w:rsidRPr="00AC4E0E">
        <w:rPr>
          <w:sz w:val="26"/>
          <w:szCs w:val="26"/>
        </w:rPr>
        <w:t>(B</w:t>
      </w:r>
      <w:r w:rsidR="006013D1">
        <w:rPr>
          <w:sz w:val="26"/>
          <w:szCs w:val="26"/>
        </w:rPr>
        <w:t>HA</w:t>
      </w:r>
      <w:r w:rsidRPr="00AC4E0E">
        <w:rPr>
          <w:sz w:val="26"/>
          <w:szCs w:val="26"/>
        </w:rPr>
        <w:t>)</w:t>
      </w:r>
    </w:p>
    <w:p w14:paraId="1B9BB093" w14:textId="197F9832" w:rsidR="00AF7A21" w:rsidRPr="00AC4E0E" w:rsidRDefault="00AF7A21" w:rsidP="00AC4E0E">
      <w:pPr>
        <w:pStyle w:val="Heading2"/>
        <w:jc w:val="center"/>
        <w:rPr>
          <w:b/>
          <w:bCs/>
          <w:sz w:val="26"/>
          <w:szCs w:val="26"/>
        </w:rPr>
      </w:pPr>
      <w:r w:rsidRPr="00AC4E0E">
        <w:rPr>
          <w:sz w:val="26"/>
          <w:szCs w:val="26"/>
        </w:rPr>
        <w:t>120 Credit Hours</w:t>
      </w:r>
    </w:p>
    <w:p w14:paraId="4EFE654B" w14:textId="1080D1C1" w:rsidR="00AF7A21" w:rsidRPr="00AF7A21" w:rsidRDefault="00AF7A21" w:rsidP="00AF7A21">
      <w:pPr>
        <w:spacing w:after="0"/>
        <w:rPr>
          <w:rFonts w:ascii="Cambria" w:hAnsi="Cambria"/>
        </w:rPr>
      </w:pPr>
    </w:p>
    <w:p w14:paraId="2A97F1F1" w14:textId="77777777" w:rsidR="00803AB3" w:rsidRPr="00345384" w:rsidRDefault="00803AB3" w:rsidP="00803AB3">
      <w:pPr>
        <w:pStyle w:val="BodyText"/>
        <w:ind w:left="360" w:right="180"/>
      </w:pPr>
      <w:r w:rsidRPr="00345384">
        <w:t xml:space="preserve">Texas Education Code Section 61.822 requires that Texas public institutions facilitate the transferability of lower-division course credit through the </w:t>
      </w:r>
      <w:r w:rsidRPr="00345384">
        <w:rPr>
          <w:b/>
        </w:rPr>
        <w:t>Core Curriculum</w:t>
      </w:r>
      <w:r w:rsidRPr="00345384">
        <w:t xml:space="preserve">. The </w:t>
      </w:r>
      <w:hyperlink r:id="rId7">
        <w:r w:rsidRPr="00345384">
          <w:rPr>
            <w:color w:val="0000FF"/>
            <w:u w:val="single" w:color="0000FF"/>
          </w:rPr>
          <w:t>Core Curriculum</w:t>
        </w:r>
        <w:r w:rsidRPr="00345384">
          <w:rPr>
            <w:color w:val="0000FF"/>
          </w:rPr>
          <w:t xml:space="preserve"> </w:t>
        </w:r>
      </w:hyperlink>
      <w:r w:rsidRPr="00345384">
        <w:t>contains nine Foundational Component Areas (42 hours), which every Texas State student must satisfy to graduate.</w:t>
      </w:r>
    </w:p>
    <w:p w14:paraId="222984B1" w14:textId="77777777" w:rsidR="00803AB3" w:rsidRPr="00345384" w:rsidRDefault="00803AB3" w:rsidP="00803AB3">
      <w:pPr>
        <w:pStyle w:val="BodyText"/>
        <w:ind w:left="360" w:right="180"/>
      </w:pPr>
    </w:p>
    <w:p w14:paraId="2DD4417C" w14:textId="77777777" w:rsidR="00803AB3" w:rsidRPr="00345384" w:rsidRDefault="00803AB3" w:rsidP="00803AB3">
      <w:pPr>
        <w:pStyle w:val="BodyText"/>
        <w:ind w:left="360" w:right="180"/>
        <w:jc w:val="both"/>
      </w:pPr>
      <w:r w:rsidRPr="00345384">
        <w:t>Texas</w:t>
      </w:r>
      <w:r w:rsidRPr="00345384">
        <w:rPr>
          <w:spacing w:val="-7"/>
        </w:rPr>
        <w:t xml:space="preserve"> </w:t>
      </w:r>
      <w:r w:rsidRPr="00345384">
        <w:t>State</w:t>
      </w:r>
      <w:r w:rsidRPr="00345384">
        <w:rPr>
          <w:spacing w:val="-7"/>
        </w:rPr>
        <w:t xml:space="preserve"> </w:t>
      </w:r>
      <w:r w:rsidRPr="00345384">
        <w:t>is</w:t>
      </w:r>
      <w:r w:rsidRPr="00345384">
        <w:rPr>
          <w:spacing w:val="-7"/>
        </w:rPr>
        <w:t xml:space="preserve"> </w:t>
      </w:r>
      <w:r w:rsidRPr="00345384">
        <w:t>a</w:t>
      </w:r>
      <w:r w:rsidRPr="00345384">
        <w:rPr>
          <w:spacing w:val="-7"/>
        </w:rPr>
        <w:t xml:space="preserve"> </w:t>
      </w:r>
      <w:r w:rsidRPr="00345384">
        <w:t>participant</w:t>
      </w:r>
      <w:r w:rsidRPr="00345384">
        <w:rPr>
          <w:spacing w:val="-7"/>
        </w:rPr>
        <w:t xml:space="preserve"> </w:t>
      </w:r>
      <w:r w:rsidRPr="00345384">
        <w:t>in</w:t>
      </w:r>
      <w:r w:rsidRPr="00345384">
        <w:rPr>
          <w:spacing w:val="-7"/>
        </w:rPr>
        <w:t xml:space="preserve"> </w:t>
      </w:r>
      <w:r w:rsidRPr="00345384">
        <w:t>the</w:t>
      </w:r>
      <w:r w:rsidRPr="00345384">
        <w:rPr>
          <w:spacing w:val="-8"/>
        </w:rPr>
        <w:t xml:space="preserve"> </w:t>
      </w:r>
      <w:r w:rsidRPr="00345384">
        <w:t>*</w:t>
      </w:r>
      <w:r w:rsidRPr="00345384">
        <w:rPr>
          <w:b/>
        </w:rPr>
        <w:t>Texas</w:t>
      </w:r>
      <w:r w:rsidRPr="00345384">
        <w:rPr>
          <w:b/>
          <w:spacing w:val="-8"/>
        </w:rPr>
        <w:t xml:space="preserve"> </w:t>
      </w:r>
      <w:r w:rsidRPr="00345384">
        <w:rPr>
          <w:b/>
        </w:rPr>
        <w:t>Common</w:t>
      </w:r>
      <w:r w:rsidRPr="00345384">
        <w:rPr>
          <w:b/>
          <w:spacing w:val="-8"/>
        </w:rPr>
        <w:t xml:space="preserve"> </w:t>
      </w:r>
      <w:r w:rsidRPr="00345384">
        <w:rPr>
          <w:b/>
        </w:rPr>
        <w:t>Course</w:t>
      </w:r>
      <w:r w:rsidRPr="00345384">
        <w:rPr>
          <w:b/>
          <w:spacing w:val="-8"/>
        </w:rPr>
        <w:t xml:space="preserve"> </w:t>
      </w:r>
      <w:r w:rsidRPr="00345384">
        <w:rPr>
          <w:b/>
        </w:rPr>
        <w:t>Numbering</w:t>
      </w:r>
      <w:r w:rsidRPr="00345384">
        <w:rPr>
          <w:b/>
          <w:spacing w:val="-7"/>
        </w:rPr>
        <w:t xml:space="preserve"> </w:t>
      </w:r>
      <w:r w:rsidRPr="00345384">
        <w:rPr>
          <w:b/>
        </w:rPr>
        <w:t>System</w:t>
      </w:r>
      <w:r w:rsidRPr="00345384">
        <w:rPr>
          <w:b/>
          <w:spacing w:val="-6"/>
        </w:rPr>
        <w:t xml:space="preserve"> </w:t>
      </w:r>
      <w:hyperlink r:id="rId8">
        <w:r w:rsidRPr="00345384">
          <w:t>(</w:t>
        </w:r>
        <w:r w:rsidRPr="00345384">
          <w:rPr>
            <w:color w:val="0000FF"/>
            <w:u w:val="single" w:color="0000FF"/>
          </w:rPr>
          <w:t>TCCNS</w:t>
        </w:r>
        <w:r w:rsidRPr="00345384">
          <w:t>).</w:t>
        </w:r>
        <w:r w:rsidRPr="00345384">
          <w:rPr>
            <w:spacing w:val="-7"/>
          </w:rPr>
          <w:t xml:space="preserve"> </w:t>
        </w:r>
      </w:hyperlink>
      <w:r w:rsidRPr="00345384">
        <w:t>Use</w:t>
      </w:r>
      <w:r w:rsidRPr="00345384">
        <w:rPr>
          <w:spacing w:val="-7"/>
        </w:rPr>
        <w:t xml:space="preserve"> </w:t>
      </w:r>
      <w:r w:rsidRPr="00345384">
        <w:t>the</w:t>
      </w:r>
      <w:r w:rsidRPr="00345384">
        <w:rPr>
          <w:spacing w:val="-7"/>
        </w:rPr>
        <w:t xml:space="preserve"> </w:t>
      </w:r>
      <w:r w:rsidRPr="00345384">
        <w:t>TCCNS</w:t>
      </w:r>
      <w:r w:rsidRPr="00345384">
        <w:rPr>
          <w:spacing w:val="-6"/>
        </w:rPr>
        <w:t xml:space="preserve"> </w:t>
      </w:r>
      <w:r w:rsidRPr="00345384">
        <w:t>to</w:t>
      </w:r>
      <w:r w:rsidRPr="00345384">
        <w:rPr>
          <w:spacing w:val="-7"/>
        </w:rPr>
        <w:t xml:space="preserve"> </w:t>
      </w:r>
      <w:r w:rsidRPr="00345384">
        <w:t>find courses you can take at your institution to ensure transfer of credit toward freshman- and sophomore- level degree requirements at Texas</w:t>
      </w:r>
      <w:r w:rsidRPr="00345384">
        <w:rPr>
          <w:spacing w:val="-5"/>
        </w:rPr>
        <w:t xml:space="preserve"> </w:t>
      </w:r>
      <w:r w:rsidRPr="00345384">
        <w:t>State.</w:t>
      </w:r>
    </w:p>
    <w:p w14:paraId="42E0FAF4" w14:textId="77777777" w:rsidR="00803AB3" w:rsidRPr="00345384"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803AB3" w:rsidRPr="00345384" w14:paraId="21B936C8" w14:textId="77777777" w:rsidTr="0015023D">
        <w:trPr>
          <w:trHeight w:val="247"/>
          <w:tblHeader/>
        </w:trPr>
        <w:tc>
          <w:tcPr>
            <w:tcW w:w="630" w:type="dxa"/>
          </w:tcPr>
          <w:p w14:paraId="4C08325D" w14:textId="77777777" w:rsidR="00803AB3" w:rsidRPr="00345384" w:rsidRDefault="00803AB3" w:rsidP="0015023D">
            <w:pPr>
              <w:pStyle w:val="TableParagraph"/>
              <w:spacing w:line="240" w:lineRule="auto"/>
              <w:rPr>
                <w:sz w:val="21"/>
                <w:szCs w:val="21"/>
                <w:u w:val="single"/>
              </w:rPr>
            </w:pPr>
            <w:r w:rsidRPr="00345384">
              <w:rPr>
                <w:sz w:val="21"/>
                <w:szCs w:val="21"/>
                <w:u w:val="single"/>
              </w:rPr>
              <w:t>Code</w:t>
            </w:r>
          </w:p>
        </w:tc>
        <w:tc>
          <w:tcPr>
            <w:tcW w:w="3150" w:type="dxa"/>
          </w:tcPr>
          <w:p w14:paraId="7180FDD0" w14:textId="77777777" w:rsidR="00803AB3" w:rsidRPr="00345384" w:rsidRDefault="00803AB3" w:rsidP="0015023D">
            <w:pPr>
              <w:pStyle w:val="TableParagraph"/>
              <w:spacing w:line="240" w:lineRule="auto"/>
              <w:rPr>
                <w:sz w:val="21"/>
                <w:szCs w:val="21"/>
                <w:u w:val="single"/>
              </w:rPr>
            </w:pPr>
            <w:r w:rsidRPr="00345384">
              <w:rPr>
                <w:sz w:val="21"/>
                <w:szCs w:val="21"/>
                <w:u w:val="single"/>
              </w:rPr>
              <w:t>Course</w:t>
            </w:r>
          </w:p>
        </w:tc>
        <w:tc>
          <w:tcPr>
            <w:tcW w:w="6310" w:type="dxa"/>
          </w:tcPr>
          <w:p w14:paraId="7C960135" w14:textId="77777777" w:rsidR="00803AB3" w:rsidRPr="00345384" w:rsidRDefault="00803AB3" w:rsidP="0015023D">
            <w:pPr>
              <w:pStyle w:val="TableParagraph"/>
              <w:spacing w:line="240" w:lineRule="auto"/>
              <w:rPr>
                <w:sz w:val="21"/>
                <w:szCs w:val="21"/>
                <w:u w:val="single"/>
              </w:rPr>
            </w:pPr>
            <w:r w:rsidRPr="00345384">
              <w:rPr>
                <w:sz w:val="21"/>
                <w:szCs w:val="21"/>
                <w:u w:val="single"/>
              </w:rPr>
              <w:t>Required Hours</w:t>
            </w:r>
          </w:p>
        </w:tc>
      </w:tr>
      <w:tr w:rsidR="00803AB3" w:rsidRPr="00345384" w14:paraId="0D10E6D2" w14:textId="77777777" w:rsidTr="0015023D">
        <w:trPr>
          <w:trHeight w:val="247"/>
        </w:trPr>
        <w:tc>
          <w:tcPr>
            <w:tcW w:w="630" w:type="dxa"/>
          </w:tcPr>
          <w:p w14:paraId="5977591E" w14:textId="77777777" w:rsidR="00803AB3" w:rsidRPr="00345384" w:rsidRDefault="00803AB3" w:rsidP="0015023D">
            <w:pPr>
              <w:pStyle w:val="TableParagraph"/>
              <w:spacing w:line="240" w:lineRule="auto"/>
              <w:rPr>
                <w:sz w:val="21"/>
                <w:szCs w:val="21"/>
              </w:rPr>
            </w:pPr>
            <w:r w:rsidRPr="00345384">
              <w:rPr>
                <w:sz w:val="21"/>
                <w:szCs w:val="21"/>
              </w:rPr>
              <w:t>010</w:t>
            </w:r>
          </w:p>
        </w:tc>
        <w:tc>
          <w:tcPr>
            <w:tcW w:w="3150" w:type="dxa"/>
          </w:tcPr>
          <w:p w14:paraId="52A2B228" w14:textId="77777777" w:rsidR="00803AB3" w:rsidRPr="00345384" w:rsidRDefault="00803AB3" w:rsidP="0015023D">
            <w:pPr>
              <w:pStyle w:val="TableParagraph"/>
              <w:spacing w:line="240" w:lineRule="auto"/>
              <w:rPr>
                <w:sz w:val="21"/>
                <w:szCs w:val="21"/>
              </w:rPr>
            </w:pPr>
            <w:r w:rsidRPr="00345384">
              <w:rPr>
                <w:sz w:val="21"/>
                <w:szCs w:val="21"/>
              </w:rPr>
              <w:t>Communication</w:t>
            </w:r>
          </w:p>
        </w:tc>
        <w:tc>
          <w:tcPr>
            <w:tcW w:w="6310" w:type="dxa"/>
          </w:tcPr>
          <w:p w14:paraId="469995B4" w14:textId="77777777" w:rsidR="00803AB3" w:rsidRPr="00345384" w:rsidRDefault="00803AB3" w:rsidP="0015023D">
            <w:pPr>
              <w:pStyle w:val="TableParagraph"/>
              <w:spacing w:line="240" w:lineRule="auto"/>
              <w:rPr>
                <w:i/>
                <w:sz w:val="21"/>
                <w:szCs w:val="21"/>
              </w:rPr>
            </w:pPr>
            <w:r w:rsidRPr="00345384">
              <w:rPr>
                <w:sz w:val="21"/>
                <w:szCs w:val="21"/>
              </w:rPr>
              <w:t>6 required hours</w:t>
            </w:r>
          </w:p>
        </w:tc>
      </w:tr>
      <w:tr w:rsidR="00803AB3" w:rsidRPr="00345384" w14:paraId="27D8D8D1" w14:textId="77777777" w:rsidTr="0015023D">
        <w:trPr>
          <w:trHeight w:val="245"/>
        </w:trPr>
        <w:tc>
          <w:tcPr>
            <w:tcW w:w="630" w:type="dxa"/>
          </w:tcPr>
          <w:p w14:paraId="5C73C441" w14:textId="77777777" w:rsidR="00803AB3" w:rsidRPr="00345384" w:rsidRDefault="00803AB3" w:rsidP="0015023D">
            <w:pPr>
              <w:pStyle w:val="TableParagraph"/>
              <w:spacing w:line="240" w:lineRule="auto"/>
              <w:rPr>
                <w:sz w:val="21"/>
                <w:szCs w:val="21"/>
              </w:rPr>
            </w:pPr>
            <w:r w:rsidRPr="00345384">
              <w:rPr>
                <w:sz w:val="21"/>
                <w:szCs w:val="21"/>
              </w:rPr>
              <w:t>020</w:t>
            </w:r>
          </w:p>
        </w:tc>
        <w:tc>
          <w:tcPr>
            <w:tcW w:w="3150" w:type="dxa"/>
          </w:tcPr>
          <w:p w14:paraId="603CD3C5" w14:textId="77777777" w:rsidR="00803AB3" w:rsidRPr="00345384" w:rsidRDefault="00803AB3" w:rsidP="0015023D">
            <w:pPr>
              <w:pStyle w:val="TableParagraph"/>
              <w:spacing w:line="240" w:lineRule="auto"/>
              <w:rPr>
                <w:sz w:val="21"/>
                <w:szCs w:val="21"/>
              </w:rPr>
            </w:pPr>
            <w:r w:rsidRPr="00345384">
              <w:rPr>
                <w:sz w:val="21"/>
                <w:szCs w:val="21"/>
              </w:rPr>
              <w:t>Mathematics</w:t>
            </w:r>
          </w:p>
        </w:tc>
        <w:tc>
          <w:tcPr>
            <w:tcW w:w="6310" w:type="dxa"/>
          </w:tcPr>
          <w:p w14:paraId="18950476" w14:textId="77777777" w:rsidR="00803AB3" w:rsidRPr="00345384" w:rsidRDefault="00803AB3" w:rsidP="0015023D">
            <w:pPr>
              <w:pStyle w:val="TableParagraph"/>
              <w:spacing w:line="240" w:lineRule="auto"/>
              <w:rPr>
                <w:i/>
                <w:sz w:val="21"/>
                <w:szCs w:val="21"/>
              </w:rPr>
            </w:pPr>
            <w:r w:rsidRPr="00345384">
              <w:rPr>
                <w:sz w:val="21"/>
                <w:szCs w:val="21"/>
              </w:rPr>
              <w:t xml:space="preserve">3 required hours </w:t>
            </w:r>
            <w:r w:rsidRPr="00345384">
              <w:rPr>
                <w:i/>
                <w:sz w:val="21"/>
                <w:szCs w:val="21"/>
              </w:rPr>
              <w:t>(see Recommended Core Curriculum Choices below)</w:t>
            </w:r>
          </w:p>
        </w:tc>
      </w:tr>
      <w:tr w:rsidR="00803AB3" w:rsidRPr="00345384" w14:paraId="785477B7" w14:textId="77777777" w:rsidTr="0015023D">
        <w:trPr>
          <w:trHeight w:val="246"/>
        </w:trPr>
        <w:tc>
          <w:tcPr>
            <w:tcW w:w="630" w:type="dxa"/>
          </w:tcPr>
          <w:p w14:paraId="45029B5F" w14:textId="77777777" w:rsidR="00803AB3" w:rsidRPr="00345384" w:rsidRDefault="00803AB3" w:rsidP="0015023D">
            <w:pPr>
              <w:pStyle w:val="TableParagraph"/>
              <w:spacing w:line="240" w:lineRule="auto"/>
              <w:rPr>
                <w:sz w:val="21"/>
                <w:szCs w:val="21"/>
              </w:rPr>
            </w:pPr>
            <w:r w:rsidRPr="00345384">
              <w:rPr>
                <w:sz w:val="21"/>
                <w:szCs w:val="21"/>
              </w:rPr>
              <w:t>030</w:t>
            </w:r>
          </w:p>
        </w:tc>
        <w:tc>
          <w:tcPr>
            <w:tcW w:w="3150" w:type="dxa"/>
          </w:tcPr>
          <w:p w14:paraId="100F765D" w14:textId="77777777" w:rsidR="00803AB3" w:rsidRPr="00345384" w:rsidRDefault="00803AB3" w:rsidP="0015023D">
            <w:pPr>
              <w:pStyle w:val="TableParagraph"/>
              <w:spacing w:line="240" w:lineRule="auto"/>
              <w:rPr>
                <w:sz w:val="21"/>
                <w:szCs w:val="21"/>
              </w:rPr>
            </w:pPr>
            <w:r w:rsidRPr="00345384">
              <w:rPr>
                <w:sz w:val="21"/>
                <w:szCs w:val="21"/>
              </w:rPr>
              <w:t>Life and Physical Sciences</w:t>
            </w:r>
          </w:p>
        </w:tc>
        <w:tc>
          <w:tcPr>
            <w:tcW w:w="6310" w:type="dxa"/>
          </w:tcPr>
          <w:p w14:paraId="3C3C8203" w14:textId="757CD4F9" w:rsidR="00803AB3" w:rsidRPr="00345384" w:rsidRDefault="00803AB3" w:rsidP="0015023D">
            <w:pPr>
              <w:pStyle w:val="TableParagraph"/>
              <w:spacing w:line="240" w:lineRule="auto"/>
              <w:rPr>
                <w:sz w:val="21"/>
                <w:szCs w:val="21"/>
              </w:rPr>
            </w:pPr>
            <w:r w:rsidRPr="00345384">
              <w:rPr>
                <w:sz w:val="21"/>
                <w:szCs w:val="21"/>
              </w:rPr>
              <w:t>6 required hours</w:t>
            </w:r>
          </w:p>
        </w:tc>
      </w:tr>
      <w:tr w:rsidR="00803AB3" w:rsidRPr="00345384" w14:paraId="311BDAFD" w14:textId="77777777" w:rsidTr="0015023D">
        <w:trPr>
          <w:trHeight w:val="246"/>
        </w:trPr>
        <w:tc>
          <w:tcPr>
            <w:tcW w:w="630" w:type="dxa"/>
          </w:tcPr>
          <w:p w14:paraId="5B81A462" w14:textId="77777777" w:rsidR="00803AB3" w:rsidRPr="00345384" w:rsidRDefault="00803AB3" w:rsidP="0015023D">
            <w:pPr>
              <w:pStyle w:val="TableParagraph"/>
              <w:spacing w:line="240" w:lineRule="auto"/>
              <w:rPr>
                <w:sz w:val="21"/>
                <w:szCs w:val="21"/>
              </w:rPr>
            </w:pPr>
            <w:r w:rsidRPr="00345384">
              <w:rPr>
                <w:sz w:val="21"/>
                <w:szCs w:val="21"/>
              </w:rPr>
              <w:t>040</w:t>
            </w:r>
          </w:p>
        </w:tc>
        <w:tc>
          <w:tcPr>
            <w:tcW w:w="3150" w:type="dxa"/>
          </w:tcPr>
          <w:p w14:paraId="178C3C04" w14:textId="77777777" w:rsidR="00803AB3" w:rsidRPr="00345384" w:rsidRDefault="00803AB3" w:rsidP="0015023D">
            <w:pPr>
              <w:pStyle w:val="TableParagraph"/>
              <w:spacing w:line="240" w:lineRule="auto"/>
              <w:rPr>
                <w:sz w:val="21"/>
                <w:szCs w:val="21"/>
              </w:rPr>
            </w:pPr>
            <w:r w:rsidRPr="00345384">
              <w:rPr>
                <w:sz w:val="21"/>
                <w:szCs w:val="21"/>
              </w:rPr>
              <w:t>Language, Philosophy &amp; Culture</w:t>
            </w:r>
          </w:p>
        </w:tc>
        <w:tc>
          <w:tcPr>
            <w:tcW w:w="6310" w:type="dxa"/>
          </w:tcPr>
          <w:p w14:paraId="79E714F4" w14:textId="77777777" w:rsidR="00803AB3" w:rsidRPr="00345384" w:rsidRDefault="00803AB3" w:rsidP="0015023D">
            <w:pPr>
              <w:pStyle w:val="TableParagraph"/>
              <w:spacing w:line="240" w:lineRule="auto"/>
              <w:rPr>
                <w:i/>
                <w:sz w:val="21"/>
                <w:szCs w:val="21"/>
              </w:rPr>
            </w:pPr>
            <w:r w:rsidRPr="00345384">
              <w:rPr>
                <w:sz w:val="21"/>
                <w:szCs w:val="21"/>
              </w:rPr>
              <w:t>3 required hours</w:t>
            </w:r>
          </w:p>
        </w:tc>
      </w:tr>
      <w:tr w:rsidR="00803AB3" w:rsidRPr="00345384" w14:paraId="54814780" w14:textId="77777777" w:rsidTr="0015023D">
        <w:trPr>
          <w:trHeight w:val="245"/>
        </w:trPr>
        <w:tc>
          <w:tcPr>
            <w:tcW w:w="630" w:type="dxa"/>
          </w:tcPr>
          <w:p w14:paraId="14ACE99D" w14:textId="77777777" w:rsidR="00803AB3" w:rsidRPr="00345384" w:rsidRDefault="00803AB3" w:rsidP="0015023D">
            <w:pPr>
              <w:pStyle w:val="TableParagraph"/>
              <w:spacing w:line="240" w:lineRule="auto"/>
              <w:rPr>
                <w:sz w:val="21"/>
                <w:szCs w:val="21"/>
              </w:rPr>
            </w:pPr>
            <w:r w:rsidRPr="00345384">
              <w:rPr>
                <w:sz w:val="21"/>
                <w:szCs w:val="21"/>
              </w:rPr>
              <w:t>050</w:t>
            </w:r>
          </w:p>
        </w:tc>
        <w:tc>
          <w:tcPr>
            <w:tcW w:w="3150" w:type="dxa"/>
          </w:tcPr>
          <w:p w14:paraId="488AED5F" w14:textId="77777777" w:rsidR="00803AB3" w:rsidRPr="00345384" w:rsidRDefault="00803AB3" w:rsidP="0015023D">
            <w:pPr>
              <w:pStyle w:val="TableParagraph"/>
              <w:spacing w:line="240" w:lineRule="auto"/>
              <w:rPr>
                <w:sz w:val="21"/>
                <w:szCs w:val="21"/>
              </w:rPr>
            </w:pPr>
            <w:r w:rsidRPr="00345384">
              <w:rPr>
                <w:sz w:val="21"/>
                <w:szCs w:val="21"/>
              </w:rPr>
              <w:t>Creative Arts</w:t>
            </w:r>
          </w:p>
        </w:tc>
        <w:tc>
          <w:tcPr>
            <w:tcW w:w="6310" w:type="dxa"/>
          </w:tcPr>
          <w:p w14:paraId="14C13E57" w14:textId="77777777" w:rsidR="00803AB3" w:rsidRPr="00345384" w:rsidRDefault="00803AB3" w:rsidP="0015023D">
            <w:pPr>
              <w:pStyle w:val="TableParagraph"/>
              <w:spacing w:line="240" w:lineRule="auto"/>
              <w:rPr>
                <w:sz w:val="21"/>
                <w:szCs w:val="21"/>
              </w:rPr>
            </w:pPr>
            <w:r w:rsidRPr="00345384">
              <w:rPr>
                <w:sz w:val="21"/>
                <w:szCs w:val="21"/>
              </w:rPr>
              <w:t>3 required hours</w:t>
            </w:r>
          </w:p>
        </w:tc>
      </w:tr>
      <w:tr w:rsidR="00803AB3" w:rsidRPr="00345384" w14:paraId="0C0B28B1" w14:textId="77777777" w:rsidTr="0015023D">
        <w:trPr>
          <w:trHeight w:val="246"/>
        </w:trPr>
        <w:tc>
          <w:tcPr>
            <w:tcW w:w="630" w:type="dxa"/>
          </w:tcPr>
          <w:p w14:paraId="7EA0E6AB" w14:textId="77777777" w:rsidR="00803AB3" w:rsidRPr="00345384" w:rsidRDefault="00803AB3" w:rsidP="0015023D">
            <w:pPr>
              <w:pStyle w:val="TableParagraph"/>
              <w:spacing w:line="240" w:lineRule="auto"/>
              <w:rPr>
                <w:sz w:val="21"/>
                <w:szCs w:val="21"/>
              </w:rPr>
            </w:pPr>
            <w:r w:rsidRPr="00345384">
              <w:rPr>
                <w:sz w:val="21"/>
                <w:szCs w:val="21"/>
              </w:rPr>
              <w:t>060</w:t>
            </w:r>
          </w:p>
        </w:tc>
        <w:tc>
          <w:tcPr>
            <w:tcW w:w="3150" w:type="dxa"/>
          </w:tcPr>
          <w:p w14:paraId="7DBE20E8" w14:textId="77777777" w:rsidR="00803AB3" w:rsidRPr="00345384" w:rsidRDefault="00803AB3" w:rsidP="0015023D">
            <w:pPr>
              <w:pStyle w:val="TableParagraph"/>
              <w:spacing w:line="240" w:lineRule="auto"/>
              <w:rPr>
                <w:sz w:val="21"/>
                <w:szCs w:val="21"/>
              </w:rPr>
            </w:pPr>
            <w:r w:rsidRPr="00345384">
              <w:rPr>
                <w:sz w:val="21"/>
                <w:szCs w:val="21"/>
              </w:rPr>
              <w:t>American History</w:t>
            </w:r>
          </w:p>
        </w:tc>
        <w:tc>
          <w:tcPr>
            <w:tcW w:w="6310" w:type="dxa"/>
          </w:tcPr>
          <w:p w14:paraId="02016EFA" w14:textId="77777777" w:rsidR="00803AB3" w:rsidRPr="00345384" w:rsidRDefault="00803AB3" w:rsidP="0015023D">
            <w:pPr>
              <w:pStyle w:val="TableParagraph"/>
              <w:spacing w:line="240" w:lineRule="auto"/>
              <w:rPr>
                <w:sz w:val="21"/>
                <w:szCs w:val="21"/>
              </w:rPr>
            </w:pPr>
            <w:r w:rsidRPr="00345384">
              <w:rPr>
                <w:sz w:val="21"/>
                <w:szCs w:val="21"/>
              </w:rPr>
              <w:t>6 required hours</w:t>
            </w:r>
          </w:p>
        </w:tc>
      </w:tr>
      <w:tr w:rsidR="00803AB3" w:rsidRPr="00345384" w14:paraId="55EF0537" w14:textId="77777777" w:rsidTr="0015023D">
        <w:trPr>
          <w:trHeight w:val="246"/>
        </w:trPr>
        <w:tc>
          <w:tcPr>
            <w:tcW w:w="630" w:type="dxa"/>
          </w:tcPr>
          <w:p w14:paraId="2324C6CD" w14:textId="77777777" w:rsidR="00803AB3" w:rsidRPr="00345384" w:rsidRDefault="00803AB3" w:rsidP="0015023D">
            <w:pPr>
              <w:pStyle w:val="TableParagraph"/>
              <w:spacing w:line="240" w:lineRule="auto"/>
              <w:rPr>
                <w:sz w:val="21"/>
                <w:szCs w:val="21"/>
              </w:rPr>
            </w:pPr>
            <w:r w:rsidRPr="00345384">
              <w:rPr>
                <w:sz w:val="21"/>
                <w:szCs w:val="21"/>
              </w:rPr>
              <w:t>070</w:t>
            </w:r>
          </w:p>
        </w:tc>
        <w:tc>
          <w:tcPr>
            <w:tcW w:w="3150" w:type="dxa"/>
          </w:tcPr>
          <w:p w14:paraId="54EB6F4B" w14:textId="77777777" w:rsidR="00803AB3" w:rsidRPr="00345384" w:rsidRDefault="00803AB3" w:rsidP="0015023D">
            <w:pPr>
              <w:pStyle w:val="TableParagraph"/>
              <w:spacing w:line="240" w:lineRule="auto"/>
              <w:rPr>
                <w:sz w:val="21"/>
                <w:szCs w:val="21"/>
              </w:rPr>
            </w:pPr>
            <w:r w:rsidRPr="00345384">
              <w:rPr>
                <w:sz w:val="21"/>
                <w:szCs w:val="21"/>
              </w:rPr>
              <w:t>Government/Political Science</w:t>
            </w:r>
          </w:p>
        </w:tc>
        <w:tc>
          <w:tcPr>
            <w:tcW w:w="6310" w:type="dxa"/>
          </w:tcPr>
          <w:p w14:paraId="6719701D" w14:textId="77777777" w:rsidR="00803AB3" w:rsidRPr="00345384" w:rsidRDefault="00803AB3" w:rsidP="0015023D">
            <w:pPr>
              <w:pStyle w:val="TableParagraph"/>
              <w:spacing w:line="240" w:lineRule="auto"/>
              <w:rPr>
                <w:sz w:val="21"/>
                <w:szCs w:val="21"/>
              </w:rPr>
            </w:pPr>
            <w:r w:rsidRPr="00345384">
              <w:rPr>
                <w:sz w:val="21"/>
                <w:szCs w:val="21"/>
              </w:rPr>
              <w:t>6 required hours</w:t>
            </w:r>
          </w:p>
        </w:tc>
      </w:tr>
      <w:tr w:rsidR="00803AB3" w:rsidRPr="00345384" w14:paraId="6B96F1A7" w14:textId="77777777" w:rsidTr="0015023D">
        <w:trPr>
          <w:trHeight w:val="247"/>
        </w:trPr>
        <w:tc>
          <w:tcPr>
            <w:tcW w:w="630" w:type="dxa"/>
          </w:tcPr>
          <w:p w14:paraId="4DA7F269" w14:textId="77777777" w:rsidR="00803AB3" w:rsidRPr="00345384" w:rsidRDefault="00803AB3" w:rsidP="0015023D">
            <w:pPr>
              <w:pStyle w:val="TableParagraph"/>
              <w:spacing w:line="240" w:lineRule="auto"/>
              <w:rPr>
                <w:sz w:val="21"/>
                <w:szCs w:val="21"/>
              </w:rPr>
            </w:pPr>
            <w:r w:rsidRPr="00345384">
              <w:rPr>
                <w:sz w:val="21"/>
                <w:szCs w:val="21"/>
              </w:rPr>
              <w:t>080</w:t>
            </w:r>
          </w:p>
        </w:tc>
        <w:tc>
          <w:tcPr>
            <w:tcW w:w="3150" w:type="dxa"/>
          </w:tcPr>
          <w:p w14:paraId="3F0B8168" w14:textId="77777777" w:rsidR="00803AB3" w:rsidRPr="00345384" w:rsidRDefault="00803AB3" w:rsidP="0015023D">
            <w:pPr>
              <w:pStyle w:val="TableParagraph"/>
              <w:spacing w:line="240" w:lineRule="auto"/>
              <w:rPr>
                <w:sz w:val="21"/>
                <w:szCs w:val="21"/>
              </w:rPr>
            </w:pPr>
            <w:r w:rsidRPr="00345384">
              <w:rPr>
                <w:sz w:val="21"/>
                <w:szCs w:val="21"/>
              </w:rPr>
              <w:t>Social and Behavioral Sciences</w:t>
            </w:r>
          </w:p>
        </w:tc>
        <w:tc>
          <w:tcPr>
            <w:tcW w:w="6310" w:type="dxa"/>
          </w:tcPr>
          <w:p w14:paraId="377055C3" w14:textId="05FF1E26" w:rsidR="00803AB3" w:rsidRPr="00345384" w:rsidRDefault="00803AB3" w:rsidP="0015023D">
            <w:pPr>
              <w:pStyle w:val="TableParagraph"/>
              <w:spacing w:line="240" w:lineRule="auto"/>
              <w:rPr>
                <w:i/>
                <w:sz w:val="21"/>
                <w:szCs w:val="21"/>
              </w:rPr>
            </w:pPr>
            <w:r w:rsidRPr="00345384">
              <w:rPr>
                <w:sz w:val="21"/>
                <w:szCs w:val="21"/>
              </w:rPr>
              <w:t>3 required hours</w:t>
            </w:r>
          </w:p>
        </w:tc>
      </w:tr>
      <w:tr w:rsidR="00803AB3" w:rsidRPr="00345384" w14:paraId="0AABF4AF" w14:textId="77777777" w:rsidTr="0015023D">
        <w:trPr>
          <w:trHeight w:val="247"/>
        </w:trPr>
        <w:tc>
          <w:tcPr>
            <w:tcW w:w="630" w:type="dxa"/>
          </w:tcPr>
          <w:p w14:paraId="18C18F61" w14:textId="77777777" w:rsidR="00803AB3" w:rsidRPr="00345384" w:rsidRDefault="00803AB3" w:rsidP="0015023D">
            <w:pPr>
              <w:pStyle w:val="TableParagraph"/>
              <w:spacing w:line="240" w:lineRule="auto"/>
              <w:rPr>
                <w:sz w:val="21"/>
                <w:szCs w:val="21"/>
              </w:rPr>
            </w:pPr>
            <w:r w:rsidRPr="00345384">
              <w:rPr>
                <w:sz w:val="21"/>
                <w:szCs w:val="21"/>
              </w:rPr>
              <w:t>090</w:t>
            </w:r>
          </w:p>
        </w:tc>
        <w:tc>
          <w:tcPr>
            <w:tcW w:w="3150" w:type="dxa"/>
          </w:tcPr>
          <w:p w14:paraId="54A62B84" w14:textId="77777777" w:rsidR="00803AB3" w:rsidRPr="00345384" w:rsidRDefault="00803AB3" w:rsidP="0015023D">
            <w:pPr>
              <w:pStyle w:val="TableParagraph"/>
              <w:spacing w:line="240" w:lineRule="auto"/>
              <w:rPr>
                <w:sz w:val="21"/>
                <w:szCs w:val="21"/>
              </w:rPr>
            </w:pPr>
            <w:r w:rsidRPr="00345384">
              <w:rPr>
                <w:sz w:val="21"/>
                <w:szCs w:val="21"/>
              </w:rPr>
              <w:t>Component Area Option</w:t>
            </w:r>
          </w:p>
        </w:tc>
        <w:tc>
          <w:tcPr>
            <w:tcW w:w="6310" w:type="dxa"/>
          </w:tcPr>
          <w:p w14:paraId="05E05866" w14:textId="77777777" w:rsidR="00803AB3" w:rsidRPr="00345384" w:rsidRDefault="00803AB3" w:rsidP="0015023D">
            <w:pPr>
              <w:pStyle w:val="TableParagraph"/>
              <w:spacing w:line="240" w:lineRule="auto"/>
              <w:rPr>
                <w:i/>
                <w:sz w:val="21"/>
                <w:szCs w:val="21"/>
              </w:rPr>
            </w:pPr>
            <w:r w:rsidRPr="00345384">
              <w:rPr>
                <w:sz w:val="21"/>
                <w:szCs w:val="21"/>
              </w:rPr>
              <w:t>6 required hours</w:t>
            </w:r>
          </w:p>
        </w:tc>
      </w:tr>
    </w:tbl>
    <w:p w14:paraId="01D696D3" w14:textId="77777777" w:rsidR="00803AB3" w:rsidRPr="00345384" w:rsidRDefault="00803AB3" w:rsidP="00803AB3">
      <w:pPr>
        <w:pStyle w:val="BodyText"/>
        <w:ind w:left="360" w:right="180"/>
      </w:pPr>
    </w:p>
    <w:p w14:paraId="2064C770" w14:textId="77777777" w:rsidR="00803AB3" w:rsidRPr="00345384" w:rsidRDefault="00803AB3" w:rsidP="00803AB3">
      <w:pPr>
        <w:ind w:left="360" w:right="180"/>
        <w:rPr>
          <w:rFonts w:ascii="Cambria" w:hAnsi="Cambria"/>
          <w:i/>
          <w:sz w:val="21"/>
          <w:szCs w:val="21"/>
        </w:rPr>
      </w:pPr>
      <w:r w:rsidRPr="00345384">
        <w:rPr>
          <w:rFonts w:ascii="Cambria" w:hAnsi="Cambria"/>
          <w:i/>
          <w:sz w:val="21"/>
          <w:szCs w:val="21"/>
        </w:rPr>
        <w:t>Students will receive core credit at Texas State for any course successfully completed in the Core Curriculum of the sending institution.</w:t>
      </w:r>
    </w:p>
    <w:p w14:paraId="5543E2AA" w14:textId="77777777" w:rsidR="00803AB3" w:rsidRPr="00345384" w:rsidRDefault="00803AB3" w:rsidP="00803AB3">
      <w:pPr>
        <w:pStyle w:val="BodyText"/>
        <w:ind w:left="360" w:right="180"/>
        <w:rPr>
          <w:i/>
        </w:rPr>
      </w:pPr>
    </w:p>
    <w:p w14:paraId="285B6F79" w14:textId="23EA7BCD" w:rsidR="00803AB3" w:rsidRPr="00345384" w:rsidRDefault="00803AB3" w:rsidP="003722F6">
      <w:pPr>
        <w:pStyle w:val="Heading2"/>
      </w:pPr>
      <w:r w:rsidRPr="00345384">
        <w:t>RECOMMENDED CORE CURRICULUM CHOICES FOR THE B</w:t>
      </w:r>
      <w:r w:rsidR="006013D1" w:rsidRPr="00345384">
        <w:t>HA</w:t>
      </w:r>
    </w:p>
    <w:p w14:paraId="56D03505" w14:textId="77777777" w:rsidR="00803AB3" w:rsidRPr="00345384" w:rsidRDefault="00803AB3" w:rsidP="00803AB3">
      <w:pPr>
        <w:pStyle w:val="BodyText"/>
        <w:ind w:left="360" w:right="180"/>
        <w:rPr>
          <w:b/>
        </w:rPr>
      </w:pPr>
    </w:p>
    <w:p w14:paraId="0C8EE646" w14:textId="47DB5B32" w:rsidR="00803AB3" w:rsidRPr="00345384" w:rsidRDefault="00803AB3" w:rsidP="00803AB3">
      <w:pPr>
        <w:pStyle w:val="BodyText"/>
        <w:ind w:left="360" w:right="180"/>
      </w:pPr>
      <w:r w:rsidRPr="00345384">
        <w:t xml:space="preserve">This degree requires specific courses for degree completion, and with wise planning, you may take courses that satisfy both the Core Curriculum and the </w:t>
      </w:r>
      <w:r w:rsidR="006013D1" w:rsidRPr="00345384">
        <w:t>BHA</w:t>
      </w:r>
      <w:r w:rsidRPr="00345384">
        <w:t xml:space="preserve"> requirements:</w:t>
      </w:r>
    </w:p>
    <w:p w14:paraId="6124BCA8" w14:textId="77777777" w:rsidR="00803AB3" w:rsidRPr="00345384"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1890"/>
        <w:gridCol w:w="3780"/>
        <w:gridCol w:w="3573"/>
      </w:tblGrid>
      <w:tr w:rsidR="00803AB3" w:rsidRPr="00345384" w14:paraId="024A450A" w14:textId="77777777" w:rsidTr="006013D1">
        <w:trPr>
          <w:trHeight w:val="257"/>
          <w:tblHeader/>
        </w:trPr>
        <w:tc>
          <w:tcPr>
            <w:tcW w:w="1890" w:type="dxa"/>
          </w:tcPr>
          <w:p w14:paraId="59665FD5" w14:textId="77777777" w:rsidR="00803AB3" w:rsidRPr="00345384" w:rsidRDefault="00803AB3" w:rsidP="0015023D">
            <w:pPr>
              <w:pStyle w:val="TableParagraph"/>
              <w:spacing w:line="240" w:lineRule="auto"/>
              <w:jc w:val="both"/>
              <w:rPr>
                <w:sz w:val="21"/>
                <w:szCs w:val="21"/>
              </w:rPr>
            </w:pPr>
            <w:r w:rsidRPr="00345384">
              <w:rPr>
                <w:sz w:val="21"/>
                <w:szCs w:val="21"/>
                <w:u w:val="single"/>
              </w:rPr>
              <w:t>Courses</w:t>
            </w:r>
          </w:p>
        </w:tc>
        <w:tc>
          <w:tcPr>
            <w:tcW w:w="3780" w:type="dxa"/>
          </w:tcPr>
          <w:p w14:paraId="4777504F" w14:textId="77777777" w:rsidR="00803AB3" w:rsidRPr="00345384" w:rsidRDefault="00803AB3" w:rsidP="0015023D">
            <w:pPr>
              <w:pStyle w:val="TableParagraph"/>
              <w:spacing w:line="240" w:lineRule="auto"/>
              <w:jc w:val="both"/>
              <w:rPr>
                <w:sz w:val="21"/>
                <w:szCs w:val="21"/>
              </w:rPr>
            </w:pPr>
            <w:r w:rsidRPr="00345384">
              <w:rPr>
                <w:sz w:val="21"/>
                <w:szCs w:val="21"/>
                <w:u w:val="single"/>
              </w:rPr>
              <w:t>TCCN</w:t>
            </w:r>
          </w:p>
        </w:tc>
        <w:tc>
          <w:tcPr>
            <w:tcW w:w="3573" w:type="dxa"/>
          </w:tcPr>
          <w:p w14:paraId="4750D00C" w14:textId="77777777" w:rsidR="00803AB3" w:rsidRPr="00345384" w:rsidRDefault="00803AB3" w:rsidP="0015023D">
            <w:pPr>
              <w:pStyle w:val="TableParagraph"/>
              <w:spacing w:line="240" w:lineRule="auto"/>
              <w:jc w:val="both"/>
              <w:rPr>
                <w:sz w:val="21"/>
                <w:szCs w:val="21"/>
              </w:rPr>
            </w:pPr>
            <w:r w:rsidRPr="00345384">
              <w:rPr>
                <w:sz w:val="21"/>
                <w:szCs w:val="21"/>
                <w:u w:val="single"/>
              </w:rPr>
              <w:t>TEXAS STATE</w:t>
            </w:r>
          </w:p>
        </w:tc>
      </w:tr>
      <w:tr w:rsidR="00803AB3" w:rsidRPr="00345384" w14:paraId="242B900F" w14:textId="77777777" w:rsidTr="006013D1">
        <w:trPr>
          <w:trHeight w:val="265"/>
        </w:trPr>
        <w:tc>
          <w:tcPr>
            <w:tcW w:w="1890" w:type="dxa"/>
          </w:tcPr>
          <w:p w14:paraId="76473A97" w14:textId="77777777" w:rsidR="00803AB3" w:rsidRPr="00345384" w:rsidRDefault="00803AB3" w:rsidP="0015023D">
            <w:pPr>
              <w:pStyle w:val="TableParagraph"/>
              <w:spacing w:line="240" w:lineRule="auto"/>
              <w:jc w:val="both"/>
              <w:rPr>
                <w:sz w:val="21"/>
                <w:szCs w:val="21"/>
              </w:rPr>
            </w:pPr>
            <w:r w:rsidRPr="00345384">
              <w:rPr>
                <w:sz w:val="21"/>
                <w:szCs w:val="21"/>
              </w:rPr>
              <w:t>020 Mathematics</w:t>
            </w:r>
          </w:p>
        </w:tc>
        <w:tc>
          <w:tcPr>
            <w:tcW w:w="3780" w:type="dxa"/>
          </w:tcPr>
          <w:p w14:paraId="790741BE" w14:textId="26BE180C" w:rsidR="00803AB3" w:rsidRPr="00345384" w:rsidRDefault="00803AB3" w:rsidP="0015023D">
            <w:pPr>
              <w:pStyle w:val="TableParagraph"/>
              <w:spacing w:line="240" w:lineRule="auto"/>
              <w:jc w:val="both"/>
              <w:rPr>
                <w:sz w:val="21"/>
                <w:szCs w:val="21"/>
              </w:rPr>
            </w:pPr>
            <w:r w:rsidRPr="00345384">
              <w:rPr>
                <w:sz w:val="21"/>
                <w:szCs w:val="21"/>
              </w:rPr>
              <w:t>MATH 1314, 1324, 1325, 2412 or 2413</w:t>
            </w:r>
          </w:p>
        </w:tc>
        <w:tc>
          <w:tcPr>
            <w:tcW w:w="3573" w:type="dxa"/>
          </w:tcPr>
          <w:p w14:paraId="03105222" w14:textId="390061E9" w:rsidR="00803AB3" w:rsidRPr="00345384" w:rsidRDefault="00803AB3" w:rsidP="0015023D">
            <w:pPr>
              <w:pStyle w:val="TableParagraph"/>
              <w:spacing w:line="240" w:lineRule="auto"/>
              <w:jc w:val="both"/>
              <w:rPr>
                <w:sz w:val="21"/>
                <w:szCs w:val="21"/>
              </w:rPr>
            </w:pPr>
            <w:r w:rsidRPr="00345384">
              <w:rPr>
                <w:sz w:val="21"/>
                <w:szCs w:val="21"/>
              </w:rPr>
              <w:t>MATH 1315, 1319, 132</w:t>
            </w:r>
            <w:r w:rsidR="006013D1" w:rsidRPr="00345384">
              <w:rPr>
                <w:sz w:val="21"/>
                <w:szCs w:val="21"/>
              </w:rPr>
              <w:t>9</w:t>
            </w:r>
            <w:r w:rsidRPr="00345384">
              <w:rPr>
                <w:sz w:val="21"/>
                <w:szCs w:val="21"/>
              </w:rPr>
              <w:t>, 2417 or 2471</w:t>
            </w:r>
          </w:p>
        </w:tc>
      </w:tr>
    </w:tbl>
    <w:p w14:paraId="486CED06" w14:textId="77777777" w:rsidR="003554F0" w:rsidRPr="00345384" w:rsidRDefault="003554F0" w:rsidP="00803AB3">
      <w:pPr>
        <w:pStyle w:val="BodyText"/>
        <w:ind w:left="360" w:right="180"/>
      </w:pPr>
    </w:p>
    <w:p w14:paraId="0091C941" w14:textId="04FEFC23" w:rsidR="00803AB3" w:rsidRPr="00345384" w:rsidRDefault="00803AB3" w:rsidP="003722F6">
      <w:pPr>
        <w:pStyle w:val="Heading2"/>
      </w:pPr>
      <w:r w:rsidRPr="00345384">
        <w:t xml:space="preserve">ADDITIONAL LOWER-DIVISION </w:t>
      </w:r>
      <w:r w:rsidR="006013D1" w:rsidRPr="00345384">
        <w:t>BHA</w:t>
      </w:r>
      <w:r w:rsidRPr="00345384">
        <w:t xml:space="preserve"> REQUIREMENTS</w:t>
      </w:r>
    </w:p>
    <w:p w14:paraId="73E27796" w14:textId="77777777" w:rsidR="00803AB3" w:rsidRPr="00345384" w:rsidRDefault="00803AB3" w:rsidP="00803AB3">
      <w:pPr>
        <w:pStyle w:val="BodyText"/>
        <w:ind w:left="360" w:right="180"/>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62"/>
        <w:gridCol w:w="3960"/>
      </w:tblGrid>
      <w:tr w:rsidR="00803AB3" w:rsidRPr="00345384" w14:paraId="32817231" w14:textId="77777777" w:rsidTr="006013D1">
        <w:trPr>
          <w:trHeight w:val="265"/>
          <w:tblHeader/>
        </w:trPr>
        <w:tc>
          <w:tcPr>
            <w:tcW w:w="5562" w:type="dxa"/>
          </w:tcPr>
          <w:p w14:paraId="52129F71" w14:textId="77777777" w:rsidR="00803AB3" w:rsidRPr="00345384" w:rsidRDefault="00803AB3" w:rsidP="00901465">
            <w:pPr>
              <w:ind w:right="180"/>
              <w:rPr>
                <w:rFonts w:ascii="Cambria" w:hAnsi="Cambria"/>
                <w:sz w:val="21"/>
                <w:szCs w:val="21"/>
              </w:rPr>
            </w:pPr>
            <w:r w:rsidRPr="00345384">
              <w:rPr>
                <w:rFonts w:ascii="Cambria" w:hAnsi="Cambria"/>
                <w:sz w:val="21"/>
                <w:szCs w:val="21"/>
                <w:u w:val="single"/>
              </w:rPr>
              <w:t>TCCN</w:t>
            </w:r>
          </w:p>
        </w:tc>
        <w:tc>
          <w:tcPr>
            <w:tcW w:w="3960" w:type="dxa"/>
          </w:tcPr>
          <w:p w14:paraId="2F7B9149" w14:textId="77777777" w:rsidR="00803AB3" w:rsidRPr="00345384" w:rsidRDefault="00803AB3" w:rsidP="00901465">
            <w:pPr>
              <w:ind w:right="180"/>
              <w:rPr>
                <w:rFonts w:ascii="Cambria" w:hAnsi="Cambria"/>
                <w:sz w:val="21"/>
                <w:szCs w:val="21"/>
              </w:rPr>
            </w:pPr>
            <w:r w:rsidRPr="00345384">
              <w:rPr>
                <w:rFonts w:ascii="Cambria" w:hAnsi="Cambria"/>
                <w:sz w:val="21"/>
                <w:szCs w:val="21"/>
                <w:u w:val="single"/>
              </w:rPr>
              <w:t>TEXAS</w:t>
            </w:r>
            <w:r w:rsidRPr="00345384">
              <w:rPr>
                <w:rFonts w:ascii="Cambria" w:hAnsi="Cambria"/>
                <w:spacing w:val="-2"/>
                <w:sz w:val="21"/>
                <w:szCs w:val="21"/>
                <w:u w:val="single"/>
              </w:rPr>
              <w:t xml:space="preserve"> </w:t>
            </w:r>
            <w:r w:rsidRPr="00345384">
              <w:rPr>
                <w:rFonts w:ascii="Cambria" w:hAnsi="Cambria"/>
                <w:sz w:val="21"/>
                <w:szCs w:val="21"/>
                <w:u w:val="single"/>
              </w:rPr>
              <w:t>STATE</w:t>
            </w:r>
          </w:p>
        </w:tc>
      </w:tr>
      <w:tr w:rsidR="00803AB3" w:rsidRPr="00345384" w14:paraId="4536D268" w14:textId="77777777" w:rsidTr="006013D1">
        <w:trPr>
          <w:trHeight w:val="265"/>
          <w:tblHeader/>
        </w:trPr>
        <w:tc>
          <w:tcPr>
            <w:tcW w:w="5562" w:type="dxa"/>
          </w:tcPr>
          <w:p w14:paraId="2B067F05" w14:textId="27AFC95D" w:rsidR="00803AB3" w:rsidRPr="00345384" w:rsidRDefault="006013D1" w:rsidP="00901465">
            <w:pPr>
              <w:ind w:right="180"/>
              <w:rPr>
                <w:rFonts w:ascii="Cambria" w:hAnsi="Cambria"/>
                <w:sz w:val="21"/>
                <w:szCs w:val="21"/>
              </w:rPr>
            </w:pPr>
            <w:r w:rsidRPr="00345384">
              <w:rPr>
                <w:rFonts w:ascii="Cambria" w:hAnsi="Cambria"/>
                <w:sz w:val="21"/>
                <w:szCs w:val="21"/>
              </w:rPr>
              <w:t>ECON 1301 or 2302</w:t>
            </w:r>
          </w:p>
        </w:tc>
        <w:tc>
          <w:tcPr>
            <w:tcW w:w="3960" w:type="dxa"/>
          </w:tcPr>
          <w:p w14:paraId="3343A5A7" w14:textId="024EC662" w:rsidR="00803AB3" w:rsidRPr="00345384" w:rsidRDefault="006013D1" w:rsidP="00901465">
            <w:pPr>
              <w:ind w:right="180"/>
              <w:rPr>
                <w:rFonts w:ascii="Cambria" w:hAnsi="Cambria"/>
                <w:sz w:val="21"/>
                <w:szCs w:val="21"/>
              </w:rPr>
            </w:pPr>
            <w:r w:rsidRPr="00345384">
              <w:rPr>
                <w:rFonts w:ascii="Cambria" w:hAnsi="Cambria"/>
                <w:sz w:val="21"/>
                <w:szCs w:val="21"/>
              </w:rPr>
              <w:t>ECO 2301 or 2314</w:t>
            </w:r>
          </w:p>
        </w:tc>
      </w:tr>
      <w:tr w:rsidR="00803AB3" w:rsidRPr="00345384" w14:paraId="71A6A592" w14:textId="77777777" w:rsidTr="006013D1">
        <w:trPr>
          <w:trHeight w:val="265"/>
          <w:tblHeader/>
        </w:trPr>
        <w:tc>
          <w:tcPr>
            <w:tcW w:w="5562" w:type="dxa"/>
          </w:tcPr>
          <w:p w14:paraId="6332B858" w14:textId="476EE142" w:rsidR="00803AB3" w:rsidRPr="00345384" w:rsidRDefault="006013D1" w:rsidP="00901465">
            <w:pPr>
              <w:ind w:right="180"/>
              <w:rPr>
                <w:rFonts w:ascii="Cambria" w:hAnsi="Cambria"/>
                <w:sz w:val="21"/>
                <w:szCs w:val="21"/>
              </w:rPr>
            </w:pPr>
            <w:r w:rsidRPr="00345384">
              <w:rPr>
                <w:rFonts w:ascii="Cambria" w:hAnsi="Cambria"/>
                <w:sz w:val="21"/>
                <w:szCs w:val="21"/>
              </w:rPr>
              <w:t>PSYC 2317</w:t>
            </w:r>
          </w:p>
        </w:tc>
        <w:tc>
          <w:tcPr>
            <w:tcW w:w="3960" w:type="dxa"/>
          </w:tcPr>
          <w:p w14:paraId="2BD6FCA2" w14:textId="704E8CD6" w:rsidR="00803AB3" w:rsidRPr="00345384" w:rsidRDefault="006013D1" w:rsidP="00901465">
            <w:pPr>
              <w:ind w:right="180"/>
              <w:rPr>
                <w:rFonts w:ascii="Cambria" w:hAnsi="Cambria"/>
                <w:sz w:val="21"/>
                <w:szCs w:val="21"/>
              </w:rPr>
            </w:pPr>
            <w:r w:rsidRPr="00345384">
              <w:rPr>
                <w:rFonts w:ascii="Cambria" w:hAnsi="Cambria"/>
                <w:sz w:val="21"/>
                <w:szCs w:val="21"/>
              </w:rPr>
              <w:t xml:space="preserve">PSY 2301 </w:t>
            </w:r>
            <w:r w:rsidRPr="00345384">
              <w:rPr>
                <w:rFonts w:ascii="Cambria" w:hAnsi="Cambria"/>
                <w:i/>
                <w:iCs/>
                <w:sz w:val="21"/>
                <w:szCs w:val="21"/>
              </w:rPr>
              <w:t>(substitutes for</w:t>
            </w:r>
            <w:r w:rsidRPr="00345384">
              <w:rPr>
                <w:rFonts w:ascii="Cambria" w:hAnsi="Cambria"/>
                <w:sz w:val="21"/>
                <w:szCs w:val="21"/>
              </w:rPr>
              <w:t xml:space="preserve"> HP 3325</w:t>
            </w:r>
            <w:r w:rsidRPr="00345384">
              <w:rPr>
                <w:rFonts w:ascii="Cambria" w:hAnsi="Cambria"/>
                <w:i/>
                <w:iCs/>
                <w:sz w:val="21"/>
                <w:szCs w:val="21"/>
              </w:rPr>
              <w:t>)</w:t>
            </w:r>
          </w:p>
        </w:tc>
      </w:tr>
      <w:tr w:rsidR="00803AB3" w:rsidRPr="00345384" w14:paraId="2DECFFAB" w14:textId="77777777" w:rsidTr="006013D1">
        <w:trPr>
          <w:trHeight w:val="249"/>
          <w:tblHeader/>
        </w:trPr>
        <w:tc>
          <w:tcPr>
            <w:tcW w:w="5562" w:type="dxa"/>
          </w:tcPr>
          <w:p w14:paraId="212AC043" w14:textId="75B25B55" w:rsidR="00803AB3" w:rsidRPr="00345384" w:rsidRDefault="006013D1" w:rsidP="00901465">
            <w:pPr>
              <w:ind w:right="180"/>
              <w:rPr>
                <w:rFonts w:ascii="Cambria" w:hAnsi="Cambria"/>
                <w:sz w:val="21"/>
                <w:szCs w:val="21"/>
              </w:rPr>
            </w:pPr>
            <w:r w:rsidRPr="00345384">
              <w:rPr>
                <w:rFonts w:ascii="Cambria" w:hAnsi="Cambria"/>
                <w:sz w:val="21"/>
                <w:szCs w:val="21"/>
              </w:rPr>
              <w:t>BCIS 1305 or COSC 1300 or COSC 1301 or COSC 1400</w:t>
            </w:r>
          </w:p>
        </w:tc>
        <w:tc>
          <w:tcPr>
            <w:tcW w:w="3960" w:type="dxa"/>
          </w:tcPr>
          <w:p w14:paraId="001E8550" w14:textId="26CF657B" w:rsidR="00803AB3" w:rsidRPr="00345384" w:rsidRDefault="006013D1" w:rsidP="00901465">
            <w:pPr>
              <w:ind w:right="180"/>
              <w:rPr>
                <w:rFonts w:ascii="Cambria" w:hAnsi="Cambria"/>
                <w:sz w:val="21"/>
                <w:szCs w:val="21"/>
              </w:rPr>
            </w:pPr>
            <w:r w:rsidRPr="00345384">
              <w:rPr>
                <w:rFonts w:ascii="Cambria" w:hAnsi="Cambria"/>
                <w:sz w:val="21"/>
                <w:szCs w:val="21"/>
              </w:rPr>
              <w:t>CIS 1323 or CS 1308</w:t>
            </w:r>
          </w:p>
        </w:tc>
      </w:tr>
    </w:tbl>
    <w:p w14:paraId="7D565896" w14:textId="35D27DA0" w:rsidR="00BE472D" w:rsidRPr="00345384" w:rsidRDefault="00BE472D">
      <w:pPr>
        <w:rPr>
          <w:rFonts w:ascii="Cambria" w:eastAsia="Cambria" w:hAnsi="Cambria" w:cs="Cambria"/>
          <w:sz w:val="21"/>
          <w:szCs w:val="21"/>
          <w:lang w:val="en" w:bidi="en-US"/>
        </w:rPr>
      </w:pPr>
    </w:p>
    <w:p w14:paraId="5BA53390" w14:textId="77777777" w:rsidR="006013D1" w:rsidRPr="00345384" w:rsidRDefault="006013D1">
      <w:pPr>
        <w:rPr>
          <w:rFonts w:ascii="Cambria" w:eastAsia="Cambria" w:hAnsi="Cambria" w:cs="Cambria"/>
          <w:sz w:val="21"/>
          <w:szCs w:val="21"/>
          <w:lang w:val="en" w:bidi="en-US"/>
        </w:rPr>
      </w:pPr>
      <w:r w:rsidRPr="00345384">
        <w:rPr>
          <w:rFonts w:ascii="Cambria" w:hAnsi="Cambria"/>
          <w:sz w:val="21"/>
          <w:szCs w:val="21"/>
        </w:rPr>
        <w:br w:type="page"/>
      </w:r>
    </w:p>
    <w:p w14:paraId="5F6E54C5" w14:textId="30F47CD7" w:rsidR="008A619A" w:rsidRDefault="00792CAE" w:rsidP="003722F6">
      <w:pPr>
        <w:pStyle w:val="Heading2"/>
      </w:pPr>
      <w:r w:rsidRPr="00345384">
        <w:lastRenderedPageBreak/>
        <w:t xml:space="preserve">ADMISSION TO THE </w:t>
      </w:r>
      <w:r w:rsidR="00BE472D" w:rsidRPr="00345384">
        <w:t>HEALTH</w:t>
      </w:r>
      <w:r w:rsidR="006013D1" w:rsidRPr="00345384">
        <w:t xml:space="preserve">CARE ADMINISTRATION </w:t>
      </w:r>
      <w:r w:rsidRPr="00345384">
        <w:t xml:space="preserve">PROGRAM: </w:t>
      </w:r>
    </w:p>
    <w:p w14:paraId="2E66242A" w14:textId="77777777" w:rsidR="0099129E" w:rsidRPr="00345384" w:rsidRDefault="0099129E" w:rsidP="003722F6">
      <w:pPr>
        <w:pStyle w:val="Heading2"/>
      </w:pPr>
    </w:p>
    <w:p w14:paraId="0C97CF0D" w14:textId="77777777" w:rsidR="0099129E" w:rsidRPr="0099129E" w:rsidRDefault="0099129E" w:rsidP="0099129E">
      <w:pPr>
        <w:numPr>
          <w:ilvl w:val="0"/>
          <w:numId w:val="19"/>
        </w:numPr>
        <w:rPr>
          <w:rFonts w:ascii="Cambria" w:hAnsi="Cambria"/>
          <w:sz w:val="21"/>
          <w:szCs w:val="21"/>
        </w:rPr>
      </w:pPr>
      <w:r w:rsidRPr="0099129E">
        <w:rPr>
          <w:rFonts w:ascii="Cambria" w:hAnsi="Cambria"/>
          <w:sz w:val="21"/>
          <w:szCs w:val="21"/>
        </w:rPr>
        <w:t>Any student admitted to Texas State may declare Pre-Healthcare Administration as the major. To declare Pre-Healthcare as a major, contact the Health Professions Advising Center or School of Health Administration.</w:t>
      </w:r>
    </w:p>
    <w:p w14:paraId="36EEEC28" w14:textId="77777777" w:rsidR="0099129E" w:rsidRPr="0099129E" w:rsidRDefault="0099129E" w:rsidP="0099129E">
      <w:pPr>
        <w:numPr>
          <w:ilvl w:val="0"/>
          <w:numId w:val="19"/>
        </w:numPr>
        <w:rPr>
          <w:rFonts w:ascii="Cambria" w:hAnsi="Cambria"/>
          <w:sz w:val="21"/>
          <w:szCs w:val="21"/>
        </w:rPr>
      </w:pPr>
      <w:r w:rsidRPr="0099129E">
        <w:rPr>
          <w:rFonts w:ascii="Cambria" w:hAnsi="Cambria"/>
          <w:sz w:val="21"/>
          <w:szCs w:val="21"/>
        </w:rPr>
        <w:t>Continuation into the Healthcare Administration major is guaranteed to students who:</w:t>
      </w:r>
    </w:p>
    <w:p w14:paraId="06E68A7C" w14:textId="77777777" w:rsidR="0099129E" w:rsidRPr="0099129E" w:rsidRDefault="0099129E" w:rsidP="005F6296">
      <w:pPr>
        <w:numPr>
          <w:ilvl w:val="1"/>
          <w:numId w:val="19"/>
        </w:numPr>
        <w:spacing w:after="0"/>
        <w:rPr>
          <w:rFonts w:ascii="Cambria" w:hAnsi="Cambria"/>
          <w:sz w:val="21"/>
          <w:szCs w:val="21"/>
        </w:rPr>
      </w:pPr>
      <w:r w:rsidRPr="0099129E">
        <w:rPr>
          <w:rFonts w:ascii="Cambria" w:hAnsi="Cambria"/>
          <w:sz w:val="21"/>
          <w:szCs w:val="21"/>
        </w:rPr>
        <w:t xml:space="preserve">have an overall GPA of </w:t>
      </w:r>
      <w:proofErr w:type="gramStart"/>
      <w:r w:rsidRPr="0099129E">
        <w:rPr>
          <w:rFonts w:ascii="Cambria" w:hAnsi="Cambria"/>
          <w:sz w:val="21"/>
          <w:szCs w:val="21"/>
        </w:rPr>
        <w:t>2.00;</w:t>
      </w:r>
      <w:proofErr w:type="gramEnd"/>
    </w:p>
    <w:p w14:paraId="555B6341" w14:textId="77777777" w:rsidR="0099129E" w:rsidRPr="0099129E" w:rsidRDefault="0099129E" w:rsidP="005F6296">
      <w:pPr>
        <w:numPr>
          <w:ilvl w:val="1"/>
          <w:numId w:val="19"/>
        </w:numPr>
        <w:spacing w:after="0"/>
        <w:rPr>
          <w:rFonts w:ascii="Cambria" w:hAnsi="Cambria"/>
          <w:sz w:val="21"/>
          <w:szCs w:val="21"/>
        </w:rPr>
      </w:pPr>
      <w:r w:rsidRPr="0099129E">
        <w:rPr>
          <w:rFonts w:ascii="Cambria" w:hAnsi="Cambria"/>
          <w:sz w:val="21"/>
          <w:szCs w:val="21"/>
        </w:rPr>
        <w:t xml:space="preserve">are in good academic standing at Texas </w:t>
      </w:r>
      <w:proofErr w:type="gramStart"/>
      <w:r w:rsidRPr="0099129E">
        <w:rPr>
          <w:rFonts w:ascii="Cambria" w:hAnsi="Cambria"/>
          <w:sz w:val="21"/>
          <w:szCs w:val="21"/>
        </w:rPr>
        <w:t>State;</w:t>
      </w:r>
      <w:proofErr w:type="gramEnd"/>
    </w:p>
    <w:p w14:paraId="2DFB94E6" w14:textId="77777777" w:rsidR="0099129E" w:rsidRPr="0099129E" w:rsidRDefault="0099129E" w:rsidP="005F6296">
      <w:pPr>
        <w:numPr>
          <w:ilvl w:val="1"/>
          <w:numId w:val="19"/>
        </w:numPr>
        <w:spacing w:after="0"/>
        <w:rPr>
          <w:rFonts w:ascii="Cambria" w:hAnsi="Cambria"/>
          <w:sz w:val="21"/>
          <w:szCs w:val="21"/>
        </w:rPr>
      </w:pPr>
      <w:r w:rsidRPr="0099129E">
        <w:rPr>
          <w:rFonts w:ascii="Cambria" w:hAnsi="Cambria"/>
          <w:sz w:val="21"/>
          <w:szCs w:val="21"/>
        </w:rPr>
        <w:t>have successfully completed their general education core curriculum; and</w:t>
      </w:r>
    </w:p>
    <w:p w14:paraId="278BFEB1" w14:textId="45624091" w:rsidR="0099129E" w:rsidRDefault="0099129E" w:rsidP="005F6296">
      <w:pPr>
        <w:numPr>
          <w:ilvl w:val="1"/>
          <w:numId w:val="19"/>
        </w:numPr>
        <w:spacing w:after="0"/>
        <w:rPr>
          <w:rFonts w:ascii="Cambria" w:hAnsi="Cambria"/>
          <w:sz w:val="21"/>
          <w:szCs w:val="21"/>
        </w:rPr>
      </w:pPr>
      <w:r w:rsidRPr="0099129E">
        <w:rPr>
          <w:rFonts w:ascii="Cambria" w:hAnsi="Cambria"/>
          <w:sz w:val="21"/>
          <w:szCs w:val="21"/>
        </w:rPr>
        <w:t>have completed the following support courses with a “C” or higher: MATH 1315 or an equivalent, ECO 2301 or 2314, HP 3325 or an equivalent, and HA 3308.</w:t>
      </w:r>
    </w:p>
    <w:p w14:paraId="6553DAF5" w14:textId="77777777" w:rsidR="005F6296" w:rsidRDefault="005F6296" w:rsidP="005F6296">
      <w:pPr>
        <w:spacing w:after="0"/>
        <w:ind w:left="1440"/>
        <w:rPr>
          <w:rFonts w:ascii="Cambria" w:hAnsi="Cambria"/>
          <w:sz w:val="21"/>
          <w:szCs w:val="21"/>
        </w:rPr>
      </w:pPr>
    </w:p>
    <w:p w14:paraId="057A6D3A" w14:textId="7EDCB1CC" w:rsidR="0099129E" w:rsidRPr="0099129E" w:rsidRDefault="0099129E" w:rsidP="005F6296">
      <w:pPr>
        <w:numPr>
          <w:ilvl w:val="0"/>
          <w:numId w:val="19"/>
        </w:numPr>
        <w:rPr>
          <w:rFonts w:ascii="Cambria" w:hAnsi="Cambria"/>
          <w:sz w:val="21"/>
          <w:szCs w:val="21"/>
        </w:rPr>
      </w:pPr>
      <w:r>
        <w:rPr>
          <w:rFonts w:ascii="Cambria" w:hAnsi="Cambria"/>
          <w:sz w:val="21"/>
          <w:szCs w:val="21"/>
        </w:rPr>
        <w:t xml:space="preserve">For more information, visit: </w:t>
      </w:r>
      <w:r w:rsidRPr="0099129E">
        <w:rPr>
          <w:rFonts w:ascii="Cambria" w:hAnsi="Cambria"/>
          <w:sz w:val="21"/>
          <w:szCs w:val="21"/>
        </w:rPr>
        <w:t>http://mycatalog.txstate.edu/undergraduate/health-professions/administration/healthcare-administration-bha/</w:t>
      </w:r>
    </w:p>
    <w:p w14:paraId="40B69C8D" w14:textId="77777777" w:rsidR="0099129E" w:rsidRPr="0099129E" w:rsidRDefault="0099129E" w:rsidP="0099129E">
      <w:pPr>
        <w:numPr>
          <w:ilvl w:val="0"/>
          <w:numId w:val="19"/>
        </w:numPr>
        <w:rPr>
          <w:rFonts w:ascii="Cambria" w:hAnsi="Cambria"/>
          <w:sz w:val="21"/>
          <w:szCs w:val="21"/>
        </w:rPr>
      </w:pPr>
      <w:r w:rsidRPr="0099129E">
        <w:rPr>
          <w:rFonts w:ascii="Cambria" w:hAnsi="Cambria"/>
          <w:sz w:val="21"/>
          <w:szCs w:val="21"/>
        </w:rPr>
        <w:t xml:space="preserve">To declare </w:t>
      </w:r>
      <w:proofErr w:type="spellStart"/>
      <w:r w:rsidRPr="0099129E">
        <w:rPr>
          <w:rFonts w:ascii="Cambria" w:hAnsi="Cambria"/>
          <w:sz w:val="21"/>
          <w:szCs w:val="21"/>
        </w:rPr>
        <w:t>Heathcare</w:t>
      </w:r>
      <w:proofErr w:type="spellEnd"/>
      <w:r w:rsidRPr="0099129E">
        <w:rPr>
          <w:rFonts w:ascii="Cambria" w:hAnsi="Cambria"/>
          <w:sz w:val="21"/>
          <w:szCs w:val="21"/>
        </w:rPr>
        <w:t xml:space="preserve"> </w:t>
      </w:r>
      <w:proofErr w:type="spellStart"/>
      <w:r w:rsidRPr="0099129E">
        <w:rPr>
          <w:rFonts w:ascii="Cambria" w:hAnsi="Cambria"/>
          <w:sz w:val="21"/>
          <w:szCs w:val="21"/>
        </w:rPr>
        <w:t>Adminstration</w:t>
      </w:r>
      <w:proofErr w:type="spellEnd"/>
      <w:r w:rsidRPr="0099129E">
        <w:rPr>
          <w:rFonts w:ascii="Cambria" w:hAnsi="Cambria"/>
          <w:sz w:val="21"/>
          <w:szCs w:val="21"/>
        </w:rPr>
        <w:t xml:space="preserve"> as the student's major and continue into junior level, first semester Healthcare Administration courses, the student must complete a change of major form with the School of Health Administration. Students can begin their junior level, first semester Healthcare Administration courses in a fall or spring semester only.</w:t>
      </w:r>
    </w:p>
    <w:p w14:paraId="1FFF5540" w14:textId="77777777" w:rsidR="00C9402C" w:rsidRPr="002F239C" w:rsidRDefault="00C9402C" w:rsidP="00C9402C">
      <w:pPr>
        <w:pStyle w:val="Heading2"/>
      </w:pPr>
      <w:r w:rsidRPr="002F239C">
        <w:t>BACKGROUND CHECK AND DRUG SCREENING</w:t>
      </w:r>
    </w:p>
    <w:p w14:paraId="21763505" w14:textId="77777777" w:rsidR="00C9402C" w:rsidRDefault="00C9402C" w:rsidP="00C9402C">
      <w:pPr>
        <w:pStyle w:val="BodyText"/>
        <w:rPr>
          <w:lang w:val="en"/>
        </w:rPr>
      </w:pPr>
    </w:p>
    <w:p w14:paraId="05C67E5C" w14:textId="53EAC2EF" w:rsidR="00C9402C" w:rsidRPr="002F239C" w:rsidRDefault="00C9402C" w:rsidP="00C9402C">
      <w:pPr>
        <w:pStyle w:val="BodyText"/>
        <w:rPr>
          <w:lang w:val="en"/>
        </w:rPr>
      </w:pPr>
      <w:r>
        <w:t>As a condition for placement in all professional practice sites, students are required to have a background check and/or drug screen to meet requirements set by individual sites. Information on the drug screening process will be provided by the School of Health Administration. Previous misdemeanor or felony convictions under various titles of the Texas Penal Code will affect eligibility for placement in field experience. </w:t>
      </w:r>
    </w:p>
    <w:p w14:paraId="45D0CAAD" w14:textId="77777777" w:rsidR="0053445F" w:rsidRPr="0053445F" w:rsidRDefault="0053445F">
      <w:pPr>
        <w:rPr>
          <w:rFonts w:ascii="Cambria" w:eastAsia="Cambria" w:hAnsi="Cambria" w:cs="Cambria"/>
          <w:sz w:val="21"/>
          <w:szCs w:val="21"/>
          <w:lang w:val="en" w:bidi="en-US"/>
        </w:rPr>
      </w:pPr>
    </w:p>
    <w:p w14:paraId="78138C59" w14:textId="3323F039" w:rsidR="002F239C" w:rsidRPr="00345384" w:rsidRDefault="002F239C" w:rsidP="002F239C">
      <w:pPr>
        <w:pStyle w:val="Heading2"/>
      </w:pPr>
      <w:r w:rsidRPr="00345384">
        <w:t>IMMUNIZATION REQUIREMENTS</w:t>
      </w:r>
      <w:r w:rsidR="007F2430">
        <w:t>:</w:t>
      </w:r>
    </w:p>
    <w:p w14:paraId="2FC01F5C" w14:textId="77777777" w:rsidR="007F2430" w:rsidRDefault="007F2430" w:rsidP="002F239C">
      <w:pPr>
        <w:pStyle w:val="BodyText"/>
        <w:rPr>
          <w:lang w:val="en"/>
        </w:rPr>
      </w:pPr>
    </w:p>
    <w:p w14:paraId="62DDD7D5" w14:textId="7B1D57D9" w:rsidR="008A619A" w:rsidRPr="00345384" w:rsidRDefault="008A619A" w:rsidP="002F239C">
      <w:pPr>
        <w:pStyle w:val="BodyText"/>
        <w:rPr>
          <w:lang w:val="en"/>
        </w:rPr>
      </w:pPr>
      <w:r w:rsidRPr="00345384">
        <w:rPr>
          <w:lang w:val="en"/>
        </w:rPr>
        <w:t xml:space="preserve">It is a policy of the College of Health Professions </w:t>
      </w:r>
      <w:r w:rsidR="00345384" w:rsidRPr="00345384">
        <w:rPr>
          <w:lang w:val="en"/>
        </w:rPr>
        <w:t xml:space="preserve">that each student must provide a Health Report completed by a physician or licensed healthcare </w:t>
      </w:r>
      <w:proofErr w:type="gramStart"/>
      <w:r w:rsidR="00345384" w:rsidRPr="00345384">
        <w:rPr>
          <w:lang w:val="en"/>
        </w:rPr>
        <w:t>provider, and</w:t>
      </w:r>
      <w:proofErr w:type="gramEnd"/>
      <w:r w:rsidR="00345384" w:rsidRPr="00345384">
        <w:rPr>
          <w:lang w:val="en"/>
        </w:rPr>
        <w:t xml:space="preserve"> must take certain immunizations before the student can be placed in a clinical or residency assignment. Information on these requirements and forms to be supplied may be obtained through the school office.</w:t>
      </w:r>
    </w:p>
    <w:p w14:paraId="7AE2CCFC" w14:textId="77777777" w:rsidR="002F239C" w:rsidRPr="00345384" w:rsidRDefault="002F239C" w:rsidP="002F239C">
      <w:pPr>
        <w:pStyle w:val="BodyText"/>
        <w:rPr>
          <w:lang w:val="en"/>
        </w:rPr>
      </w:pPr>
    </w:p>
    <w:p w14:paraId="0675B38E" w14:textId="04C388C9" w:rsidR="002F239C" w:rsidRPr="00345384" w:rsidRDefault="002F239C" w:rsidP="002F239C">
      <w:pPr>
        <w:pStyle w:val="Heading2"/>
      </w:pPr>
      <w:r w:rsidRPr="00345384">
        <w:t>GRADUATION WITH HONORS</w:t>
      </w:r>
      <w:r w:rsidR="007F2430">
        <w:t>:</w:t>
      </w:r>
    </w:p>
    <w:p w14:paraId="5E975FAA" w14:textId="77777777" w:rsidR="007F2430" w:rsidRDefault="007F2430" w:rsidP="00345384">
      <w:pPr>
        <w:pStyle w:val="BodyText"/>
        <w:rPr>
          <w:lang w:val="en"/>
        </w:rPr>
      </w:pPr>
    </w:p>
    <w:p w14:paraId="02D7B9F4" w14:textId="787FEC41" w:rsidR="00345384" w:rsidRPr="00345384" w:rsidRDefault="002B6969" w:rsidP="00345384">
      <w:pPr>
        <w:pStyle w:val="BodyText"/>
        <w:rPr>
          <w:lang w:val="en"/>
        </w:rPr>
      </w:pPr>
      <w:r w:rsidRPr="00345384">
        <w:rPr>
          <w:lang w:val="en"/>
        </w:rPr>
        <w:t xml:space="preserve">Students </w:t>
      </w:r>
      <w:r w:rsidR="00345384" w:rsidRPr="00345384">
        <w:rPr>
          <w:lang w:val="en"/>
        </w:rPr>
        <w:t xml:space="preserve">earning a GPA of 3.40-3.59 will graduate </w:t>
      </w:r>
      <w:r w:rsidR="00345384" w:rsidRPr="00345384">
        <w:rPr>
          <w:rStyle w:val="Emphasis"/>
          <w:lang w:val="en"/>
        </w:rPr>
        <w:t>cum laude</w:t>
      </w:r>
      <w:r w:rsidR="00345384" w:rsidRPr="00345384">
        <w:rPr>
          <w:lang w:val="en"/>
        </w:rPr>
        <w:t xml:space="preserve">; 3.6-3.79 will graduate </w:t>
      </w:r>
      <w:r w:rsidR="00345384" w:rsidRPr="00345384">
        <w:rPr>
          <w:rStyle w:val="Emphasis"/>
          <w:lang w:val="en"/>
        </w:rPr>
        <w:t>magna cum laude</w:t>
      </w:r>
      <w:r w:rsidR="00345384" w:rsidRPr="00345384">
        <w:rPr>
          <w:lang w:val="en"/>
        </w:rPr>
        <w:t xml:space="preserve">; 3.8-4.0 will graduate </w:t>
      </w:r>
      <w:r w:rsidR="00345384" w:rsidRPr="00345384">
        <w:rPr>
          <w:rStyle w:val="Emphasis"/>
          <w:lang w:val="en"/>
        </w:rPr>
        <w:t>summa cum laude</w:t>
      </w:r>
      <w:r w:rsidR="00345384" w:rsidRPr="00345384">
        <w:rPr>
          <w:lang w:val="en"/>
        </w:rPr>
        <w:t>. Calculation of the GPA to determine honors status is based on all Texas State University coursework applied to the first baccalaureate degree, including work completed in the final semester. Effective summer 2012, to be eligible for graduation with honors, a student seeking a baccalaureate degree must have completed a minimum of 54 semester credit hours preceding graduation at Texas State.</w:t>
      </w:r>
    </w:p>
    <w:p w14:paraId="29058016" w14:textId="77777777" w:rsidR="00345384" w:rsidRPr="00345384" w:rsidRDefault="00345384" w:rsidP="00345384">
      <w:pPr>
        <w:pStyle w:val="BodyText"/>
        <w:rPr>
          <w:lang w:val="en"/>
        </w:rPr>
      </w:pPr>
    </w:p>
    <w:p w14:paraId="530F998B" w14:textId="77777777" w:rsidR="00345384" w:rsidRPr="00345384" w:rsidRDefault="00345384" w:rsidP="00345384">
      <w:pPr>
        <w:pStyle w:val="BodyText"/>
        <w:rPr>
          <w:lang w:val="en"/>
        </w:rPr>
      </w:pPr>
      <w:r w:rsidRPr="00345384">
        <w:rPr>
          <w:lang w:val="en"/>
        </w:rPr>
        <w:t>Hours earned through Texas State correspondence courses and extension courses are counted in the hours required to be eligible for honors and in the GPA calculation for honors. Hours earned through Texas State credit-by-examination, work/life experience, and other courses receiving “CR” (pass/fail) grades are counted in the hours required to be eligible for honors, but do not count in the GPA calculation. Remedial courses with a “CR” grade and graduate courses are not counted in either the hours required or the GPA calculation for honors.</w:t>
      </w:r>
    </w:p>
    <w:p w14:paraId="18825A44" w14:textId="77777777" w:rsidR="00345384" w:rsidRPr="00345384" w:rsidRDefault="00345384" w:rsidP="00345384">
      <w:pPr>
        <w:pStyle w:val="BodyText"/>
        <w:rPr>
          <w:lang w:val="en"/>
        </w:rPr>
      </w:pPr>
    </w:p>
    <w:p w14:paraId="529F0EF8" w14:textId="1DC650F9" w:rsidR="00025FD1" w:rsidRPr="00345384" w:rsidRDefault="00345384" w:rsidP="00345384">
      <w:pPr>
        <w:pStyle w:val="BodyText"/>
        <w:rPr>
          <w:rFonts w:eastAsia="Times New Roman" w:cs="Times New Roman"/>
          <w:lang w:val="en" w:bidi="ar-SA"/>
        </w:rPr>
      </w:pPr>
      <w:r w:rsidRPr="00345384">
        <w:rPr>
          <w:lang w:val="en"/>
        </w:rPr>
        <w:t>Transfer students who have earned at least 54 semester hours at Texas State are eligible to graduate with honors if their Texas State GPA meets the above criteria. Students earning second baccalaureate degrees are eligible for graduation with honors if they complete 54 or more hours at Texas State in pursuit of the second degree.</w:t>
      </w:r>
      <w:r w:rsidR="00025FD1" w:rsidRPr="00345384">
        <w:br w:type="page"/>
      </w:r>
    </w:p>
    <w:p w14:paraId="5C52341F" w14:textId="33A35280" w:rsidR="00E16D7C" w:rsidRDefault="00E16D7C" w:rsidP="003722F6">
      <w:pPr>
        <w:pStyle w:val="Heading2"/>
      </w:pPr>
      <w:r w:rsidRPr="00345384">
        <w:t>UNIVERSITY ADMISSION:</w:t>
      </w:r>
    </w:p>
    <w:p w14:paraId="1BA0D411" w14:textId="77777777" w:rsidR="007F2430" w:rsidRPr="00345384" w:rsidRDefault="007F2430" w:rsidP="007F2430">
      <w:pPr>
        <w:pStyle w:val="BodyText"/>
      </w:pPr>
    </w:p>
    <w:p w14:paraId="4E1F3EE0" w14:textId="77777777" w:rsidR="00025FD1" w:rsidRPr="00345384" w:rsidRDefault="00E16D7C" w:rsidP="00025FD1">
      <w:pPr>
        <w:pStyle w:val="ListParagraph"/>
        <w:numPr>
          <w:ilvl w:val="0"/>
          <w:numId w:val="15"/>
        </w:numPr>
        <w:tabs>
          <w:tab w:val="left" w:pos="817"/>
          <w:tab w:val="left" w:pos="818"/>
        </w:tabs>
        <w:rPr>
          <w:sz w:val="21"/>
          <w:szCs w:val="21"/>
        </w:rPr>
      </w:pPr>
      <w:r w:rsidRPr="00345384">
        <w:rPr>
          <w:sz w:val="21"/>
          <w:szCs w:val="21"/>
        </w:rPr>
        <w:t xml:space="preserve">Submit a completed </w:t>
      </w:r>
      <w:hyperlink r:id="rId9" w:history="1">
        <w:r w:rsidRPr="00345384">
          <w:rPr>
            <w:rStyle w:val="Hyperlink"/>
            <w:sz w:val="21"/>
            <w:szCs w:val="21"/>
          </w:rPr>
          <w:t>application</w:t>
        </w:r>
      </w:hyperlink>
      <w:r w:rsidRPr="00345384">
        <w:rPr>
          <w:sz w:val="21"/>
          <w:szCs w:val="21"/>
        </w:rPr>
        <w:t xml:space="preserve">, all supporting documents, including an official high school transcript and transcript(s) from every institution attended and application fee, to the Office of Undergraduate Admissions by the stated </w:t>
      </w:r>
      <w:hyperlink r:id="rId10">
        <w:r w:rsidRPr="00345384">
          <w:rPr>
            <w:color w:val="0000FF"/>
            <w:sz w:val="21"/>
            <w:szCs w:val="21"/>
            <w:u w:val="single"/>
          </w:rPr>
          <w:t>priority</w:t>
        </w:r>
        <w:r w:rsidRPr="00345384">
          <w:rPr>
            <w:color w:val="0000FF"/>
            <w:spacing w:val="-26"/>
            <w:sz w:val="21"/>
            <w:szCs w:val="21"/>
            <w:u w:val="single"/>
          </w:rPr>
          <w:t xml:space="preserve"> </w:t>
        </w:r>
        <w:r w:rsidRPr="00345384">
          <w:rPr>
            <w:color w:val="0000FF"/>
            <w:sz w:val="21"/>
            <w:szCs w:val="21"/>
            <w:u w:val="single"/>
          </w:rPr>
          <w:t>date</w:t>
        </w:r>
        <w:r w:rsidRPr="00345384">
          <w:rPr>
            <w:sz w:val="21"/>
            <w:szCs w:val="21"/>
          </w:rPr>
          <w:t>.</w:t>
        </w:r>
      </w:hyperlink>
    </w:p>
    <w:p w14:paraId="57B0A9D3" w14:textId="01DE7445" w:rsidR="0059611A" w:rsidRPr="00345384" w:rsidRDefault="0059611A" w:rsidP="00025FD1">
      <w:pPr>
        <w:pStyle w:val="ListParagraph"/>
        <w:numPr>
          <w:ilvl w:val="0"/>
          <w:numId w:val="15"/>
        </w:numPr>
        <w:tabs>
          <w:tab w:val="left" w:pos="817"/>
          <w:tab w:val="left" w:pos="818"/>
        </w:tabs>
        <w:rPr>
          <w:sz w:val="21"/>
          <w:szCs w:val="21"/>
        </w:rPr>
      </w:pPr>
      <w:r w:rsidRPr="00345384">
        <w:rPr>
          <w:sz w:val="21"/>
          <w:szCs w:val="21"/>
        </w:rPr>
        <w:t xml:space="preserve">Students with </w:t>
      </w:r>
      <w:r w:rsidRPr="00345384">
        <w:rPr>
          <w:b/>
          <w:sz w:val="21"/>
          <w:szCs w:val="21"/>
        </w:rPr>
        <w:t xml:space="preserve">1-15 transferable hours </w:t>
      </w:r>
      <w:r w:rsidRPr="00345384">
        <w:rPr>
          <w:sz w:val="21"/>
          <w:szCs w:val="21"/>
        </w:rPr>
        <w:t>must have a minimum 2.0 GPA in all transferable course work and meet</w:t>
      </w:r>
      <w:r w:rsidRPr="00345384">
        <w:rPr>
          <w:color w:val="0462C1"/>
          <w:sz w:val="21"/>
          <w:szCs w:val="21"/>
        </w:rPr>
        <w:t xml:space="preserve"> </w:t>
      </w:r>
      <w:hyperlink r:id="rId11">
        <w:r w:rsidRPr="00345384">
          <w:rPr>
            <w:color w:val="0462C1"/>
            <w:sz w:val="21"/>
            <w:szCs w:val="21"/>
            <w:u w:val="single" w:color="0462C1"/>
          </w:rPr>
          <w:t>freshman admission standards</w:t>
        </w:r>
        <w:r w:rsidRPr="00345384">
          <w:rPr>
            <w:sz w:val="21"/>
            <w:szCs w:val="21"/>
          </w:rPr>
          <w:t xml:space="preserve">. </w:t>
        </w:r>
      </w:hyperlink>
      <w:r w:rsidRPr="00345384">
        <w:rPr>
          <w:sz w:val="21"/>
          <w:szCs w:val="21"/>
        </w:rPr>
        <w:t xml:space="preserve">Students with </w:t>
      </w:r>
      <w:r w:rsidRPr="00345384">
        <w:rPr>
          <w:b/>
          <w:sz w:val="21"/>
          <w:szCs w:val="21"/>
        </w:rPr>
        <w:t xml:space="preserve">16-29 transferable hours </w:t>
      </w:r>
      <w:r w:rsidRPr="00345384">
        <w:rPr>
          <w:sz w:val="21"/>
          <w:szCs w:val="21"/>
        </w:rPr>
        <w:t xml:space="preserve">must have a minimum 2.5 GPA in all transferable course work. Students with </w:t>
      </w:r>
      <w:r w:rsidRPr="00345384">
        <w:rPr>
          <w:b/>
          <w:sz w:val="21"/>
          <w:szCs w:val="21"/>
        </w:rPr>
        <w:t xml:space="preserve">30 or more transferable hours </w:t>
      </w:r>
      <w:r w:rsidRPr="00345384">
        <w:rPr>
          <w:sz w:val="21"/>
          <w:szCs w:val="21"/>
        </w:rPr>
        <w:t>must have a minimum 2.25 GPA in all transferable course work. All students must be eligible to return to all previous institutions and be at least one full semester out of high</w:t>
      </w:r>
      <w:r w:rsidRPr="00345384">
        <w:rPr>
          <w:spacing w:val="-15"/>
          <w:sz w:val="21"/>
          <w:szCs w:val="21"/>
        </w:rPr>
        <w:t xml:space="preserve"> </w:t>
      </w:r>
      <w:r w:rsidRPr="00345384">
        <w:rPr>
          <w:sz w:val="21"/>
          <w:szCs w:val="21"/>
        </w:rPr>
        <w:t>school.</w:t>
      </w:r>
    </w:p>
    <w:p w14:paraId="5E1A7B94" w14:textId="77777777" w:rsidR="00E16D7C" w:rsidRPr="00345384" w:rsidRDefault="00E16D7C" w:rsidP="00E16D7C">
      <w:pPr>
        <w:pStyle w:val="BodyText"/>
        <w:ind w:left="0"/>
      </w:pPr>
    </w:p>
    <w:p w14:paraId="28E65FED" w14:textId="64B69CAF" w:rsidR="00BD3CB6" w:rsidRPr="00345384" w:rsidRDefault="00E16D7C" w:rsidP="00BC4AE8">
      <w:pPr>
        <w:pStyle w:val="BodyText"/>
        <w:ind w:left="0"/>
      </w:pPr>
      <w:r w:rsidRPr="00345384">
        <w:t xml:space="preserve">Students transferring to Texas State from a community college may elect to follow the </w:t>
      </w:r>
      <w:hyperlink r:id="rId12">
        <w:r w:rsidRPr="00345384">
          <w:rPr>
            <w:color w:val="0000FF"/>
            <w:u w:val="single"/>
          </w:rPr>
          <w:t>Texas State Undergraduate Catalog</w:t>
        </w:r>
        <w:r w:rsidRPr="00345384">
          <w:rPr>
            <w:color w:val="0000FF"/>
          </w:rPr>
          <w:t xml:space="preserve"> </w:t>
        </w:r>
      </w:hyperlink>
      <w:r w:rsidRPr="00345384">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w:t>
      </w:r>
      <w:r w:rsidRPr="00345384">
        <w:rPr>
          <w:spacing w:val="-7"/>
        </w:rPr>
        <w:t xml:space="preserve"> </w:t>
      </w:r>
      <w:r w:rsidRPr="00345384">
        <w:t>information.</w:t>
      </w:r>
      <w:bookmarkStart w:id="0" w:name="FOR_MORE_INFORMATION,_CONTACT:"/>
      <w:bookmarkEnd w:id="0"/>
    </w:p>
    <w:p w14:paraId="7788D15A" w14:textId="2A96DE12" w:rsidR="008A619A" w:rsidRPr="00345384" w:rsidRDefault="008A619A" w:rsidP="00BC4AE8">
      <w:pPr>
        <w:pStyle w:val="BodyText"/>
        <w:ind w:left="0"/>
      </w:pPr>
    </w:p>
    <w:p w14:paraId="6E45D22D" w14:textId="4A25D843" w:rsidR="00E16D7C" w:rsidRPr="00345384" w:rsidRDefault="00E16D7C" w:rsidP="003722F6">
      <w:pPr>
        <w:pStyle w:val="Heading2"/>
        <w:rPr>
          <w:b/>
          <w:bCs/>
        </w:rPr>
      </w:pPr>
      <w:r w:rsidRPr="00345384">
        <w:t>FOR MORE INFORMATION, CONTACT:</w:t>
      </w:r>
    </w:p>
    <w:p w14:paraId="675499F6" w14:textId="77777777" w:rsidR="007F2430" w:rsidRDefault="007F2430" w:rsidP="00E16D7C">
      <w:pPr>
        <w:pStyle w:val="BodyText"/>
        <w:ind w:left="0"/>
      </w:pPr>
    </w:p>
    <w:p w14:paraId="079D09FA" w14:textId="5C6344D5" w:rsidR="00E16D7C" w:rsidRPr="00345384" w:rsidRDefault="00E16D7C" w:rsidP="00E16D7C">
      <w:pPr>
        <w:pStyle w:val="BodyText"/>
        <w:ind w:left="0"/>
      </w:pPr>
      <w:r w:rsidRPr="00345384">
        <w:t xml:space="preserve">Office of Undergraduate Admissions </w:t>
      </w:r>
    </w:p>
    <w:p w14:paraId="2E947897" w14:textId="5B3CD741" w:rsidR="00E16D7C" w:rsidRPr="00345384" w:rsidRDefault="00E16D7C" w:rsidP="00E16D7C">
      <w:pPr>
        <w:pStyle w:val="BodyText"/>
        <w:ind w:left="0"/>
      </w:pPr>
      <w:r w:rsidRPr="00345384">
        <w:t>Texas State University</w:t>
      </w:r>
    </w:p>
    <w:p w14:paraId="481ACFC0" w14:textId="47A0CB3F" w:rsidR="00BD3CB6" w:rsidRPr="00345384" w:rsidRDefault="00BD3CB6" w:rsidP="00E16D7C">
      <w:pPr>
        <w:pStyle w:val="BodyText"/>
        <w:ind w:left="0"/>
      </w:pPr>
      <w:r w:rsidRPr="00345384">
        <w:rPr>
          <w:rFonts w:eastAsia="MS Mincho" w:cs="Times New Roman"/>
        </w:rPr>
        <w:t>Richard A. Castro Undergraduate Admissions Center</w:t>
      </w:r>
    </w:p>
    <w:p w14:paraId="10E2F83F" w14:textId="77777777" w:rsidR="00E16D7C" w:rsidRPr="00345384" w:rsidRDefault="00E16D7C" w:rsidP="00E16D7C">
      <w:pPr>
        <w:pStyle w:val="BodyText"/>
        <w:ind w:left="0"/>
      </w:pPr>
      <w:r w:rsidRPr="00345384">
        <w:t>429 N. Guadalupe St.</w:t>
      </w:r>
    </w:p>
    <w:p w14:paraId="6E5A55FC" w14:textId="77777777" w:rsidR="00E16D7C" w:rsidRPr="00345384" w:rsidRDefault="00E16D7C" w:rsidP="00E16D7C">
      <w:pPr>
        <w:pStyle w:val="BodyText"/>
        <w:ind w:left="0"/>
      </w:pPr>
      <w:r w:rsidRPr="00345384">
        <w:t>San Marcos, Texas 78666 512.245.2364</w:t>
      </w:r>
    </w:p>
    <w:p w14:paraId="1AA1A13B" w14:textId="79A14FC6" w:rsidR="00E16D7C" w:rsidRPr="00345384" w:rsidRDefault="005F6296" w:rsidP="00E16D7C">
      <w:pPr>
        <w:pStyle w:val="BodyText"/>
        <w:ind w:left="0"/>
      </w:pPr>
      <w:hyperlink r:id="rId13" w:history="1">
        <w:r w:rsidR="0059611A" w:rsidRPr="00345384">
          <w:rPr>
            <w:rStyle w:val="Hyperlink"/>
          </w:rPr>
          <w:t>https://www.admissions.txstate.edu/</w:t>
        </w:r>
      </w:hyperlink>
    </w:p>
    <w:p w14:paraId="45B31180" w14:textId="77777777" w:rsidR="00E16D7C" w:rsidRPr="00345384" w:rsidRDefault="00E16D7C" w:rsidP="00BD3CB6">
      <w:pPr>
        <w:pStyle w:val="BodyText"/>
        <w:ind w:left="0"/>
      </w:pPr>
    </w:p>
    <w:p w14:paraId="2B881A74" w14:textId="77777777" w:rsidR="0059611A" w:rsidRPr="00345384" w:rsidRDefault="00BD3CB6" w:rsidP="00BD3CB6">
      <w:pPr>
        <w:spacing w:after="0" w:line="240" w:lineRule="auto"/>
        <w:rPr>
          <w:rFonts w:ascii="Cambria" w:eastAsia="MS Mincho" w:hAnsi="Cambria" w:cs="Times New Roman"/>
          <w:sz w:val="21"/>
          <w:szCs w:val="21"/>
        </w:rPr>
      </w:pPr>
      <w:r w:rsidRPr="00345384">
        <w:rPr>
          <w:rFonts w:ascii="Cambria" w:eastAsia="MS Mincho" w:hAnsi="Cambria" w:cs="Times New Roman"/>
          <w:sz w:val="21"/>
          <w:szCs w:val="21"/>
        </w:rPr>
        <w:t>College of Health Professions</w:t>
      </w:r>
      <w:r w:rsidR="0059611A" w:rsidRPr="00345384">
        <w:rPr>
          <w:rFonts w:ascii="Cambria" w:eastAsia="Cambria" w:hAnsi="Cambria" w:cs="Times New Roman"/>
          <w:sz w:val="21"/>
          <w:szCs w:val="21"/>
        </w:rPr>
        <w:t xml:space="preserve"> </w:t>
      </w:r>
      <w:r w:rsidRPr="00345384">
        <w:rPr>
          <w:rFonts w:ascii="Cambria" w:eastAsia="MS Mincho" w:hAnsi="Cambria" w:cs="Times New Roman"/>
          <w:sz w:val="21"/>
          <w:szCs w:val="21"/>
        </w:rPr>
        <w:t>Advising Center</w:t>
      </w:r>
    </w:p>
    <w:p w14:paraId="6B2AF075" w14:textId="22E0F79E" w:rsidR="00BD3CB6" w:rsidRPr="00345384" w:rsidRDefault="00BD3CB6" w:rsidP="00BD3CB6">
      <w:pPr>
        <w:spacing w:after="0" w:line="240" w:lineRule="auto"/>
        <w:rPr>
          <w:rFonts w:ascii="Cambria" w:eastAsia="Cambria" w:hAnsi="Cambria" w:cs="Times New Roman"/>
          <w:sz w:val="21"/>
          <w:szCs w:val="21"/>
        </w:rPr>
      </w:pPr>
      <w:r w:rsidRPr="00345384">
        <w:rPr>
          <w:rFonts w:ascii="Cambria" w:eastAsia="MS Mincho" w:hAnsi="Cambria" w:cs="Times New Roman"/>
          <w:sz w:val="21"/>
          <w:szCs w:val="21"/>
        </w:rPr>
        <w:t xml:space="preserve">Encino Hall </w:t>
      </w:r>
      <w:r w:rsidR="00374C88" w:rsidRPr="00345384">
        <w:rPr>
          <w:rFonts w:ascii="Cambria" w:eastAsia="MS Mincho" w:hAnsi="Cambria" w:cs="Times New Roman"/>
          <w:sz w:val="21"/>
          <w:szCs w:val="21"/>
        </w:rPr>
        <w:t>302</w:t>
      </w:r>
    </w:p>
    <w:p w14:paraId="6957B555" w14:textId="77777777" w:rsidR="00BD3CB6" w:rsidRPr="00345384" w:rsidRDefault="00BD3CB6" w:rsidP="00BD3CB6">
      <w:pPr>
        <w:spacing w:after="0" w:line="240" w:lineRule="auto"/>
        <w:rPr>
          <w:rFonts w:ascii="Cambria" w:eastAsia="MS Mincho" w:hAnsi="Cambria" w:cs="Times New Roman"/>
          <w:sz w:val="21"/>
          <w:szCs w:val="21"/>
        </w:rPr>
      </w:pPr>
      <w:r w:rsidRPr="00345384">
        <w:rPr>
          <w:rFonts w:ascii="Cambria" w:eastAsia="MS Mincho" w:hAnsi="Cambria" w:cs="Times New Roman"/>
          <w:sz w:val="21"/>
          <w:szCs w:val="21"/>
        </w:rPr>
        <w:t>512.245.3506</w:t>
      </w:r>
    </w:p>
    <w:p w14:paraId="70FCD3CF" w14:textId="7C4A1130" w:rsidR="004F70F6" w:rsidRPr="00345384" w:rsidRDefault="005F6296" w:rsidP="00BC4AE8">
      <w:pPr>
        <w:spacing w:after="0" w:line="240" w:lineRule="auto"/>
        <w:rPr>
          <w:rStyle w:val="Hyperlink"/>
          <w:rFonts w:ascii="Cambria" w:eastAsia="MS Mincho" w:hAnsi="Cambria" w:cs="Times New Roman"/>
          <w:sz w:val="21"/>
          <w:szCs w:val="21"/>
        </w:rPr>
      </w:pPr>
      <w:hyperlink r:id="rId14" w:history="1">
        <w:r w:rsidR="0059611A" w:rsidRPr="00345384">
          <w:rPr>
            <w:rStyle w:val="Hyperlink"/>
            <w:rFonts w:ascii="Cambria" w:eastAsia="MS Mincho" w:hAnsi="Cambria" w:cs="Times New Roman"/>
            <w:sz w:val="21"/>
            <w:szCs w:val="21"/>
          </w:rPr>
          <w:t>https://www.health.txstate.edu/advising/</w:t>
        </w:r>
      </w:hyperlink>
    </w:p>
    <w:p w14:paraId="676E8CA5" w14:textId="77777777" w:rsidR="00BC4AE8" w:rsidRDefault="00BC4AE8" w:rsidP="00BC4AE8">
      <w:pPr>
        <w:spacing w:after="0" w:line="240" w:lineRule="auto"/>
        <w:rPr>
          <w:b/>
        </w:rPr>
      </w:pPr>
    </w:p>
    <w:p w14:paraId="7B941C2C" w14:textId="77777777" w:rsidR="00E16D7C" w:rsidRPr="00E16D7C" w:rsidRDefault="00E16D7C" w:rsidP="00E16D7C">
      <w:pPr>
        <w:spacing w:after="0" w:line="240" w:lineRule="auto"/>
        <w:rPr>
          <w:rFonts w:ascii="Cambria" w:hAnsi="Cambria"/>
          <w:b/>
          <w:i/>
          <w:sz w:val="17"/>
        </w:rPr>
      </w:pPr>
      <w:r w:rsidRPr="00E16D7C">
        <w:rPr>
          <w:rFonts w:ascii="Cambria" w:hAnsi="Cambria"/>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197E760" w14:textId="2FB2FAA0" w:rsidR="00E16D7C" w:rsidRPr="00E16D7C" w:rsidRDefault="0099129E" w:rsidP="00E16D7C">
      <w:pPr>
        <w:spacing w:after="0" w:line="240" w:lineRule="auto"/>
        <w:jc w:val="right"/>
        <w:rPr>
          <w:rFonts w:ascii="Cambria" w:hAnsi="Cambria"/>
          <w:b/>
          <w:sz w:val="17"/>
        </w:rPr>
      </w:pPr>
      <w:r>
        <w:rPr>
          <w:rFonts w:ascii="Cambria" w:hAnsi="Cambria"/>
          <w:b/>
          <w:sz w:val="17"/>
        </w:rPr>
        <w:t>JULY 2022</w:t>
      </w:r>
    </w:p>
    <w:sectPr w:rsidR="00E16D7C" w:rsidRPr="00E16D7C" w:rsidSect="00AF7A2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4A0"/>
    <w:multiLevelType w:val="hybridMultilevel"/>
    <w:tmpl w:val="279AB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1191"/>
    <w:multiLevelType w:val="hybridMultilevel"/>
    <w:tmpl w:val="1CA43904"/>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1527B"/>
    <w:multiLevelType w:val="hybridMultilevel"/>
    <w:tmpl w:val="1632C7F8"/>
    <w:lvl w:ilvl="0" w:tplc="1BD044F4">
      <w:start w:val="1"/>
      <w:numFmt w:val="decimal"/>
      <w:lvlText w:val="%1."/>
      <w:lvlJc w:val="left"/>
      <w:pPr>
        <w:ind w:left="817" w:hanging="362"/>
      </w:pPr>
      <w:rPr>
        <w:rFonts w:ascii="Cambria" w:eastAsia="Cambria" w:hAnsi="Cambria" w:cs="Cambria" w:hint="default"/>
        <w:w w:val="100"/>
        <w:sz w:val="21"/>
        <w:szCs w:val="21"/>
        <w:lang w:val="en-US" w:eastAsia="en-US" w:bidi="en-US"/>
      </w:rPr>
    </w:lvl>
    <w:lvl w:ilvl="1" w:tplc="A59E2054">
      <w:numFmt w:val="bullet"/>
      <w:lvlText w:val="•"/>
      <w:lvlJc w:val="left"/>
      <w:pPr>
        <w:ind w:left="1806" w:hanging="362"/>
      </w:pPr>
      <w:rPr>
        <w:rFonts w:hint="default"/>
        <w:lang w:val="en-US" w:eastAsia="en-US" w:bidi="en-US"/>
      </w:rPr>
    </w:lvl>
    <w:lvl w:ilvl="2" w:tplc="BAD86734">
      <w:numFmt w:val="bullet"/>
      <w:lvlText w:val="•"/>
      <w:lvlJc w:val="left"/>
      <w:pPr>
        <w:ind w:left="2792" w:hanging="362"/>
      </w:pPr>
      <w:rPr>
        <w:rFonts w:hint="default"/>
        <w:lang w:val="en-US" w:eastAsia="en-US" w:bidi="en-US"/>
      </w:rPr>
    </w:lvl>
    <w:lvl w:ilvl="3" w:tplc="B07AC7A2">
      <w:numFmt w:val="bullet"/>
      <w:lvlText w:val="•"/>
      <w:lvlJc w:val="left"/>
      <w:pPr>
        <w:ind w:left="3778" w:hanging="362"/>
      </w:pPr>
      <w:rPr>
        <w:rFonts w:hint="default"/>
        <w:lang w:val="en-US" w:eastAsia="en-US" w:bidi="en-US"/>
      </w:rPr>
    </w:lvl>
    <w:lvl w:ilvl="4" w:tplc="33D038E8">
      <w:numFmt w:val="bullet"/>
      <w:lvlText w:val="•"/>
      <w:lvlJc w:val="left"/>
      <w:pPr>
        <w:ind w:left="4764" w:hanging="362"/>
      </w:pPr>
      <w:rPr>
        <w:rFonts w:hint="default"/>
        <w:lang w:val="en-US" w:eastAsia="en-US" w:bidi="en-US"/>
      </w:rPr>
    </w:lvl>
    <w:lvl w:ilvl="5" w:tplc="6C92A5AA">
      <w:numFmt w:val="bullet"/>
      <w:lvlText w:val="•"/>
      <w:lvlJc w:val="left"/>
      <w:pPr>
        <w:ind w:left="5750" w:hanging="362"/>
      </w:pPr>
      <w:rPr>
        <w:rFonts w:hint="default"/>
        <w:lang w:val="en-US" w:eastAsia="en-US" w:bidi="en-US"/>
      </w:rPr>
    </w:lvl>
    <w:lvl w:ilvl="6" w:tplc="1B3AE9B0">
      <w:numFmt w:val="bullet"/>
      <w:lvlText w:val="•"/>
      <w:lvlJc w:val="left"/>
      <w:pPr>
        <w:ind w:left="6736" w:hanging="362"/>
      </w:pPr>
      <w:rPr>
        <w:rFonts w:hint="default"/>
        <w:lang w:val="en-US" w:eastAsia="en-US" w:bidi="en-US"/>
      </w:rPr>
    </w:lvl>
    <w:lvl w:ilvl="7" w:tplc="9FDC5B04">
      <w:numFmt w:val="bullet"/>
      <w:lvlText w:val="•"/>
      <w:lvlJc w:val="left"/>
      <w:pPr>
        <w:ind w:left="7722" w:hanging="362"/>
      </w:pPr>
      <w:rPr>
        <w:rFonts w:hint="default"/>
        <w:lang w:val="en-US" w:eastAsia="en-US" w:bidi="en-US"/>
      </w:rPr>
    </w:lvl>
    <w:lvl w:ilvl="8" w:tplc="358A77E6">
      <w:numFmt w:val="bullet"/>
      <w:lvlText w:val="•"/>
      <w:lvlJc w:val="left"/>
      <w:pPr>
        <w:ind w:left="8708" w:hanging="362"/>
      </w:pPr>
      <w:rPr>
        <w:rFonts w:hint="default"/>
        <w:lang w:val="en-US" w:eastAsia="en-US" w:bidi="en-US"/>
      </w:rPr>
    </w:lvl>
  </w:abstractNum>
  <w:abstractNum w:abstractNumId="3" w15:restartNumberingAfterBreak="0">
    <w:nsid w:val="11A51E40"/>
    <w:multiLevelType w:val="hybridMultilevel"/>
    <w:tmpl w:val="CFC67A14"/>
    <w:lvl w:ilvl="0" w:tplc="0409000F">
      <w:start w:val="1"/>
      <w:numFmt w:val="decimal"/>
      <w:lvlText w:val="%1."/>
      <w:lvlJc w:val="left"/>
      <w:pPr>
        <w:ind w:left="720" w:hanging="360"/>
      </w:pPr>
      <w:rPr>
        <w:rFonts w:hint="default"/>
      </w:rPr>
    </w:lvl>
    <w:lvl w:ilvl="1" w:tplc="9752C1C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54468"/>
    <w:multiLevelType w:val="hybridMultilevel"/>
    <w:tmpl w:val="21F29866"/>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9752C1C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B0A57"/>
    <w:multiLevelType w:val="hybridMultilevel"/>
    <w:tmpl w:val="D848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F24BA"/>
    <w:multiLevelType w:val="hybridMultilevel"/>
    <w:tmpl w:val="789EB8A4"/>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14ADA"/>
    <w:multiLevelType w:val="hybridMultilevel"/>
    <w:tmpl w:val="C4F47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9" w15:restartNumberingAfterBreak="0">
    <w:nsid w:val="4073422E"/>
    <w:multiLevelType w:val="hybridMultilevel"/>
    <w:tmpl w:val="2DAEE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A41"/>
    <w:multiLevelType w:val="hybridMultilevel"/>
    <w:tmpl w:val="0CE2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B7D02"/>
    <w:multiLevelType w:val="multilevel"/>
    <w:tmpl w:val="2280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D7783F"/>
    <w:multiLevelType w:val="multilevel"/>
    <w:tmpl w:val="115E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010D0C"/>
    <w:multiLevelType w:val="multilevel"/>
    <w:tmpl w:val="8A7E84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BC7833"/>
    <w:multiLevelType w:val="multilevel"/>
    <w:tmpl w:val="115E8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0B844E7"/>
    <w:multiLevelType w:val="multilevel"/>
    <w:tmpl w:val="09A6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025C4C"/>
    <w:multiLevelType w:val="multilevel"/>
    <w:tmpl w:val="4F7A8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7676C9"/>
    <w:multiLevelType w:val="multilevel"/>
    <w:tmpl w:val="B98E1C30"/>
    <w:lvl w:ilvl="0">
      <w:start w:val="1"/>
      <w:numFmt w:val="bullet"/>
      <w:lvlText w:val=""/>
      <w:lvlJc w:val="left"/>
      <w:pPr>
        <w:tabs>
          <w:tab w:val="num" w:pos="990"/>
        </w:tabs>
        <w:ind w:left="990" w:hanging="360"/>
      </w:pPr>
      <w:rPr>
        <w:rFonts w:ascii="Symbol" w:hAnsi="Symbol" w:hint="default"/>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8" w15:restartNumberingAfterBreak="0">
    <w:nsid w:val="7B025BE7"/>
    <w:multiLevelType w:val="hybridMultilevel"/>
    <w:tmpl w:val="1E48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163460">
    <w:abstractNumId w:val="2"/>
  </w:num>
  <w:num w:numId="2" w16cid:durableId="1053847787">
    <w:abstractNumId w:val="10"/>
  </w:num>
  <w:num w:numId="3" w16cid:durableId="345600297">
    <w:abstractNumId w:val="17"/>
  </w:num>
  <w:num w:numId="4" w16cid:durableId="1667979454">
    <w:abstractNumId w:val="11"/>
  </w:num>
  <w:num w:numId="5" w16cid:durableId="1556814521">
    <w:abstractNumId w:val="7"/>
  </w:num>
  <w:num w:numId="6" w16cid:durableId="485433974">
    <w:abstractNumId w:val="12"/>
  </w:num>
  <w:num w:numId="7" w16cid:durableId="2085833832">
    <w:abstractNumId w:val="8"/>
  </w:num>
  <w:num w:numId="8" w16cid:durableId="1050617682">
    <w:abstractNumId w:val="3"/>
  </w:num>
  <w:num w:numId="9" w16cid:durableId="805700801">
    <w:abstractNumId w:val="0"/>
  </w:num>
  <w:num w:numId="10" w16cid:durableId="508108794">
    <w:abstractNumId w:val="15"/>
  </w:num>
  <w:num w:numId="11" w16cid:durableId="892932871">
    <w:abstractNumId w:val="1"/>
  </w:num>
  <w:num w:numId="12" w16cid:durableId="1943950248">
    <w:abstractNumId w:val="9"/>
  </w:num>
  <w:num w:numId="13" w16cid:durableId="101457053">
    <w:abstractNumId w:val="4"/>
  </w:num>
  <w:num w:numId="14" w16cid:durableId="1987859505">
    <w:abstractNumId w:val="6"/>
  </w:num>
  <w:num w:numId="15" w16cid:durableId="1823542975">
    <w:abstractNumId w:val="5"/>
  </w:num>
  <w:num w:numId="16" w16cid:durableId="5108764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7140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56036">
    <w:abstractNumId w:val="18"/>
  </w:num>
  <w:num w:numId="19" w16cid:durableId="971786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21"/>
    <w:rsid w:val="000163B8"/>
    <w:rsid w:val="00025FD1"/>
    <w:rsid w:val="00032BD3"/>
    <w:rsid w:val="00057B1F"/>
    <w:rsid w:val="000A728A"/>
    <w:rsid w:val="00202EC2"/>
    <w:rsid w:val="00203857"/>
    <w:rsid w:val="002B6969"/>
    <w:rsid w:val="002C76A1"/>
    <w:rsid w:val="002F239C"/>
    <w:rsid w:val="002F3ADE"/>
    <w:rsid w:val="00335866"/>
    <w:rsid w:val="00345384"/>
    <w:rsid w:val="003554F0"/>
    <w:rsid w:val="003722F6"/>
    <w:rsid w:val="00374C88"/>
    <w:rsid w:val="003C4C25"/>
    <w:rsid w:val="0044372F"/>
    <w:rsid w:val="00466EA5"/>
    <w:rsid w:val="004E2E71"/>
    <w:rsid w:val="004F70F6"/>
    <w:rsid w:val="004F744D"/>
    <w:rsid w:val="00522ADF"/>
    <w:rsid w:val="0053445F"/>
    <w:rsid w:val="0059611A"/>
    <w:rsid w:val="005F6296"/>
    <w:rsid w:val="006013D1"/>
    <w:rsid w:val="00792CAE"/>
    <w:rsid w:val="007F2430"/>
    <w:rsid w:val="00803AB3"/>
    <w:rsid w:val="008A619A"/>
    <w:rsid w:val="008B33C2"/>
    <w:rsid w:val="008C71B2"/>
    <w:rsid w:val="00901465"/>
    <w:rsid w:val="0091007D"/>
    <w:rsid w:val="00913D52"/>
    <w:rsid w:val="0099129E"/>
    <w:rsid w:val="009D4A85"/>
    <w:rsid w:val="00A2641F"/>
    <w:rsid w:val="00AB1F6C"/>
    <w:rsid w:val="00AC4E0E"/>
    <w:rsid w:val="00AF7A21"/>
    <w:rsid w:val="00B17390"/>
    <w:rsid w:val="00B9679B"/>
    <w:rsid w:val="00BC4AE8"/>
    <w:rsid w:val="00BD3CB6"/>
    <w:rsid w:val="00BE472D"/>
    <w:rsid w:val="00BF4BCD"/>
    <w:rsid w:val="00C44F3A"/>
    <w:rsid w:val="00C9402C"/>
    <w:rsid w:val="00D50567"/>
    <w:rsid w:val="00D55EA6"/>
    <w:rsid w:val="00DB5755"/>
    <w:rsid w:val="00DC3A67"/>
    <w:rsid w:val="00E16D7C"/>
    <w:rsid w:val="00E41476"/>
    <w:rsid w:val="00E50290"/>
    <w:rsid w:val="00E5507E"/>
    <w:rsid w:val="00F009CD"/>
    <w:rsid w:val="00F42A6A"/>
    <w:rsid w:val="00F50CB8"/>
    <w:rsid w:val="00F8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D371"/>
  <w15:chartTrackingRefBased/>
  <w15:docId w15:val="{9CE6258E-3671-4399-B90E-AD0227C9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722F6"/>
    <w:pPr>
      <w:widowControl w:val="0"/>
      <w:autoSpaceDE w:val="0"/>
      <w:autoSpaceDN w:val="0"/>
      <w:spacing w:after="0" w:line="240" w:lineRule="auto"/>
      <w:outlineLvl w:val="1"/>
    </w:pPr>
    <w:rPr>
      <w:rFonts w:ascii="Cambria" w:eastAsia="Cambria" w:hAnsi="Cambria" w:cs="Cambria"/>
      <w:sz w:val="21"/>
      <w:szCs w:val="21"/>
      <w:lang w:val="e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A21"/>
    <w:pPr>
      <w:widowControl w:val="0"/>
      <w:autoSpaceDE w:val="0"/>
      <w:autoSpaceDN w:val="0"/>
      <w:spacing w:after="0" w:line="240" w:lineRule="auto"/>
      <w:ind w:left="420"/>
    </w:pPr>
    <w:rPr>
      <w:rFonts w:ascii="Cambria" w:eastAsia="Cambria" w:hAnsi="Cambria" w:cs="Cambria"/>
      <w:sz w:val="21"/>
      <w:szCs w:val="21"/>
      <w:lang w:bidi="en-US"/>
    </w:rPr>
  </w:style>
  <w:style w:type="character" w:customStyle="1" w:styleId="BodyTextChar">
    <w:name w:val="Body Text Char"/>
    <w:basedOn w:val="DefaultParagraphFont"/>
    <w:link w:val="BodyText"/>
    <w:uiPriority w:val="1"/>
    <w:rsid w:val="00AF7A21"/>
    <w:rPr>
      <w:rFonts w:ascii="Cambria" w:eastAsia="Cambria" w:hAnsi="Cambria" w:cs="Cambria"/>
      <w:sz w:val="21"/>
      <w:szCs w:val="21"/>
      <w:lang w:bidi="en-US"/>
    </w:rPr>
  </w:style>
  <w:style w:type="paragraph" w:customStyle="1" w:styleId="TableParagraph">
    <w:name w:val="Table Paragraph"/>
    <w:basedOn w:val="Normal"/>
    <w:uiPriority w:val="1"/>
    <w:qFormat/>
    <w:rsid w:val="00AF7A21"/>
    <w:pPr>
      <w:widowControl w:val="0"/>
      <w:autoSpaceDE w:val="0"/>
      <w:autoSpaceDN w:val="0"/>
      <w:spacing w:after="0" w:line="225" w:lineRule="exact"/>
    </w:pPr>
    <w:rPr>
      <w:rFonts w:ascii="Cambria" w:eastAsia="Cambria" w:hAnsi="Cambria" w:cs="Cambria"/>
      <w:lang w:bidi="en-US"/>
    </w:rPr>
  </w:style>
  <w:style w:type="character" w:customStyle="1" w:styleId="Heading2Char">
    <w:name w:val="Heading 2 Char"/>
    <w:basedOn w:val="DefaultParagraphFont"/>
    <w:link w:val="Heading2"/>
    <w:uiPriority w:val="9"/>
    <w:rsid w:val="003722F6"/>
    <w:rPr>
      <w:rFonts w:ascii="Cambria" w:eastAsia="Cambria" w:hAnsi="Cambria" w:cs="Cambria"/>
      <w:sz w:val="21"/>
      <w:szCs w:val="21"/>
      <w:lang w:val="en" w:bidi="en-US"/>
    </w:rPr>
  </w:style>
  <w:style w:type="paragraph" w:styleId="ListParagraph">
    <w:name w:val="List Paragraph"/>
    <w:basedOn w:val="Normal"/>
    <w:uiPriority w:val="34"/>
    <w:qFormat/>
    <w:rsid w:val="00E16D7C"/>
    <w:pPr>
      <w:widowControl w:val="0"/>
      <w:autoSpaceDE w:val="0"/>
      <w:autoSpaceDN w:val="0"/>
      <w:spacing w:before="44" w:after="0" w:line="240" w:lineRule="auto"/>
      <w:ind w:left="817" w:right="759" w:hanging="362"/>
    </w:pPr>
    <w:rPr>
      <w:rFonts w:ascii="Cambria" w:eastAsia="Cambria" w:hAnsi="Cambria" w:cs="Cambria"/>
      <w:lang w:bidi="en-US"/>
    </w:rPr>
  </w:style>
  <w:style w:type="character" w:styleId="Hyperlink">
    <w:name w:val="Hyperlink"/>
    <w:basedOn w:val="DefaultParagraphFont"/>
    <w:uiPriority w:val="99"/>
    <w:unhideWhenUsed/>
    <w:rsid w:val="00E16D7C"/>
    <w:rPr>
      <w:color w:val="0563C1" w:themeColor="hyperlink"/>
      <w:u w:val="single"/>
    </w:rPr>
  </w:style>
  <w:style w:type="paragraph" w:customStyle="1" w:styleId="Default">
    <w:name w:val="Default"/>
    <w:rsid w:val="0079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sic-paragraphtext-w-indent">
    <w:name w:val="basic-paragraph_text-w-indent"/>
    <w:basedOn w:val="Normal"/>
    <w:rsid w:val="002B6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header">
    <w:name w:val="course-header"/>
    <w:basedOn w:val="DefaultParagraphFont"/>
    <w:rsid w:val="002B6969"/>
  </w:style>
  <w:style w:type="character" w:styleId="Emphasis">
    <w:name w:val="Emphasis"/>
    <w:basedOn w:val="DefaultParagraphFont"/>
    <w:uiPriority w:val="20"/>
    <w:qFormat/>
    <w:rsid w:val="002B6969"/>
    <w:rPr>
      <w:i/>
      <w:iCs/>
    </w:rPr>
  </w:style>
  <w:style w:type="paragraph" w:styleId="NormalWeb">
    <w:name w:val="Normal (Web)"/>
    <w:basedOn w:val="Normal"/>
    <w:uiPriority w:val="99"/>
    <w:semiHidden/>
    <w:unhideWhenUsed/>
    <w:rsid w:val="008A619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1F6C"/>
    <w:rPr>
      <w:sz w:val="16"/>
      <w:szCs w:val="16"/>
    </w:rPr>
  </w:style>
  <w:style w:type="paragraph" w:styleId="CommentText">
    <w:name w:val="annotation text"/>
    <w:basedOn w:val="Normal"/>
    <w:link w:val="CommentTextChar"/>
    <w:uiPriority w:val="99"/>
    <w:semiHidden/>
    <w:unhideWhenUsed/>
    <w:rsid w:val="00AB1F6C"/>
    <w:pPr>
      <w:spacing w:line="240" w:lineRule="auto"/>
    </w:pPr>
    <w:rPr>
      <w:sz w:val="20"/>
      <w:szCs w:val="20"/>
    </w:rPr>
  </w:style>
  <w:style w:type="character" w:customStyle="1" w:styleId="CommentTextChar">
    <w:name w:val="Comment Text Char"/>
    <w:basedOn w:val="DefaultParagraphFont"/>
    <w:link w:val="CommentText"/>
    <w:uiPriority w:val="99"/>
    <w:semiHidden/>
    <w:rsid w:val="00AB1F6C"/>
    <w:rPr>
      <w:sz w:val="20"/>
      <w:szCs w:val="20"/>
    </w:rPr>
  </w:style>
  <w:style w:type="paragraph" w:styleId="CommentSubject">
    <w:name w:val="annotation subject"/>
    <w:basedOn w:val="CommentText"/>
    <w:next w:val="CommentText"/>
    <w:link w:val="CommentSubjectChar"/>
    <w:uiPriority w:val="99"/>
    <w:semiHidden/>
    <w:unhideWhenUsed/>
    <w:rsid w:val="00AB1F6C"/>
    <w:rPr>
      <w:b/>
      <w:bCs/>
    </w:rPr>
  </w:style>
  <w:style w:type="character" w:customStyle="1" w:styleId="CommentSubjectChar">
    <w:name w:val="Comment Subject Char"/>
    <w:basedOn w:val="CommentTextChar"/>
    <w:link w:val="CommentSubject"/>
    <w:uiPriority w:val="99"/>
    <w:semiHidden/>
    <w:rsid w:val="00AB1F6C"/>
    <w:rPr>
      <w:b/>
      <w:bCs/>
      <w:sz w:val="20"/>
      <w:szCs w:val="20"/>
    </w:rPr>
  </w:style>
  <w:style w:type="paragraph" w:styleId="BalloonText">
    <w:name w:val="Balloon Text"/>
    <w:basedOn w:val="Normal"/>
    <w:link w:val="BalloonTextChar"/>
    <w:uiPriority w:val="99"/>
    <w:semiHidden/>
    <w:unhideWhenUsed/>
    <w:rsid w:val="00AB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6C"/>
    <w:rPr>
      <w:rFonts w:ascii="Segoe UI" w:hAnsi="Segoe UI" w:cs="Segoe UI"/>
      <w:sz w:val="18"/>
      <w:szCs w:val="18"/>
    </w:rPr>
  </w:style>
  <w:style w:type="table" w:styleId="TableGrid">
    <w:name w:val="Table Grid"/>
    <w:basedOn w:val="TableNormal"/>
    <w:uiPriority w:val="39"/>
    <w:rsid w:val="00803AB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445F"/>
    <w:rPr>
      <w:color w:val="605E5C"/>
      <w:shd w:val="clear" w:color="auto" w:fill="E1DFDD"/>
    </w:rPr>
  </w:style>
  <w:style w:type="paragraph" w:styleId="Revision">
    <w:name w:val="Revision"/>
    <w:hidden/>
    <w:uiPriority w:val="99"/>
    <w:semiHidden/>
    <w:rsid w:val="0099129E"/>
    <w:pPr>
      <w:spacing w:after="0" w:line="240" w:lineRule="auto"/>
    </w:pPr>
  </w:style>
  <w:style w:type="character" w:styleId="FollowedHyperlink">
    <w:name w:val="FollowedHyperlink"/>
    <w:basedOn w:val="DefaultParagraphFont"/>
    <w:uiPriority w:val="99"/>
    <w:semiHidden/>
    <w:unhideWhenUsed/>
    <w:rsid w:val="00991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649">
      <w:bodyDiv w:val="1"/>
      <w:marLeft w:val="0"/>
      <w:marRight w:val="0"/>
      <w:marTop w:val="0"/>
      <w:marBottom w:val="0"/>
      <w:divBdr>
        <w:top w:val="none" w:sz="0" w:space="0" w:color="auto"/>
        <w:left w:val="none" w:sz="0" w:space="0" w:color="auto"/>
        <w:bottom w:val="none" w:sz="0" w:space="0" w:color="auto"/>
        <w:right w:val="none" w:sz="0" w:space="0" w:color="auto"/>
      </w:divBdr>
    </w:div>
    <w:div w:id="39939119">
      <w:bodyDiv w:val="1"/>
      <w:marLeft w:val="0"/>
      <w:marRight w:val="0"/>
      <w:marTop w:val="0"/>
      <w:marBottom w:val="0"/>
      <w:divBdr>
        <w:top w:val="none" w:sz="0" w:space="0" w:color="auto"/>
        <w:left w:val="none" w:sz="0" w:space="0" w:color="auto"/>
        <w:bottom w:val="none" w:sz="0" w:space="0" w:color="auto"/>
        <w:right w:val="none" w:sz="0" w:space="0" w:color="auto"/>
      </w:divBdr>
    </w:div>
    <w:div w:id="76176555">
      <w:bodyDiv w:val="1"/>
      <w:marLeft w:val="0"/>
      <w:marRight w:val="0"/>
      <w:marTop w:val="0"/>
      <w:marBottom w:val="0"/>
      <w:divBdr>
        <w:top w:val="none" w:sz="0" w:space="0" w:color="auto"/>
        <w:left w:val="none" w:sz="0" w:space="0" w:color="auto"/>
        <w:bottom w:val="none" w:sz="0" w:space="0" w:color="auto"/>
        <w:right w:val="none" w:sz="0" w:space="0" w:color="auto"/>
      </w:divBdr>
    </w:div>
    <w:div w:id="227304941">
      <w:bodyDiv w:val="1"/>
      <w:marLeft w:val="0"/>
      <w:marRight w:val="0"/>
      <w:marTop w:val="0"/>
      <w:marBottom w:val="0"/>
      <w:divBdr>
        <w:top w:val="none" w:sz="0" w:space="0" w:color="auto"/>
        <w:left w:val="none" w:sz="0" w:space="0" w:color="auto"/>
        <w:bottom w:val="none" w:sz="0" w:space="0" w:color="auto"/>
        <w:right w:val="none" w:sz="0" w:space="0" w:color="auto"/>
      </w:divBdr>
    </w:div>
    <w:div w:id="277376890">
      <w:bodyDiv w:val="1"/>
      <w:marLeft w:val="0"/>
      <w:marRight w:val="0"/>
      <w:marTop w:val="0"/>
      <w:marBottom w:val="0"/>
      <w:divBdr>
        <w:top w:val="none" w:sz="0" w:space="0" w:color="auto"/>
        <w:left w:val="none" w:sz="0" w:space="0" w:color="auto"/>
        <w:bottom w:val="none" w:sz="0" w:space="0" w:color="auto"/>
        <w:right w:val="none" w:sz="0" w:space="0" w:color="auto"/>
      </w:divBdr>
    </w:div>
    <w:div w:id="429358688">
      <w:bodyDiv w:val="1"/>
      <w:marLeft w:val="0"/>
      <w:marRight w:val="0"/>
      <w:marTop w:val="0"/>
      <w:marBottom w:val="0"/>
      <w:divBdr>
        <w:top w:val="none" w:sz="0" w:space="0" w:color="auto"/>
        <w:left w:val="none" w:sz="0" w:space="0" w:color="auto"/>
        <w:bottom w:val="none" w:sz="0" w:space="0" w:color="auto"/>
        <w:right w:val="none" w:sz="0" w:space="0" w:color="auto"/>
      </w:divBdr>
    </w:div>
    <w:div w:id="451365778">
      <w:bodyDiv w:val="1"/>
      <w:marLeft w:val="0"/>
      <w:marRight w:val="0"/>
      <w:marTop w:val="0"/>
      <w:marBottom w:val="0"/>
      <w:divBdr>
        <w:top w:val="none" w:sz="0" w:space="0" w:color="auto"/>
        <w:left w:val="none" w:sz="0" w:space="0" w:color="auto"/>
        <w:bottom w:val="none" w:sz="0" w:space="0" w:color="auto"/>
        <w:right w:val="none" w:sz="0" w:space="0" w:color="auto"/>
      </w:divBdr>
    </w:div>
    <w:div w:id="697505445">
      <w:bodyDiv w:val="1"/>
      <w:marLeft w:val="0"/>
      <w:marRight w:val="0"/>
      <w:marTop w:val="0"/>
      <w:marBottom w:val="0"/>
      <w:divBdr>
        <w:top w:val="none" w:sz="0" w:space="0" w:color="auto"/>
        <w:left w:val="none" w:sz="0" w:space="0" w:color="auto"/>
        <w:bottom w:val="none" w:sz="0" w:space="0" w:color="auto"/>
        <w:right w:val="none" w:sz="0" w:space="0" w:color="auto"/>
      </w:divBdr>
      <w:divsChild>
        <w:div w:id="676930363">
          <w:marLeft w:val="0"/>
          <w:marRight w:val="0"/>
          <w:marTop w:val="0"/>
          <w:marBottom w:val="0"/>
          <w:divBdr>
            <w:top w:val="none" w:sz="0" w:space="0" w:color="auto"/>
            <w:left w:val="none" w:sz="0" w:space="0" w:color="auto"/>
            <w:bottom w:val="none" w:sz="0" w:space="0" w:color="auto"/>
            <w:right w:val="none" w:sz="0" w:space="0" w:color="auto"/>
          </w:divBdr>
          <w:divsChild>
            <w:div w:id="1464807405">
              <w:marLeft w:val="0"/>
              <w:marRight w:val="0"/>
              <w:marTop w:val="0"/>
              <w:marBottom w:val="0"/>
              <w:divBdr>
                <w:top w:val="none" w:sz="0" w:space="0" w:color="auto"/>
                <w:left w:val="none" w:sz="0" w:space="0" w:color="auto"/>
                <w:bottom w:val="none" w:sz="0" w:space="0" w:color="auto"/>
                <w:right w:val="none" w:sz="0" w:space="0" w:color="auto"/>
              </w:divBdr>
              <w:divsChild>
                <w:div w:id="1224172333">
                  <w:marLeft w:val="0"/>
                  <w:marRight w:val="0"/>
                  <w:marTop w:val="0"/>
                  <w:marBottom w:val="0"/>
                  <w:divBdr>
                    <w:top w:val="none" w:sz="0" w:space="0" w:color="auto"/>
                    <w:left w:val="none" w:sz="0" w:space="0" w:color="auto"/>
                    <w:bottom w:val="none" w:sz="0" w:space="0" w:color="auto"/>
                    <w:right w:val="none" w:sz="0" w:space="0" w:color="auto"/>
                  </w:divBdr>
                  <w:divsChild>
                    <w:div w:id="2095321051">
                      <w:marLeft w:val="0"/>
                      <w:marRight w:val="0"/>
                      <w:marTop w:val="0"/>
                      <w:marBottom w:val="0"/>
                      <w:divBdr>
                        <w:top w:val="none" w:sz="0" w:space="0" w:color="auto"/>
                        <w:left w:val="none" w:sz="0" w:space="0" w:color="auto"/>
                        <w:bottom w:val="none" w:sz="0" w:space="0" w:color="auto"/>
                        <w:right w:val="none" w:sz="0" w:space="0" w:color="auto"/>
                      </w:divBdr>
                      <w:divsChild>
                        <w:div w:id="1588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129863">
      <w:bodyDiv w:val="1"/>
      <w:marLeft w:val="0"/>
      <w:marRight w:val="0"/>
      <w:marTop w:val="0"/>
      <w:marBottom w:val="0"/>
      <w:divBdr>
        <w:top w:val="none" w:sz="0" w:space="0" w:color="auto"/>
        <w:left w:val="none" w:sz="0" w:space="0" w:color="auto"/>
        <w:bottom w:val="none" w:sz="0" w:space="0" w:color="auto"/>
        <w:right w:val="none" w:sz="0" w:space="0" w:color="auto"/>
      </w:divBdr>
    </w:div>
    <w:div w:id="852454203">
      <w:bodyDiv w:val="1"/>
      <w:marLeft w:val="0"/>
      <w:marRight w:val="0"/>
      <w:marTop w:val="0"/>
      <w:marBottom w:val="0"/>
      <w:divBdr>
        <w:top w:val="none" w:sz="0" w:space="0" w:color="auto"/>
        <w:left w:val="none" w:sz="0" w:space="0" w:color="auto"/>
        <w:bottom w:val="none" w:sz="0" w:space="0" w:color="auto"/>
        <w:right w:val="none" w:sz="0" w:space="0" w:color="auto"/>
      </w:divBdr>
    </w:div>
    <w:div w:id="934897389">
      <w:bodyDiv w:val="1"/>
      <w:marLeft w:val="0"/>
      <w:marRight w:val="0"/>
      <w:marTop w:val="0"/>
      <w:marBottom w:val="0"/>
      <w:divBdr>
        <w:top w:val="none" w:sz="0" w:space="0" w:color="auto"/>
        <w:left w:val="none" w:sz="0" w:space="0" w:color="auto"/>
        <w:bottom w:val="none" w:sz="0" w:space="0" w:color="auto"/>
        <w:right w:val="none" w:sz="0" w:space="0" w:color="auto"/>
      </w:divBdr>
    </w:div>
    <w:div w:id="1198815646">
      <w:bodyDiv w:val="1"/>
      <w:marLeft w:val="0"/>
      <w:marRight w:val="0"/>
      <w:marTop w:val="0"/>
      <w:marBottom w:val="0"/>
      <w:divBdr>
        <w:top w:val="none" w:sz="0" w:space="0" w:color="auto"/>
        <w:left w:val="none" w:sz="0" w:space="0" w:color="auto"/>
        <w:bottom w:val="none" w:sz="0" w:space="0" w:color="auto"/>
        <w:right w:val="none" w:sz="0" w:space="0" w:color="auto"/>
      </w:divBdr>
    </w:div>
    <w:div w:id="1366640347">
      <w:bodyDiv w:val="1"/>
      <w:marLeft w:val="0"/>
      <w:marRight w:val="0"/>
      <w:marTop w:val="0"/>
      <w:marBottom w:val="0"/>
      <w:divBdr>
        <w:top w:val="none" w:sz="0" w:space="0" w:color="auto"/>
        <w:left w:val="none" w:sz="0" w:space="0" w:color="auto"/>
        <w:bottom w:val="none" w:sz="0" w:space="0" w:color="auto"/>
        <w:right w:val="none" w:sz="0" w:space="0" w:color="auto"/>
      </w:divBdr>
    </w:div>
    <w:div w:id="1448694973">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736313213">
      <w:bodyDiv w:val="1"/>
      <w:marLeft w:val="0"/>
      <w:marRight w:val="0"/>
      <w:marTop w:val="0"/>
      <w:marBottom w:val="0"/>
      <w:divBdr>
        <w:top w:val="none" w:sz="0" w:space="0" w:color="auto"/>
        <w:left w:val="none" w:sz="0" w:space="0" w:color="auto"/>
        <w:bottom w:val="none" w:sz="0" w:space="0" w:color="auto"/>
        <w:right w:val="none" w:sz="0" w:space="0" w:color="auto"/>
      </w:divBdr>
    </w:div>
    <w:div w:id="1828979583">
      <w:bodyDiv w:val="1"/>
      <w:marLeft w:val="0"/>
      <w:marRight w:val="0"/>
      <w:marTop w:val="0"/>
      <w:marBottom w:val="0"/>
      <w:divBdr>
        <w:top w:val="none" w:sz="0" w:space="0" w:color="auto"/>
        <w:left w:val="none" w:sz="0" w:space="0" w:color="auto"/>
        <w:bottom w:val="none" w:sz="0" w:space="0" w:color="auto"/>
        <w:right w:val="none" w:sz="0" w:space="0" w:color="auto"/>
      </w:divBdr>
    </w:div>
    <w:div w:id="1846819985">
      <w:bodyDiv w:val="1"/>
      <w:marLeft w:val="0"/>
      <w:marRight w:val="0"/>
      <w:marTop w:val="0"/>
      <w:marBottom w:val="0"/>
      <w:divBdr>
        <w:top w:val="none" w:sz="0" w:space="0" w:color="auto"/>
        <w:left w:val="none" w:sz="0" w:space="0" w:color="auto"/>
        <w:bottom w:val="none" w:sz="0" w:space="0" w:color="auto"/>
        <w:right w:val="none" w:sz="0" w:space="0" w:color="auto"/>
      </w:divBdr>
      <w:divsChild>
        <w:div w:id="304240382">
          <w:marLeft w:val="0"/>
          <w:marRight w:val="0"/>
          <w:marTop w:val="0"/>
          <w:marBottom w:val="0"/>
          <w:divBdr>
            <w:top w:val="none" w:sz="0" w:space="0" w:color="auto"/>
            <w:left w:val="none" w:sz="0" w:space="0" w:color="auto"/>
            <w:bottom w:val="none" w:sz="0" w:space="0" w:color="auto"/>
            <w:right w:val="none" w:sz="0" w:space="0" w:color="auto"/>
          </w:divBdr>
          <w:divsChild>
            <w:div w:id="1014303662">
              <w:marLeft w:val="0"/>
              <w:marRight w:val="0"/>
              <w:marTop w:val="0"/>
              <w:marBottom w:val="0"/>
              <w:divBdr>
                <w:top w:val="none" w:sz="0" w:space="0" w:color="auto"/>
                <w:left w:val="none" w:sz="0" w:space="0" w:color="auto"/>
                <w:bottom w:val="none" w:sz="0" w:space="0" w:color="auto"/>
                <w:right w:val="none" w:sz="0" w:space="0" w:color="auto"/>
              </w:divBdr>
              <w:divsChild>
                <w:div w:id="518159527">
                  <w:marLeft w:val="0"/>
                  <w:marRight w:val="0"/>
                  <w:marTop w:val="0"/>
                  <w:marBottom w:val="0"/>
                  <w:divBdr>
                    <w:top w:val="none" w:sz="0" w:space="0" w:color="auto"/>
                    <w:left w:val="none" w:sz="0" w:space="0" w:color="auto"/>
                    <w:bottom w:val="none" w:sz="0" w:space="0" w:color="auto"/>
                    <w:right w:val="none" w:sz="0" w:space="0" w:color="auto"/>
                  </w:divBdr>
                  <w:divsChild>
                    <w:div w:id="1004094813">
                      <w:marLeft w:val="0"/>
                      <w:marRight w:val="0"/>
                      <w:marTop w:val="0"/>
                      <w:marBottom w:val="0"/>
                      <w:divBdr>
                        <w:top w:val="none" w:sz="0" w:space="0" w:color="auto"/>
                        <w:left w:val="none" w:sz="0" w:space="0" w:color="auto"/>
                        <w:bottom w:val="none" w:sz="0" w:space="0" w:color="auto"/>
                        <w:right w:val="none" w:sz="0" w:space="0" w:color="auto"/>
                      </w:divBdr>
                      <w:divsChild>
                        <w:div w:id="4940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03557">
      <w:bodyDiv w:val="1"/>
      <w:marLeft w:val="0"/>
      <w:marRight w:val="0"/>
      <w:marTop w:val="0"/>
      <w:marBottom w:val="0"/>
      <w:divBdr>
        <w:top w:val="none" w:sz="0" w:space="0" w:color="auto"/>
        <w:left w:val="none" w:sz="0" w:space="0" w:color="auto"/>
        <w:bottom w:val="none" w:sz="0" w:space="0" w:color="auto"/>
        <w:right w:val="none" w:sz="0" w:space="0" w:color="auto"/>
      </w:divBdr>
    </w:div>
    <w:div w:id="1937055236">
      <w:bodyDiv w:val="1"/>
      <w:marLeft w:val="0"/>
      <w:marRight w:val="0"/>
      <w:marTop w:val="0"/>
      <w:marBottom w:val="0"/>
      <w:divBdr>
        <w:top w:val="none" w:sz="0" w:space="0" w:color="auto"/>
        <w:left w:val="none" w:sz="0" w:space="0" w:color="auto"/>
        <w:bottom w:val="none" w:sz="0" w:space="0" w:color="auto"/>
        <w:right w:val="none" w:sz="0" w:space="0" w:color="auto"/>
      </w:divBdr>
    </w:div>
    <w:div w:id="1941328261">
      <w:bodyDiv w:val="1"/>
      <w:marLeft w:val="0"/>
      <w:marRight w:val="0"/>
      <w:marTop w:val="0"/>
      <w:marBottom w:val="0"/>
      <w:divBdr>
        <w:top w:val="none" w:sz="0" w:space="0" w:color="auto"/>
        <w:left w:val="none" w:sz="0" w:space="0" w:color="auto"/>
        <w:bottom w:val="none" w:sz="0" w:space="0" w:color="auto"/>
        <w:right w:val="none" w:sz="0" w:space="0" w:color="auto"/>
      </w:divBdr>
      <w:divsChild>
        <w:div w:id="1149320609">
          <w:marLeft w:val="0"/>
          <w:marRight w:val="0"/>
          <w:marTop w:val="0"/>
          <w:marBottom w:val="0"/>
          <w:divBdr>
            <w:top w:val="none" w:sz="0" w:space="0" w:color="auto"/>
            <w:left w:val="none" w:sz="0" w:space="0" w:color="auto"/>
            <w:bottom w:val="none" w:sz="0" w:space="0" w:color="auto"/>
            <w:right w:val="none" w:sz="0" w:space="0" w:color="auto"/>
          </w:divBdr>
          <w:divsChild>
            <w:div w:id="1687440541">
              <w:marLeft w:val="0"/>
              <w:marRight w:val="0"/>
              <w:marTop w:val="0"/>
              <w:marBottom w:val="0"/>
              <w:divBdr>
                <w:top w:val="none" w:sz="0" w:space="0" w:color="auto"/>
                <w:left w:val="none" w:sz="0" w:space="0" w:color="auto"/>
                <w:bottom w:val="none" w:sz="0" w:space="0" w:color="auto"/>
                <w:right w:val="none" w:sz="0" w:space="0" w:color="auto"/>
              </w:divBdr>
              <w:divsChild>
                <w:div w:id="1948736971">
                  <w:marLeft w:val="0"/>
                  <w:marRight w:val="0"/>
                  <w:marTop w:val="0"/>
                  <w:marBottom w:val="0"/>
                  <w:divBdr>
                    <w:top w:val="none" w:sz="0" w:space="0" w:color="auto"/>
                    <w:left w:val="none" w:sz="0" w:space="0" w:color="auto"/>
                    <w:bottom w:val="none" w:sz="0" w:space="0" w:color="auto"/>
                    <w:right w:val="none" w:sz="0" w:space="0" w:color="auto"/>
                  </w:divBdr>
                  <w:divsChild>
                    <w:div w:id="1178622828">
                      <w:marLeft w:val="0"/>
                      <w:marRight w:val="0"/>
                      <w:marTop w:val="0"/>
                      <w:marBottom w:val="0"/>
                      <w:divBdr>
                        <w:top w:val="none" w:sz="0" w:space="0" w:color="auto"/>
                        <w:left w:val="none" w:sz="0" w:space="0" w:color="auto"/>
                        <w:bottom w:val="none" w:sz="0" w:space="0" w:color="auto"/>
                        <w:right w:val="none" w:sz="0" w:space="0" w:color="auto"/>
                      </w:divBdr>
                      <w:divsChild>
                        <w:div w:id="8641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s://www.admissions.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pplytexas.org/adappc/gen/c_start.WBX" TargetMode="External"/><Relationship Id="rId14" Type="http://schemas.openxmlformats.org/officeDocument/2006/relationships/hyperlink" Target="https://www.health.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BA44D-FBAD-4D82-9786-61EFB26C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1156</Words>
  <Characters>6594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Vaught, Terry L</dc:creator>
  <cp:keywords/>
  <dc:description/>
  <cp:lastModifiedBy>Vaught, Terry L</cp:lastModifiedBy>
  <cp:revision>2</cp:revision>
  <cp:lastPrinted>2019-02-13T14:43:00Z</cp:lastPrinted>
  <dcterms:created xsi:type="dcterms:W3CDTF">2022-07-11T14:57:00Z</dcterms:created>
  <dcterms:modified xsi:type="dcterms:W3CDTF">2022-07-11T14:57:00Z</dcterms:modified>
</cp:coreProperties>
</file>