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6E11" w14:textId="77777777" w:rsidR="00921F23" w:rsidRPr="00BE52EC" w:rsidRDefault="00921F23" w:rsidP="00921F23">
      <w:pPr>
        <w:spacing w:before="120" w:after="120" w:line="288" w:lineRule="auto"/>
        <w:jc w:val="center"/>
        <w:rPr>
          <w:rFonts w:asciiTheme="majorHAnsi" w:hAnsiTheme="majorHAnsi" w:cstheme="majorHAnsi"/>
          <w:b/>
          <w:bCs/>
          <w:sz w:val="28"/>
          <w:szCs w:val="28"/>
        </w:rPr>
      </w:pPr>
      <w:r w:rsidRPr="00BE52EC">
        <w:rPr>
          <w:rFonts w:asciiTheme="majorHAnsi" w:hAnsiTheme="majorHAnsi" w:cstheme="majorHAnsi"/>
          <w:b/>
          <w:bCs/>
          <w:sz w:val="28"/>
          <w:szCs w:val="28"/>
        </w:rPr>
        <w:t>SCRIPT – GIVEN BEFORE TRIAL/DEFAULT HEARING</w:t>
      </w:r>
    </w:p>
    <w:p w14:paraId="3B0E798A" w14:textId="61133F19" w:rsidR="00921F23" w:rsidRPr="00BE52EC" w:rsidRDefault="00921F23" w:rsidP="00921F23">
      <w:pPr>
        <w:spacing w:before="120" w:after="120" w:line="288" w:lineRule="auto"/>
        <w:rPr>
          <w:rFonts w:cstheme="minorHAnsi"/>
          <w:sz w:val="24"/>
          <w:szCs w:val="24"/>
        </w:rPr>
      </w:pPr>
      <w:r>
        <w:rPr>
          <w:rFonts w:cstheme="minorHAnsi"/>
          <w:sz w:val="24"/>
          <w:szCs w:val="24"/>
        </w:rPr>
        <w:t xml:space="preserve">Before we begin, I wanted to make sure you are aware that there is a federal eviction moratorium issued by the CDC, currently scheduled to expire on </w:t>
      </w:r>
      <w:r w:rsidR="00E10247">
        <w:rPr>
          <w:rFonts w:cstheme="minorHAnsi"/>
          <w:sz w:val="24"/>
          <w:szCs w:val="24"/>
        </w:rPr>
        <w:t>October 3</w:t>
      </w:r>
      <w:r>
        <w:rPr>
          <w:rFonts w:cstheme="minorHAnsi"/>
          <w:sz w:val="24"/>
          <w:szCs w:val="24"/>
        </w:rPr>
        <w:t xml:space="preserve">, 2021. This moratorium creates civil and criminal liability for landlords who evict tenants who are protected by the order. The moratorium does not prevent this court from moving forward with eviction cases if the landlord chooses to do so, and this court is not able to provide guidance as to </w:t>
      </w:r>
      <w:proofErr w:type="gramStart"/>
      <w:r>
        <w:rPr>
          <w:rFonts w:cstheme="minorHAnsi"/>
          <w:sz w:val="24"/>
          <w:szCs w:val="24"/>
        </w:rPr>
        <w:t>whether or not</w:t>
      </w:r>
      <w:proofErr w:type="gramEnd"/>
      <w:r>
        <w:rPr>
          <w:rFonts w:cstheme="minorHAnsi"/>
          <w:sz w:val="24"/>
          <w:szCs w:val="24"/>
        </w:rPr>
        <w:t xml:space="preserve"> an eviction case is covered by the moratorium. If you are unsure </w:t>
      </w:r>
      <w:proofErr w:type="gramStart"/>
      <w:r>
        <w:rPr>
          <w:rFonts w:cstheme="minorHAnsi"/>
          <w:sz w:val="24"/>
          <w:szCs w:val="24"/>
        </w:rPr>
        <w:t>whether or not</w:t>
      </w:r>
      <w:proofErr w:type="gramEnd"/>
      <w:r>
        <w:rPr>
          <w:rFonts w:cstheme="minorHAnsi"/>
          <w:sz w:val="24"/>
          <w:szCs w:val="24"/>
        </w:rPr>
        <w:t xml:space="preserve"> to proceed, you may consult with an attorney. </w:t>
      </w:r>
    </w:p>
    <w:p w14:paraId="3559643F" w14:textId="77777777" w:rsidR="00921F23" w:rsidRDefault="00921F23" w:rsidP="00921F23">
      <w:pPr>
        <w:spacing w:before="120" w:after="120" w:line="288" w:lineRule="auto"/>
        <w:rPr>
          <w:rFonts w:cstheme="minorHAnsi"/>
          <w:sz w:val="24"/>
          <w:szCs w:val="24"/>
        </w:rPr>
      </w:pPr>
      <w:r>
        <w:rPr>
          <w:rFonts w:cstheme="minorHAnsi"/>
          <w:sz w:val="24"/>
          <w:szCs w:val="24"/>
        </w:rPr>
        <w:t>_________________________</w:t>
      </w:r>
      <w:proofErr w:type="gramStart"/>
      <w:r>
        <w:rPr>
          <w:rFonts w:cstheme="minorHAnsi"/>
          <w:sz w:val="24"/>
          <w:szCs w:val="24"/>
        </w:rPr>
        <w:t>_(</w:t>
      </w:r>
      <w:proofErr w:type="gramEnd"/>
      <w:r w:rsidRPr="00F00CA2">
        <w:rPr>
          <w:rFonts w:cstheme="minorHAnsi"/>
          <w:i/>
          <w:iCs/>
          <w:sz w:val="24"/>
          <w:szCs w:val="24"/>
        </w:rPr>
        <w:t>Plaintiff name</w:t>
      </w:r>
      <w:r>
        <w:rPr>
          <w:rFonts w:cstheme="minorHAnsi"/>
          <w:sz w:val="24"/>
          <w:szCs w:val="24"/>
        </w:rPr>
        <w:t xml:space="preserve">), do you wish to proceed with this case? </w:t>
      </w:r>
    </w:p>
    <w:p w14:paraId="416798CF" w14:textId="77777777" w:rsidR="00921F23" w:rsidRDefault="00921F23" w:rsidP="00921F23">
      <w:pPr>
        <w:spacing w:before="120" w:after="120" w:line="288" w:lineRule="auto"/>
        <w:rPr>
          <w:rFonts w:cstheme="minorHAnsi"/>
          <w:sz w:val="24"/>
          <w:szCs w:val="24"/>
        </w:rPr>
      </w:pPr>
    </w:p>
    <w:p w14:paraId="3E5E0176" w14:textId="77777777" w:rsidR="00921F23" w:rsidRPr="00F00CA2" w:rsidRDefault="00921F23" w:rsidP="00921F23">
      <w:pPr>
        <w:spacing w:before="120" w:after="120" w:line="288" w:lineRule="auto"/>
        <w:rPr>
          <w:rFonts w:cstheme="minorHAnsi"/>
          <w:b/>
          <w:bCs/>
          <w:i/>
          <w:iCs/>
          <w:sz w:val="24"/>
          <w:szCs w:val="24"/>
        </w:rPr>
      </w:pPr>
      <w:r w:rsidRPr="00F00CA2">
        <w:rPr>
          <w:rFonts w:cstheme="minorHAnsi"/>
          <w:b/>
          <w:bCs/>
          <w:i/>
          <w:iCs/>
          <w:sz w:val="24"/>
          <w:szCs w:val="24"/>
        </w:rPr>
        <w:t>(If they wish to proceed, hold the trial/hearing).</w:t>
      </w:r>
    </w:p>
    <w:p w14:paraId="376AD18D" w14:textId="77777777" w:rsidR="00921F23" w:rsidRPr="00F00CA2" w:rsidRDefault="00921F23" w:rsidP="00921F23">
      <w:pPr>
        <w:spacing w:before="120" w:after="120" w:line="288" w:lineRule="auto"/>
        <w:rPr>
          <w:rFonts w:cstheme="minorHAnsi"/>
          <w:b/>
          <w:bCs/>
          <w:i/>
          <w:iCs/>
          <w:sz w:val="24"/>
          <w:szCs w:val="24"/>
        </w:rPr>
      </w:pPr>
    </w:p>
    <w:p w14:paraId="17F5E538" w14:textId="15ABE589" w:rsidR="00921F23" w:rsidRPr="00F00CA2" w:rsidRDefault="00921F23" w:rsidP="00921F23">
      <w:pPr>
        <w:spacing w:before="120" w:after="120" w:line="288" w:lineRule="auto"/>
        <w:rPr>
          <w:rFonts w:cstheme="minorHAnsi"/>
          <w:b/>
          <w:bCs/>
          <w:i/>
          <w:iCs/>
          <w:sz w:val="24"/>
          <w:szCs w:val="24"/>
        </w:rPr>
      </w:pPr>
      <w:r w:rsidRPr="00F00CA2">
        <w:rPr>
          <w:rFonts w:cstheme="minorHAnsi"/>
          <w:b/>
          <w:bCs/>
          <w:i/>
          <w:iCs/>
          <w:sz w:val="24"/>
          <w:szCs w:val="24"/>
        </w:rPr>
        <w:t>(If they do not wish to proceed until the moratorium expires)</w:t>
      </w:r>
      <w:r>
        <w:rPr>
          <w:rFonts w:cstheme="minorHAnsi"/>
          <w:b/>
          <w:bCs/>
          <w:i/>
          <w:iCs/>
          <w:sz w:val="24"/>
          <w:szCs w:val="24"/>
        </w:rPr>
        <w:t>:</w:t>
      </w:r>
    </w:p>
    <w:p w14:paraId="4F674466" w14:textId="5C5CA7B7" w:rsidR="00921F23" w:rsidRDefault="00921F23" w:rsidP="00921F23">
      <w:pPr>
        <w:spacing w:before="120" w:after="120" w:line="288" w:lineRule="auto"/>
        <w:rPr>
          <w:rFonts w:cstheme="minorHAnsi"/>
          <w:sz w:val="24"/>
          <w:szCs w:val="24"/>
        </w:rPr>
      </w:pPr>
      <w:r>
        <w:rPr>
          <w:rFonts w:cstheme="minorHAnsi"/>
          <w:sz w:val="24"/>
          <w:szCs w:val="24"/>
        </w:rPr>
        <w:t xml:space="preserve">This case will remain on hold through at least </w:t>
      </w:r>
      <w:r w:rsidR="00E10247">
        <w:rPr>
          <w:rFonts w:cstheme="minorHAnsi"/>
          <w:sz w:val="24"/>
          <w:szCs w:val="24"/>
        </w:rPr>
        <w:t>October 3</w:t>
      </w:r>
      <w:r>
        <w:rPr>
          <w:rFonts w:cstheme="minorHAnsi"/>
          <w:sz w:val="24"/>
          <w:szCs w:val="24"/>
        </w:rPr>
        <w:t xml:space="preserve">, 2021. This court will contact all parties with the next setting in this case. Be sure to keep your contact information updated with the court. </w:t>
      </w:r>
    </w:p>
    <w:p w14:paraId="2BAAA1CB" w14:textId="77777777" w:rsidR="00921F23" w:rsidRDefault="00921F23" w:rsidP="00921F23">
      <w:pPr>
        <w:spacing w:before="120" w:after="120" w:line="288" w:lineRule="auto"/>
        <w:rPr>
          <w:rFonts w:cstheme="minorHAnsi"/>
          <w:sz w:val="24"/>
          <w:szCs w:val="24"/>
        </w:rPr>
      </w:pPr>
    </w:p>
    <w:p w14:paraId="47B7D997" w14:textId="4C0DB626" w:rsidR="00921F23" w:rsidRDefault="00921F23" w:rsidP="00921F23">
      <w:pPr>
        <w:spacing w:before="120" w:after="120" w:line="288" w:lineRule="auto"/>
        <w:rPr>
          <w:rFonts w:cstheme="minorHAnsi"/>
          <w:b/>
          <w:bCs/>
          <w:sz w:val="24"/>
          <w:szCs w:val="24"/>
        </w:rPr>
      </w:pPr>
      <w:r w:rsidRPr="00F00CA2">
        <w:rPr>
          <w:rFonts w:cstheme="minorHAnsi"/>
          <w:b/>
          <w:bCs/>
          <w:sz w:val="24"/>
          <w:szCs w:val="24"/>
        </w:rPr>
        <w:t>(</w:t>
      </w:r>
      <w:r w:rsidRPr="00F00CA2">
        <w:rPr>
          <w:rFonts w:cstheme="minorHAnsi"/>
          <w:b/>
          <w:bCs/>
          <w:i/>
          <w:iCs/>
          <w:sz w:val="24"/>
          <w:szCs w:val="24"/>
        </w:rPr>
        <w:t>If they want to dismiss, enter an order of dismissal without prejudice based on nonsuit.</w:t>
      </w:r>
      <w:r w:rsidRPr="00F00CA2">
        <w:rPr>
          <w:rFonts w:cstheme="minorHAnsi"/>
          <w:b/>
          <w:bCs/>
          <w:sz w:val="24"/>
          <w:szCs w:val="24"/>
        </w:rPr>
        <w:t>)</w:t>
      </w:r>
    </w:p>
    <w:p w14:paraId="45119BA2" w14:textId="77777777" w:rsidR="00921F23" w:rsidRPr="00F00CA2" w:rsidRDefault="00921F23" w:rsidP="00921F23">
      <w:pPr>
        <w:spacing w:before="120" w:after="120" w:line="288" w:lineRule="auto"/>
        <w:rPr>
          <w:rFonts w:cstheme="minorHAnsi"/>
          <w:b/>
          <w:bCs/>
          <w:sz w:val="24"/>
          <w:szCs w:val="24"/>
        </w:rPr>
      </w:pPr>
    </w:p>
    <w:p w14:paraId="2FE4931E" w14:textId="77777777" w:rsidR="00AE024E" w:rsidRDefault="00AE024E"/>
    <w:sectPr w:rsidR="00AE0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23"/>
    <w:rsid w:val="00921F23"/>
    <w:rsid w:val="00AE024E"/>
    <w:rsid w:val="00E1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D3F4"/>
  <w15:chartTrackingRefBased/>
  <w15:docId w15:val="{0FD7EAE4-2810-4DCC-B957-50F63794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2</cp:revision>
  <dcterms:created xsi:type="dcterms:W3CDTF">2021-04-01T03:28:00Z</dcterms:created>
  <dcterms:modified xsi:type="dcterms:W3CDTF">2021-08-04T03:59:00Z</dcterms:modified>
</cp:coreProperties>
</file>