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E4788C0" w:rsidR="00EF5226" w:rsidRPr="00246E39" w:rsidRDefault="00604DE8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[Judge</w:t>
      </w:r>
      <w:r w:rsidR="00BC36DF">
        <w:rPr>
          <w:rFonts w:ascii="Calibri Light" w:eastAsia="Times New Roman" w:hAnsi="Calibri Light" w:cs="Calibri Light"/>
          <w:b/>
          <w:sz w:val="24"/>
          <w:szCs w:val="24"/>
        </w:rPr>
        <w:t>’s Letterhead</w:t>
      </w:r>
      <w:r>
        <w:rPr>
          <w:rFonts w:ascii="Calibri Light" w:eastAsia="Times New Roman" w:hAnsi="Calibri Light" w:cs="Calibri Light"/>
          <w:b/>
          <w:sz w:val="24"/>
          <w:szCs w:val="24"/>
        </w:rPr>
        <w:t xml:space="preserve">] 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6BE0901" w14:textId="77777777" w:rsidR="00604DE8" w:rsidRPr="00166283" w:rsidRDefault="00604DE8" w:rsidP="00604DE8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166283">
        <w:rPr>
          <w:rFonts w:ascii="Calibri Light" w:hAnsi="Calibri Light" w:cs="Calibri Light"/>
          <w:b/>
          <w:sz w:val="28"/>
          <w:szCs w:val="28"/>
        </w:rPr>
        <w:t xml:space="preserve">RESPONSE TO REQUEST FOR JUDICIAL RECORDS UNDER </w:t>
      </w:r>
    </w:p>
    <w:p w14:paraId="3B93C504" w14:textId="21B1A2C4" w:rsidR="007503D9" w:rsidRPr="003E5BFD" w:rsidRDefault="00604DE8" w:rsidP="00604DE8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 w:rsidRPr="00166283">
        <w:rPr>
          <w:rFonts w:ascii="Calibri Light" w:hAnsi="Calibri Light" w:cs="Calibri Light"/>
          <w:b/>
          <w:sz w:val="28"/>
          <w:szCs w:val="28"/>
        </w:rPr>
        <w:t>RULE 12 OF THE TEXAS RULES OF JUDICIAL ADMINISTRATION</w:t>
      </w:r>
      <w:r w:rsidRPr="003E5BFD">
        <w:rPr>
          <w:rFonts w:cstheme="minorHAnsi"/>
          <w:bCs/>
          <w:sz w:val="28"/>
          <w:szCs w:val="28"/>
        </w:rPr>
        <w:t xml:space="preserve"> </w:t>
      </w:r>
    </w:p>
    <w:p w14:paraId="7052CAD4" w14:textId="77777777" w:rsidR="002354C7" w:rsidRPr="00DC34B3" w:rsidRDefault="002354C7" w:rsidP="005E585D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587A3229" w14:textId="54D576C3" w:rsidR="00604DE8" w:rsidRDefault="00604DE8" w:rsidP="003E5BFD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_________</w:t>
      </w:r>
      <w:r w:rsidR="00705DEA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_:</w:t>
      </w:r>
    </w:p>
    <w:p w14:paraId="3D301F1C" w14:textId="7852DE74" w:rsidR="00604DE8" w:rsidRDefault="00604DE8" w:rsidP="003E5BFD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am in receipt of your request </w:t>
      </w:r>
      <w:r w:rsidR="00330EAA">
        <w:rPr>
          <w:rFonts w:cstheme="minorHAnsi"/>
          <w:sz w:val="24"/>
          <w:szCs w:val="24"/>
        </w:rPr>
        <w:t>for records dated ________________________</w:t>
      </w:r>
      <w:r w:rsidR="00330EAA" w:rsidRPr="0077408F">
        <w:rPr>
          <w:rFonts w:cstheme="minorHAnsi"/>
          <w:sz w:val="24"/>
          <w:szCs w:val="24"/>
        </w:rPr>
        <w:t>, 20____.</w:t>
      </w:r>
      <w:r w:rsidR="00330EAA" w:rsidRPr="0077408F">
        <w:rPr>
          <w:rFonts w:cstheme="minorHAnsi"/>
          <w:sz w:val="24"/>
          <w:szCs w:val="24"/>
        </w:rPr>
        <w:tab/>
      </w:r>
      <w:r w:rsidR="00576956">
        <w:rPr>
          <w:rFonts w:cstheme="minorHAnsi"/>
          <w:sz w:val="24"/>
          <w:szCs w:val="24"/>
        </w:rPr>
        <w:t xml:space="preserve">The records you have requested are judicial records subject to Rule 12 of the Texas Rules of Judicial Administration. </w:t>
      </w:r>
      <w:r w:rsidR="00603F2A">
        <w:rPr>
          <w:rFonts w:cstheme="minorHAnsi"/>
          <w:sz w:val="24"/>
          <w:szCs w:val="24"/>
        </w:rPr>
        <w:t>Pursuant to Rule 12, I have determined the following:</w:t>
      </w:r>
      <w:r w:rsidR="00330EAA" w:rsidRPr="0077408F">
        <w:rPr>
          <w:rFonts w:cstheme="minorHAnsi"/>
          <w:sz w:val="24"/>
          <w:szCs w:val="24"/>
        </w:rPr>
        <w:tab/>
      </w:r>
    </w:p>
    <w:p w14:paraId="74693E91" w14:textId="1D13DD4F" w:rsidR="00B73C3C" w:rsidRDefault="007503D9" w:rsidP="000716E3">
      <w:pPr>
        <w:spacing w:before="120" w:after="120" w:line="288" w:lineRule="auto"/>
        <w:ind w:left="270" w:hanging="270"/>
        <w:rPr>
          <w:rFonts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</w:t>
      </w:r>
      <w:r w:rsidR="00603F2A">
        <w:rPr>
          <w:rFonts w:cstheme="minorHAnsi"/>
          <w:sz w:val="24"/>
          <w:szCs w:val="24"/>
        </w:rPr>
        <w:t>Some or all of the records will be produced or made available for inspection and copying at a mutually convenient time.</w:t>
      </w:r>
      <w:r w:rsidR="00B73C3C">
        <w:rPr>
          <w:rFonts w:cstheme="minorHAnsi"/>
          <w:sz w:val="24"/>
          <w:szCs w:val="24"/>
        </w:rPr>
        <w:t xml:space="preserve"> The cost of production</w:t>
      </w:r>
      <w:r w:rsidR="000716E3">
        <w:rPr>
          <w:rFonts w:cstheme="minorHAnsi"/>
          <w:sz w:val="24"/>
          <w:szCs w:val="24"/>
        </w:rPr>
        <w:t xml:space="preserve"> </w:t>
      </w:r>
      <w:r w:rsidR="00B73C3C" w:rsidRPr="007503D9">
        <w:rPr>
          <w:rFonts w:eastAsia="Calibri" w:cstheme="minorHAnsi"/>
          <w:sz w:val="24"/>
          <w:szCs w:val="24"/>
        </w:rPr>
        <w:sym w:font="Wingdings" w:char="F0A8"/>
      </w:r>
      <w:r w:rsidR="00B73C3C">
        <w:rPr>
          <w:rFonts w:eastAsia="Calibri" w:cstheme="minorHAnsi"/>
          <w:sz w:val="24"/>
          <w:szCs w:val="24"/>
        </w:rPr>
        <w:t xml:space="preserve"> is waived</w:t>
      </w:r>
      <w:r w:rsidR="000716E3">
        <w:rPr>
          <w:rFonts w:eastAsia="Calibri" w:cstheme="minorHAnsi"/>
          <w:sz w:val="24"/>
          <w:szCs w:val="24"/>
        </w:rPr>
        <w:t xml:space="preserve"> </w:t>
      </w:r>
      <w:r w:rsidR="00B73C3C" w:rsidRPr="007503D9">
        <w:rPr>
          <w:rFonts w:eastAsia="Calibri" w:cstheme="minorHAnsi"/>
          <w:sz w:val="24"/>
          <w:szCs w:val="24"/>
        </w:rPr>
        <w:sym w:font="Wingdings" w:char="F0A8"/>
      </w:r>
      <w:r w:rsidR="00B73C3C">
        <w:rPr>
          <w:rFonts w:eastAsia="Calibri" w:cstheme="minorHAnsi"/>
          <w:sz w:val="24"/>
          <w:szCs w:val="24"/>
        </w:rPr>
        <w:t xml:space="preserve"> is estimate</w:t>
      </w:r>
      <w:r w:rsidR="006F0B1A">
        <w:rPr>
          <w:rFonts w:eastAsia="Calibri" w:cstheme="minorHAnsi"/>
          <w:sz w:val="24"/>
          <w:szCs w:val="24"/>
        </w:rPr>
        <w:t>d</w:t>
      </w:r>
      <w:r w:rsidR="00B73C3C">
        <w:rPr>
          <w:rFonts w:eastAsia="Calibri" w:cstheme="minorHAnsi"/>
          <w:sz w:val="24"/>
          <w:szCs w:val="24"/>
        </w:rPr>
        <w:t xml:space="preserve"> to be $ _________, which must be paid prior to production. </w:t>
      </w:r>
      <w:r w:rsidR="00B73C3C">
        <w:rPr>
          <w:rFonts w:cstheme="minorHAnsi"/>
          <w:sz w:val="24"/>
          <w:szCs w:val="24"/>
        </w:rPr>
        <w:tab/>
      </w:r>
    </w:p>
    <w:p w14:paraId="76D74EE6" w14:textId="77777777" w:rsidR="00603F2A" w:rsidRDefault="007503D9" w:rsidP="003E5BFD">
      <w:pPr>
        <w:spacing w:before="120" w:after="120" w:line="288" w:lineRule="auto"/>
        <w:ind w:left="270" w:hanging="27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603F2A">
        <w:rPr>
          <w:rFonts w:eastAsia="Calibri" w:cstheme="minorHAnsi"/>
          <w:sz w:val="24"/>
          <w:szCs w:val="24"/>
        </w:rPr>
        <w:t xml:space="preserve"> Some or </w:t>
      </w:r>
      <w:proofErr w:type="gramStart"/>
      <w:r w:rsidR="00603F2A">
        <w:rPr>
          <w:rFonts w:eastAsia="Calibri" w:cstheme="minorHAnsi"/>
          <w:sz w:val="24"/>
          <w:szCs w:val="24"/>
        </w:rPr>
        <w:t>all of</w:t>
      </w:r>
      <w:proofErr w:type="gramEnd"/>
      <w:r w:rsidR="00603F2A">
        <w:rPr>
          <w:rFonts w:eastAsia="Calibri" w:cstheme="minorHAnsi"/>
          <w:sz w:val="24"/>
          <w:szCs w:val="24"/>
        </w:rPr>
        <w:t xml:space="preserve"> the records are not subject to production under Rule 12 for the following reason(s): </w:t>
      </w:r>
    </w:p>
    <w:p w14:paraId="4896A9AE" w14:textId="14396D1D" w:rsidR="00705DEA" w:rsidRDefault="00603F2A" w:rsidP="003E5BFD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705DEA" w:rsidRPr="007503D9">
        <w:rPr>
          <w:rFonts w:eastAsia="Calibri" w:cstheme="minorHAnsi"/>
          <w:sz w:val="24"/>
          <w:szCs w:val="24"/>
        </w:rPr>
        <w:sym w:font="Wingdings" w:char="F0A8"/>
      </w:r>
      <w:r w:rsidR="00705DEA" w:rsidRPr="007503D9">
        <w:rPr>
          <w:rFonts w:cstheme="minorHAnsi"/>
          <w:sz w:val="24"/>
          <w:szCs w:val="24"/>
        </w:rPr>
        <w:t xml:space="preserve"> </w:t>
      </w:r>
      <w:r w:rsidR="00705DEA">
        <w:rPr>
          <w:rFonts w:cstheme="minorHAnsi"/>
          <w:sz w:val="24"/>
          <w:szCs w:val="24"/>
        </w:rPr>
        <w:t>The record does not exist.</w:t>
      </w:r>
    </w:p>
    <w:p w14:paraId="7A1BC082" w14:textId="436FA087" w:rsidR="00705DEA" w:rsidRDefault="00705DEA" w:rsidP="003E5BFD">
      <w:pPr>
        <w:tabs>
          <w:tab w:val="left" w:pos="900"/>
        </w:tabs>
        <w:spacing w:before="120" w:after="120" w:line="288" w:lineRule="auto"/>
        <w:ind w:left="990" w:hanging="270"/>
        <w:rPr>
          <w:rFonts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="007F264D">
        <w:rPr>
          <w:rFonts w:cstheme="minorHAnsi"/>
          <w:sz w:val="24"/>
          <w:szCs w:val="24"/>
        </w:rPr>
        <w:t xml:space="preserve">record </w:t>
      </w:r>
      <w:r>
        <w:rPr>
          <w:rFonts w:cstheme="minorHAnsi"/>
          <w:sz w:val="24"/>
          <w:szCs w:val="24"/>
        </w:rPr>
        <w:t xml:space="preserve">has been destroyed pursuant to the applicable </w:t>
      </w:r>
      <w:hyperlink r:id="rId7" w:history="1">
        <w:r w:rsidRPr="00705DEA">
          <w:rPr>
            <w:rStyle w:val="Hyperlink"/>
            <w:rFonts w:cstheme="minorHAnsi"/>
            <w:sz w:val="24"/>
            <w:szCs w:val="24"/>
          </w:rPr>
          <w:t>Texas Local Government Retention Schedule</w:t>
        </w:r>
      </w:hyperlink>
      <w:r>
        <w:rPr>
          <w:rFonts w:cstheme="minorHAnsi"/>
          <w:sz w:val="24"/>
          <w:szCs w:val="24"/>
        </w:rPr>
        <w:t xml:space="preserve">: ___________________________________. </w:t>
      </w:r>
    </w:p>
    <w:p w14:paraId="23B31534" w14:textId="2965FC8E" w:rsidR="00603F2A" w:rsidRDefault="007503D9" w:rsidP="003E5BFD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</w:t>
      </w:r>
      <w:r w:rsidR="00603F2A">
        <w:rPr>
          <w:rFonts w:cstheme="minorHAnsi"/>
          <w:sz w:val="24"/>
          <w:szCs w:val="24"/>
        </w:rPr>
        <w:t>The request is from an inmate.</w:t>
      </w:r>
    </w:p>
    <w:p w14:paraId="5626AC10" w14:textId="6EB299A8" w:rsidR="007503D9" w:rsidRDefault="007503D9" w:rsidP="003E5BFD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</w:t>
      </w:r>
      <w:r w:rsidR="00603F2A">
        <w:rPr>
          <w:rFonts w:cstheme="minorHAnsi"/>
          <w:sz w:val="24"/>
          <w:szCs w:val="24"/>
        </w:rPr>
        <w:t xml:space="preserve">The record is a publication commercially available to the public. </w:t>
      </w:r>
    </w:p>
    <w:p w14:paraId="54BDC082" w14:textId="3375724C" w:rsidR="00603F2A" w:rsidRDefault="00603F2A" w:rsidP="003E5BFD">
      <w:pPr>
        <w:spacing w:before="120" w:after="120" w:line="288" w:lineRule="auto"/>
        <w:ind w:left="72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The record is exempt from disclosure under Rule 12.5.</w:t>
      </w:r>
    </w:p>
    <w:p w14:paraId="3BAE9A1D" w14:textId="217584EF" w:rsidR="00603F2A" w:rsidRDefault="00603F2A" w:rsidP="003E5BFD">
      <w:pPr>
        <w:spacing w:before="120" w:after="120" w:line="288" w:lineRule="auto"/>
        <w:ind w:left="72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The record is confidential </w:t>
      </w:r>
      <w:r w:rsidR="00D16D8D">
        <w:rPr>
          <w:rFonts w:eastAsia="Calibri" w:cstheme="minorHAnsi"/>
          <w:sz w:val="24"/>
          <w:szCs w:val="24"/>
        </w:rPr>
        <w:t>under applicable law.</w:t>
      </w:r>
    </w:p>
    <w:p w14:paraId="34799BE4" w14:textId="73DE699E" w:rsidR="00D16D8D" w:rsidRDefault="00D16D8D" w:rsidP="003E5BFD">
      <w:pPr>
        <w:spacing w:before="120" w:after="120" w:line="288" w:lineRule="auto"/>
        <w:ind w:left="990" w:hanging="27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The record relates to an investigation of a person’s character or conduct, the record request was made by the person being investigated, and I believe release of the record would impair the investigation. </w:t>
      </w:r>
    </w:p>
    <w:p w14:paraId="262B58E9" w14:textId="266CFE8B" w:rsidR="00AB139F" w:rsidRDefault="00AB139F" w:rsidP="003E5BFD">
      <w:pPr>
        <w:spacing w:before="120" w:after="120" w:line="288" w:lineRule="auto"/>
        <w:ind w:left="990" w:hanging="27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Compliance with the request would substantially and unreasonably impede the routine operation of the court based upon the following specific, non-conclusory findings: ______________________________________________</w:t>
      </w:r>
      <w:r w:rsidR="00705DEA">
        <w:rPr>
          <w:rFonts w:eastAsia="Calibri" w:cstheme="minorHAnsi"/>
          <w:sz w:val="24"/>
          <w:szCs w:val="24"/>
        </w:rPr>
        <w:t>________________</w:t>
      </w:r>
      <w:r w:rsidR="003E5BFD">
        <w:rPr>
          <w:rFonts w:eastAsia="Calibri" w:cstheme="minorHAnsi"/>
          <w:sz w:val="24"/>
          <w:szCs w:val="24"/>
        </w:rPr>
        <w:t>______</w:t>
      </w:r>
      <w:r w:rsidR="00705DEA">
        <w:rPr>
          <w:rFonts w:eastAsia="Calibri" w:cstheme="minorHAnsi"/>
          <w:sz w:val="24"/>
          <w:szCs w:val="24"/>
        </w:rPr>
        <w:t>__</w:t>
      </w:r>
      <w:r w:rsidR="003E5BFD">
        <w:rPr>
          <w:rFonts w:eastAsia="Calibri" w:cstheme="minorHAnsi"/>
          <w:sz w:val="24"/>
          <w:szCs w:val="24"/>
        </w:rPr>
        <w:t xml:space="preserve"> </w:t>
      </w:r>
      <w:r w:rsidR="00705DEA">
        <w:rPr>
          <w:rFonts w:eastAsia="Calibri" w:cstheme="minorHAnsi"/>
          <w:sz w:val="24"/>
          <w:szCs w:val="24"/>
        </w:rPr>
        <w:t>__________________________________________________________________________________________________________________________________</w:t>
      </w:r>
      <w:r w:rsidR="003E5BFD">
        <w:rPr>
          <w:rFonts w:eastAsia="Calibri" w:cstheme="minorHAnsi"/>
          <w:sz w:val="24"/>
          <w:szCs w:val="24"/>
        </w:rPr>
        <w:t>____</w:t>
      </w:r>
      <w:r w:rsidR="00705DEA">
        <w:rPr>
          <w:rFonts w:eastAsia="Calibri" w:cstheme="minorHAnsi"/>
          <w:sz w:val="24"/>
          <w:szCs w:val="24"/>
        </w:rPr>
        <w:t xml:space="preserve">____. </w:t>
      </w:r>
    </w:p>
    <w:p w14:paraId="1DE8A206" w14:textId="282273D9" w:rsidR="00BC36DF" w:rsidRDefault="00BC36DF" w:rsidP="003E5BFD">
      <w:pPr>
        <w:spacing w:before="120" w:after="120" w:line="288" w:lineRule="auto"/>
        <w:ind w:left="270" w:hanging="270"/>
        <w:rPr>
          <w:rFonts w:eastAsia="Calibri" w:cstheme="minorHAnsi"/>
          <w:sz w:val="24"/>
          <w:szCs w:val="24"/>
        </w:rPr>
      </w:pPr>
      <w:r w:rsidRPr="007503D9">
        <w:rPr>
          <w:rFonts w:eastAsia="Calibri" w:cstheme="minorHAnsi"/>
          <w:sz w:val="24"/>
          <w:szCs w:val="24"/>
        </w:rPr>
        <w:sym w:font="Wingdings" w:char="F0A8"/>
      </w:r>
      <w:r>
        <w:rPr>
          <w:rFonts w:eastAsia="Calibri" w:cstheme="minorHAnsi"/>
          <w:sz w:val="24"/>
          <w:szCs w:val="24"/>
        </w:rPr>
        <w:t xml:space="preserve"> I am not the custodian of all or some of the records that you have requested, and I have forwarded your request to: _______________________________________________________</w:t>
      </w:r>
      <w:r w:rsidR="003E5BFD">
        <w:rPr>
          <w:rFonts w:eastAsia="Calibri" w:cstheme="minorHAnsi"/>
          <w:sz w:val="24"/>
          <w:szCs w:val="24"/>
        </w:rPr>
        <w:t xml:space="preserve">_____________________ </w:t>
      </w:r>
      <w:r>
        <w:rPr>
          <w:rFonts w:eastAsia="Calibri" w:cstheme="minorHAnsi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_______________________________________________________________________________________________________________________________________________________. </w:t>
      </w:r>
    </w:p>
    <w:p w14:paraId="5E1A2311" w14:textId="149B8656" w:rsidR="00B73C3C" w:rsidRPr="00B73C3C" w:rsidRDefault="00B73C3C" w:rsidP="003E5BFD">
      <w:pPr>
        <w:kinsoku w:val="0"/>
        <w:overflowPunct w:val="0"/>
        <w:spacing w:before="120" w:after="120" w:line="288" w:lineRule="auto"/>
        <w:rPr>
          <w:rFonts w:cs="Calibri"/>
          <w:sz w:val="24"/>
          <w:szCs w:val="24"/>
        </w:rPr>
      </w:pPr>
      <w:r w:rsidRPr="00B73C3C">
        <w:rPr>
          <w:rFonts w:cs="Calibri"/>
          <w:sz w:val="24"/>
          <w:szCs w:val="24"/>
        </w:rPr>
        <w:t>A person who believes that a charge for a copy of a judicial record is excessive may appeal the overcharge in the manner prescribed by Rule 12.9, Rules of Judicial Administration, to the Director of the Office of Court Administration</w:t>
      </w:r>
      <w:r>
        <w:rPr>
          <w:rFonts w:cs="Calibri"/>
          <w:sz w:val="24"/>
          <w:szCs w:val="24"/>
        </w:rPr>
        <w:t>:</w:t>
      </w:r>
    </w:p>
    <w:p w14:paraId="03935AB9" w14:textId="77777777" w:rsidR="00B73C3C" w:rsidRPr="00F4553E" w:rsidRDefault="00B73C3C" w:rsidP="003E5BFD">
      <w:pPr>
        <w:kinsoku w:val="0"/>
        <w:overflowPunct w:val="0"/>
        <w:spacing w:before="120" w:after="120" w:line="288" w:lineRule="auto"/>
        <w:rPr>
          <w:rFonts w:cs="Calibri"/>
          <w:sz w:val="24"/>
          <w:szCs w:val="24"/>
        </w:rPr>
      </w:pPr>
      <w:r w:rsidRPr="00F4553E">
        <w:rPr>
          <w:rFonts w:cs="Calibri"/>
          <w:sz w:val="24"/>
          <w:szCs w:val="24"/>
        </w:rPr>
        <w:t>Mr. David Slayton, Director</w:t>
      </w:r>
    </w:p>
    <w:p w14:paraId="470C3097" w14:textId="77777777" w:rsidR="00B73C3C" w:rsidRPr="00F4553E" w:rsidRDefault="00B73C3C" w:rsidP="003E5BFD">
      <w:pPr>
        <w:kinsoku w:val="0"/>
        <w:overflowPunct w:val="0"/>
        <w:spacing w:before="120" w:after="120" w:line="288" w:lineRule="auto"/>
        <w:rPr>
          <w:rFonts w:cs="Calibri"/>
          <w:sz w:val="24"/>
          <w:szCs w:val="24"/>
        </w:rPr>
      </w:pPr>
      <w:r w:rsidRPr="00F4553E">
        <w:rPr>
          <w:rFonts w:cs="Calibri"/>
          <w:sz w:val="24"/>
          <w:szCs w:val="24"/>
        </w:rPr>
        <w:t>Office of Court Administration</w:t>
      </w:r>
    </w:p>
    <w:p w14:paraId="39B0F256" w14:textId="77777777" w:rsidR="00B73C3C" w:rsidRPr="00F4553E" w:rsidRDefault="00B73C3C" w:rsidP="003E5BFD">
      <w:pPr>
        <w:kinsoku w:val="0"/>
        <w:overflowPunct w:val="0"/>
        <w:spacing w:before="120" w:after="120" w:line="288" w:lineRule="auto"/>
        <w:rPr>
          <w:rFonts w:cs="Calibri"/>
          <w:sz w:val="24"/>
          <w:szCs w:val="24"/>
        </w:rPr>
      </w:pPr>
      <w:r w:rsidRPr="00F4553E">
        <w:rPr>
          <w:rFonts w:cs="Calibri"/>
          <w:sz w:val="24"/>
          <w:szCs w:val="24"/>
        </w:rPr>
        <w:t>P.O. Box 12066</w:t>
      </w:r>
    </w:p>
    <w:p w14:paraId="544DB325" w14:textId="77777777" w:rsidR="00B73C3C" w:rsidRPr="00F4553E" w:rsidRDefault="00B73C3C" w:rsidP="003E5BFD">
      <w:pPr>
        <w:kinsoku w:val="0"/>
        <w:overflowPunct w:val="0"/>
        <w:spacing w:before="120" w:after="120" w:line="288" w:lineRule="auto"/>
        <w:rPr>
          <w:rFonts w:cs="Calibri"/>
          <w:sz w:val="24"/>
          <w:szCs w:val="24"/>
        </w:rPr>
      </w:pPr>
      <w:r w:rsidRPr="00F4553E">
        <w:rPr>
          <w:rFonts w:cs="Calibri"/>
          <w:sz w:val="24"/>
          <w:szCs w:val="24"/>
        </w:rPr>
        <w:t>Austin, Texas 787711-2066</w:t>
      </w:r>
    </w:p>
    <w:p w14:paraId="43DE6D7B" w14:textId="77777777" w:rsidR="00B73C3C" w:rsidRPr="00154EC4" w:rsidRDefault="00B73C3C" w:rsidP="003E5BFD">
      <w:pPr>
        <w:kinsoku w:val="0"/>
        <w:overflowPunct w:val="0"/>
        <w:spacing w:before="120" w:after="120" w:line="288" w:lineRule="auto"/>
        <w:jc w:val="center"/>
        <w:rPr>
          <w:rFonts w:cs="Calibri"/>
        </w:rPr>
      </w:pPr>
    </w:p>
    <w:p w14:paraId="471AD5C2" w14:textId="4FD108AE" w:rsidR="00B73C3C" w:rsidRPr="00B16B0E" w:rsidRDefault="00B73C3C" w:rsidP="003E5BFD">
      <w:pPr>
        <w:kinsoku w:val="0"/>
        <w:overflowPunct w:val="0"/>
        <w:spacing w:before="120" w:after="120" w:line="288" w:lineRule="auto"/>
        <w:rPr>
          <w:rFonts w:cs="Calibri"/>
          <w:sz w:val="24"/>
          <w:szCs w:val="24"/>
        </w:rPr>
      </w:pPr>
      <w:r w:rsidRPr="00B16B0E">
        <w:rPr>
          <w:rFonts w:cs="Calibri"/>
          <w:sz w:val="24"/>
          <w:szCs w:val="24"/>
        </w:rPr>
        <w:t>With regards,</w:t>
      </w:r>
    </w:p>
    <w:p w14:paraId="423A9C40" w14:textId="77777777" w:rsidR="00B73C3C" w:rsidRPr="00154EC4" w:rsidRDefault="00B73C3C" w:rsidP="00B73C3C">
      <w:pPr>
        <w:kinsoku w:val="0"/>
        <w:overflowPunct w:val="0"/>
        <w:spacing w:before="19" w:line="260" w:lineRule="exact"/>
        <w:rPr>
          <w:rFonts w:cs="Calibri"/>
        </w:rPr>
      </w:pPr>
    </w:p>
    <w:p w14:paraId="1B43F08F" w14:textId="2146C9D0" w:rsidR="00B16B0E" w:rsidRPr="0077408F" w:rsidRDefault="00B16B0E" w:rsidP="00B16B0E">
      <w:pPr>
        <w:spacing w:line="240" w:lineRule="auto"/>
        <w:rPr>
          <w:rFonts w:cstheme="minorHAnsi"/>
          <w:sz w:val="24"/>
          <w:szCs w:val="24"/>
        </w:rPr>
      </w:pPr>
      <w:r>
        <w:rPr>
          <w:rFonts w:cs="Calibri"/>
        </w:rPr>
        <w:t>___</w:t>
      </w: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18704C4C" w14:textId="77777777" w:rsidR="00B16B0E" w:rsidRPr="0077408F" w:rsidRDefault="00B16B0E" w:rsidP="007F264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272BAD21" w14:textId="77777777" w:rsidR="00B16B0E" w:rsidRPr="00DF656B" w:rsidRDefault="00B16B0E" w:rsidP="007F264D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4B2C1E4" w14:textId="731F2554" w:rsidR="002364CB" w:rsidRPr="00DF656B" w:rsidRDefault="002364CB" w:rsidP="002440EE">
      <w:pPr>
        <w:spacing w:line="240" w:lineRule="auto"/>
      </w:pPr>
    </w:p>
    <w:sectPr w:rsidR="002364CB" w:rsidRPr="00DF656B" w:rsidSect="00EF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1509" w14:textId="77777777" w:rsidR="00511D00" w:rsidRDefault="00511D00">
      <w:pPr>
        <w:spacing w:line="240" w:lineRule="auto"/>
      </w:pPr>
      <w:r>
        <w:separator/>
      </w:r>
    </w:p>
  </w:endnote>
  <w:endnote w:type="continuationSeparator" w:id="0">
    <w:p w14:paraId="0F0DE5B4" w14:textId="77777777" w:rsidR="00511D00" w:rsidRDefault="0051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071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0716E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071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1381" w14:textId="77777777" w:rsidR="00511D00" w:rsidRDefault="00511D00">
      <w:pPr>
        <w:spacing w:line="240" w:lineRule="auto"/>
      </w:pPr>
      <w:r>
        <w:separator/>
      </w:r>
    </w:p>
  </w:footnote>
  <w:footnote w:type="continuationSeparator" w:id="0">
    <w:p w14:paraId="796A226F" w14:textId="77777777" w:rsidR="00511D00" w:rsidRDefault="00511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071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071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071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060F"/>
    <w:rsid w:val="00004E16"/>
    <w:rsid w:val="00013C37"/>
    <w:rsid w:val="00023783"/>
    <w:rsid w:val="000272B3"/>
    <w:rsid w:val="00036B52"/>
    <w:rsid w:val="0004569B"/>
    <w:rsid w:val="0006516E"/>
    <w:rsid w:val="000716E3"/>
    <w:rsid w:val="00083E9D"/>
    <w:rsid w:val="00095383"/>
    <w:rsid w:val="000B6874"/>
    <w:rsid w:val="000D259E"/>
    <w:rsid w:val="000E3F1A"/>
    <w:rsid w:val="000E4820"/>
    <w:rsid w:val="000F6EE9"/>
    <w:rsid w:val="001210A1"/>
    <w:rsid w:val="00143C17"/>
    <w:rsid w:val="00151864"/>
    <w:rsid w:val="00151BD3"/>
    <w:rsid w:val="00153F26"/>
    <w:rsid w:val="00166283"/>
    <w:rsid w:val="00183F05"/>
    <w:rsid w:val="001C12C8"/>
    <w:rsid w:val="001E057C"/>
    <w:rsid w:val="00212A63"/>
    <w:rsid w:val="002141B8"/>
    <w:rsid w:val="002354C7"/>
    <w:rsid w:val="002364CB"/>
    <w:rsid w:val="002438FD"/>
    <w:rsid w:val="002440EE"/>
    <w:rsid w:val="002466F9"/>
    <w:rsid w:val="00246E39"/>
    <w:rsid w:val="002804CC"/>
    <w:rsid w:val="00286393"/>
    <w:rsid w:val="002900B8"/>
    <w:rsid w:val="00292057"/>
    <w:rsid w:val="00295F50"/>
    <w:rsid w:val="002A7ABB"/>
    <w:rsid w:val="002C73AF"/>
    <w:rsid w:val="002D46D9"/>
    <w:rsid w:val="002E2BD4"/>
    <w:rsid w:val="00321239"/>
    <w:rsid w:val="00322354"/>
    <w:rsid w:val="00325E18"/>
    <w:rsid w:val="00330EAA"/>
    <w:rsid w:val="0035517C"/>
    <w:rsid w:val="003A4CBE"/>
    <w:rsid w:val="003D3CAD"/>
    <w:rsid w:val="003E5BFD"/>
    <w:rsid w:val="004129C5"/>
    <w:rsid w:val="00434134"/>
    <w:rsid w:val="0045481E"/>
    <w:rsid w:val="0045545E"/>
    <w:rsid w:val="0046578E"/>
    <w:rsid w:val="00466A3C"/>
    <w:rsid w:val="0047398E"/>
    <w:rsid w:val="00487DE6"/>
    <w:rsid w:val="00497C18"/>
    <w:rsid w:val="004D411D"/>
    <w:rsid w:val="00511D00"/>
    <w:rsid w:val="00576956"/>
    <w:rsid w:val="005D3922"/>
    <w:rsid w:val="005E585D"/>
    <w:rsid w:val="005F6752"/>
    <w:rsid w:val="00603F2A"/>
    <w:rsid w:val="00604DE8"/>
    <w:rsid w:val="00661CD1"/>
    <w:rsid w:val="0068410B"/>
    <w:rsid w:val="00690B38"/>
    <w:rsid w:val="006A6989"/>
    <w:rsid w:val="006C3C79"/>
    <w:rsid w:val="006F0B1A"/>
    <w:rsid w:val="007033B4"/>
    <w:rsid w:val="00705DEA"/>
    <w:rsid w:val="00707C2E"/>
    <w:rsid w:val="00723ADD"/>
    <w:rsid w:val="007334A1"/>
    <w:rsid w:val="00733586"/>
    <w:rsid w:val="007348BA"/>
    <w:rsid w:val="007503D9"/>
    <w:rsid w:val="007642DA"/>
    <w:rsid w:val="0077408F"/>
    <w:rsid w:val="00780F1A"/>
    <w:rsid w:val="007C727D"/>
    <w:rsid w:val="007F264D"/>
    <w:rsid w:val="00811BE2"/>
    <w:rsid w:val="00813AAF"/>
    <w:rsid w:val="00820103"/>
    <w:rsid w:val="00824345"/>
    <w:rsid w:val="00835991"/>
    <w:rsid w:val="00846FCE"/>
    <w:rsid w:val="00893B9E"/>
    <w:rsid w:val="008A35A9"/>
    <w:rsid w:val="008B35EE"/>
    <w:rsid w:val="008C0D32"/>
    <w:rsid w:val="008E1A7B"/>
    <w:rsid w:val="008F6730"/>
    <w:rsid w:val="00912D47"/>
    <w:rsid w:val="009314FD"/>
    <w:rsid w:val="009715D2"/>
    <w:rsid w:val="00995C97"/>
    <w:rsid w:val="009A3279"/>
    <w:rsid w:val="009F786F"/>
    <w:rsid w:val="00A42D54"/>
    <w:rsid w:val="00A8575B"/>
    <w:rsid w:val="00AB139F"/>
    <w:rsid w:val="00AD16F0"/>
    <w:rsid w:val="00AE1835"/>
    <w:rsid w:val="00AF5441"/>
    <w:rsid w:val="00B0373F"/>
    <w:rsid w:val="00B049D4"/>
    <w:rsid w:val="00B127C8"/>
    <w:rsid w:val="00B16B0E"/>
    <w:rsid w:val="00B241F3"/>
    <w:rsid w:val="00B71AC7"/>
    <w:rsid w:val="00B73C3C"/>
    <w:rsid w:val="00B94944"/>
    <w:rsid w:val="00BC36DF"/>
    <w:rsid w:val="00BC3E01"/>
    <w:rsid w:val="00BE04C4"/>
    <w:rsid w:val="00C01CDA"/>
    <w:rsid w:val="00C07B91"/>
    <w:rsid w:val="00C94849"/>
    <w:rsid w:val="00C95741"/>
    <w:rsid w:val="00CE0B2F"/>
    <w:rsid w:val="00D16D8D"/>
    <w:rsid w:val="00D20ADD"/>
    <w:rsid w:val="00D2172E"/>
    <w:rsid w:val="00D360D2"/>
    <w:rsid w:val="00D76362"/>
    <w:rsid w:val="00DB0B49"/>
    <w:rsid w:val="00DC34B3"/>
    <w:rsid w:val="00DD7D74"/>
    <w:rsid w:val="00DF51C9"/>
    <w:rsid w:val="00DF656B"/>
    <w:rsid w:val="00E46EE6"/>
    <w:rsid w:val="00E713A3"/>
    <w:rsid w:val="00E75DB3"/>
    <w:rsid w:val="00E75F31"/>
    <w:rsid w:val="00E81B38"/>
    <w:rsid w:val="00EA1105"/>
    <w:rsid w:val="00EB6166"/>
    <w:rsid w:val="00EF304D"/>
    <w:rsid w:val="00EF5226"/>
    <w:rsid w:val="00F006AA"/>
    <w:rsid w:val="00F4553E"/>
    <w:rsid w:val="00F66C9E"/>
    <w:rsid w:val="00F81E77"/>
    <w:rsid w:val="00F961AF"/>
    <w:rsid w:val="00FA4245"/>
    <w:rsid w:val="00FB21D5"/>
    <w:rsid w:val="00FB5008"/>
    <w:rsid w:val="00FE0E50"/>
    <w:rsid w:val="00FF2E2F"/>
    <w:rsid w:val="00FF30B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5D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sl.texas.gov/slrm/localreten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2021-05-03T20:04:00Z</dcterms:created>
  <dcterms:modified xsi:type="dcterms:W3CDTF">2021-05-03T20:04:00Z</dcterms:modified>
</cp:coreProperties>
</file>