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DD23" w14:textId="77777777" w:rsidR="00797557" w:rsidRPr="00797557" w:rsidRDefault="00797557" w:rsidP="00797557">
      <w:pPr>
        <w:jc w:val="center"/>
        <w:rPr>
          <w:sz w:val="28"/>
          <w:szCs w:val="28"/>
        </w:rPr>
      </w:pPr>
      <w:r w:rsidRPr="00797557">
        <w:rPr>
          <w:sz w:val="28"/>
          <w:szCs w:val="28"/>
        </w:rPr>
        <w:t>Effective: May 1, 2022</w:t>
      </w:r>
    </w:p>
    <w:p w14:paraId="5F20550A" w14:textId="77777777" w:rsidR="00797557" w:rsidRPr="00797557" w:rsidRDefault="00797557" w:rsidP="00797557">
      <w:pPr>
        <w:jc w:val="center"/>
        <w:rPr>
          <w:sz w:val="28"/>
          <w:szCs w:val="28"/>
        </w:rPr>
      </w:pPr>
      <w:r w:rsidRPr="00797557">
        <w:rPr>
          <w:sz w:val="28"/>
          <w:szCs w:val="28"/>
        </w:rPr>
        <w:t>TX Rules of Civil Procedure, Rule 679b</w:t>
      </w:r>
    </w:p>
    <w:p w14:paraId="766B4BDA" w14:textId="77777777" w:rsidR="00797557" w:rsidRPr="00797557" w:rsidRDefault="00797557" w:rsidP="00797557">
      <w:pPr>
        <w:rPr>
          <w:sz w:val="28"/>
          <w:szCs w:val="28"/>
        </w:rPr>
      </w:pPr>
      <w:r w:rsidRPr="00797557">
        <w:rPr>
          <w:b/>
          <w:bCs/>
          <w:sz w:val="28"/>
          <w:szCs w:val="28"/>
        </w:rPr>
        <w:t>Rule 679b. Personal Property Exemptions in Post-Judgment Proceedings</w:t>
      </w:r>
    </w:p>
    <w:p w14:paraId="6747C1A9" w14:textId="77777777" w:rsidR="00797557" w:rsidRPr="00797557" w:rsidRDefault="00797557" w:rsidP="00797557">
      <w:pPr>
        <w:rPr>
          <w:sz w:val="28"/>
          <w:szCs w:val="28"/>
        </w:rPr>
      </w:pPr>
      <w:r w:rsidRPr="00797557">
        <w:rPr>
          <w:sz w:val="28"/>
          <w:szCs w:val="28"/>
        </w:rPr>
        <w:t xml:space="preserve">(a) </w:t>
      </w:r>
      <w:r w:rsidRPr="00797557">
        <w:rPr>
          <w:i/>
          <w:iCs/>
          <w:sz w:val="28"/>
          <w:szCs w:val="28"/>
        </w:rPr>
        <w:t>Exemption Notice.</w:t>
      </w:r>
    </w:p>
    <w:p w14:paraId="46DD56BF" w14:textId="4C9DC633" w:rsidR="00797557" w:rsidRPr="00797557" w:rsidRDefault="00797557" w:rsidP="00797557">
      <w:pPr>
        <w:ind w:left="720"/>
        <w:rPr>
          <w:sz w:val="28"/>
          <w:szCs w:val="28"/>
        </w:rPr>
      </w:pPr>
      <w:r w:rsidRPr="00797557">
        <w:rPr>
          <w:sz w:val="28"/>
          <w:szCs w:val="28"/>
        </w:rPr>
        <w:t xml:space="preserve">(1) </w:t>
      </w:r>
      <w:r w:rsidRPr="00797557">
        <w:rPr>
          <w:i/>
          <w:iCs/>
          <w:sz w:val="28"/>
          <w:szCs w:val="28"/>
        </w:rPr>
        <w:t>Notice Required.</w:t>
      </w:r>
      <w:r w:rsidRPr="00797557">
        <w:rPr>
          <w:sz w:val="28"/>
          <w:szCs w:val="28"/>
        </w:rPr>
        <w:t xml:space="preserve"> If a post-judgment turnover order, order appointing a receiver under </w:t>
      </w:r>
      <w:r w:rsidRPr="00A5465C">
        <w:rPr>
          <w:sz w:val="28"/>
          <w:szCs w:val="28"/>
        </w:rPr>
        <w:t>section 31.002 of the Civil Practice and Remedies Code</w:t>
      </w:r>
      <w:r w:rsidRPr="00797557">
        <w:rPr>
          <w:sz w:val="28"/>
          <w:szCs w:val="28"/>
        </w:rPr>
        <w:t>, writ of garnishment, writ of execution, or other post-judgment order results in the freeze or seizure of personal property of an individual judgment debtor, the receiver or judgment creditor must serve the judgment debtor with the Notice of Protected Property Rights, the Instructions for Protected Property Claim Form, and the Protected Property Claim Form approved by the Supreme Court. Before service, the receiver or judgment creditor must fill in the case style and list the “Interested Persons to Notify” in the Protected Property Claim Form.</w:t>
      </w:r>
    </w:p>
    <w:p w14:paraId="3455BBDF" w14:textId="77777777" w:rsidR="00797557" w:rsidRPr="00797557" w:rsidRDefault="00797557" w:rsidP="00797557">
      <w:pPr>
        <w:ind w:left="720"/>
        <w:rPr>
          <w:sz w:val="28"/>
          <w:szCs w:val="28"/>
        </w:rPr>
      </w:pPr>
      <w:r w:rsidRPr="00797557">
        <w:rPr>
          <w:sz w:val="28"/>
          <w:szCs w:val="28"/>
        </w:rPr>
        <w:t xml:space="preserve">(2) </w:t>
      </w:r>
      <w:r w:rsidRPr="00797557">
        <w:rPr>
          <w:i/>
          <w:iCs/>
          <w:sz w:val="28"/>
          <w:szCs w:val="28"/>
        </w:rPr>
        <w:t>Service Timing.</w:t>
      </w:r>
      <w:r w:rsidRPr="00797557">
        <w:rPr>
          <w:sz w:val="28"/>
          <w:szCs w:val="28"/>
        </w:rPr>
        <w:t xml:space="preserve"> The receiver or judgment creditor must serve the documents in (1) within three business days after the receiver or judgment creditor has notice that the judgment debtor’s property has been frozen or seized, whichever is first.</w:t>
      </w:r>
    </w:p>
    <w:p w14:paraId="581535B9" w14:textId="57DF3FD6" w:rsidR="00797557" w:rsidRPr="00797557" w:rsidRDefault="00797557" w:rsidP="00797557">
      <w:pPr>
        <w:ind w:left="720"/>
        <w:rPr>
          <w:sz w:val="28"/>
          <w:szCs w:val="28"/>
        </w:rPr>
      </w:pPr>
      <w:r w:rsidRPr="00797557">
        <w:rPr>
          <w:sz w:val="28"/>
          <w:szCs w:val="28"/>
        </w:rPr>
        <w:t xml:space="preserve">(3) </w:t>
      </w:r>
      <w:r w:rsidRPr="00797557">
        <w:rPr>
          <w:i/>
          <w:iCs/>
          <w:sz w:val="28"/>
          <w:szCs w:val="28"/>
        </w:rPr>
        <w:t>Service Method.</w:t>
      </w:r>
      <w:r w:rsidRPr="00797557">
        <w:rPr>
          <w:sz w:val="28"/>
          <w:szCs w:val="28"/>
        </w:rPr>
        <w:t xml:space="preserve"> The documents in (1) must be served as provided in Rule21a or </w:t>
      </w:r>
      <w:r w:rsidRPr="00A5465C">
        <w:rPr>
          <w:sz w:val="28"/>
          <w:szCs w:val="28"/>
        </w:rPr>
        <w:t>Rule 501.4</w:t>
      </w:r>
      <w:r w:rsidRPr="00797557">
        <w:rPr>
          <w:sz w:val="28"/>
          <w:szCs w:val="28"/>
        </w:rPr>
        <w:t>, as applicable.</w:t>
      </w:r>
    </w:p>
    <w:p w14:paraId="40BAE0A2" w14:textId="77777777" w:rsidR="00797557" w:rsidRPr="00797557" w:rsidRDefault="00797557" w:rsidP="00797557">
      <w:pPr>
        <w:ind w:left="720"/>
        <w:rPr>
          <w:sz w:val="28"/>
          <w:szCs w:val="28"/>
        </w:rPr>
      </w:pPr>
      <w:r w:rsidRPr="00797557">
        <w:rPr>
          <w:sz w:val="28"/>
          <w:szCs w:val="28"/>
        </w:rPr>
        <w:t xml:space="preserve">(4) </w:t>
      </w:r>
      <w:r w:rsidRPr="00797557">
        <w:rPr>
          <w:i/>
          <w:iCs/>
          <w:sz w:val="28"/>
          <w:szCs w:val="28"/>
        </w:rPr>
        <w:t>Repeat Service Not Required.</w:t>
      </w:r>
      <w:r w:rsidRPr="00797557">
        <w:rPr>
          <w:sz w:val="28"/>
          <w:szCs w:val="28"/>
        </w:rPr>
        <w:t xml:space="preserve"> Nothing in this rule requires the receiver or judgment creditor to serve the judgment debtor with the documents in (1) more than once.</w:t>
      </w:r>
    </w:p>
    <w:p w14:paraId="5C488C4E" w14:textId="77777777" w:rsidR="00797557" w:rsidRPr="00797557" w:rsidRDefault="00797557" w:rsidP="00797557">
      <w:pPr>
        <w:rPr>
          <w:sz w:val="28"/>
          <w:szCs w:val="28"/>
        </w:rPr>
      </w:pPr>
      <w:r w:rsidRPr="00797557">
        <w:rPr>
          <w:sz w:val="28"/>
          <w:szCs w:val="28"/>
        </w:rPr>
        <w:t xml:space="preserve">(b) </w:t>
      </w:r>
      <w:r w:rsidRPr="00797557">
        <w:rPr>
          <w:i/>
          <w:iCs/>
          <w:sz w:val="28"/>
          <w:szCs w:val="28"/>
        </w:rPr>
        <w:t>Suspension Period.</w:t>
      </w:r>
    </w:p>
    <w:p w14:paraId="663B63ED" w14:textId="77777777" w:rsidR="00797557" w:rsidRPr="00797557" w:rsidRDefault="00797557" w:rsidP="00797557">
      <w:pPr>
        <w:ind w:left="720"/>
        <w:rPr>
          <w:sz w:val="28"/>
          <w:szCs w:val="28"/>
        </w:rPr>
      </w:pPr>
      <w:r w:rsidRPr="00797557">
        <w:rPr>
          <w:sz w:val="28"/>
          <w:szCs w:val="28"/>
        </w:rPr>
        <w:t xml:space="preserve">(1) </w:t>
      </w:r>
      <w:r w:rsidRPr="00797557">
        <w:rPr>
          <w:i/>
          <w:iCs/>
          <w:sz w:val="28"/>
          <w:szCs w:val="28"/>
        </w:rPr>
        <w:t>General Rule.</w:t>
      </w:r>
      <w:r w:rsidRPr="00797557">
        <w:rPr>
          <w:sz w:val="28"/>
          <w:szCs w:val="28"/>
        </w:rPr>
        <w:t xml:space="preserve"> A receiver or officer must not sell the judgment debtor’s personal property or distribute proceeds to the judgment creditor within 14 days after service of the documents in (a)(1), or within 17 days if service was by mail.</w:t>
      </w:r>
    </w:p>
    <w:p w14:paraId="0F7561E7" w14:textId="77777777" w:rsidR="00797557" w:rsidRPr="00797557" w:rsidRDefault="00797557" w:rsidP="00797557">
      <w:pPr>
        <w:ind w:left="720"/>
        <w:rPr>
          <w:sz w:val="28"/>
          <w:szCs w:val="28"/>
        </w:rPr>
      </w:pPr>
      <w:r w:rsidRPr="00797557">
        <w:rPr>
          <w:sz w:val="28"/>
          <w:szCs w:val="28"/>
        </w:rPr>
        <w:t xml:space="preserve">(2) </w:t>
      </w:r>
      <w:r w:rsidRPr="00797557">
        <w:rPr>
          <w:i/>
          <w:iCs/>
          <w:sz w:val="28"/>
          <w:szCs w:val="28"/>
        </w:rPr>
        <w:t>No Effect on Noticing Sale.</w:t>
      </w:r>
      <w:r w:rsidRPr="00797557">
        <w:rPr>
          <w:sz w:val="28"/>
          <w:szCs w:val="28"/>
        </w:rPr>
        <w:t xml:space="preserve"> Nothing in this rule prohibits a receiver or officer from noticing the sale of the judgment debtor’s personal property </w:t>
      </w:r>
      <w:r w:rsidRPr="00797557">
        <w:rPr>
          <w:sz w:val="28"/>
          <w:szCs w:val="28"/>
        </w:rPr>
        <w:lastRenderedPageBreak/>
        <w:t>during the suspension period if the sale date is after the suspension period’s expiration.</w:t>
      </w:r>
    </w:p>
    <w:p w14:paraId="2539967D" w14:textId="77777777" w:rsidR="00797557" w:rsidRPr="00797557" w:rsidRDefault="00797557" w:rsidP="00797557">
      <w:pPr>
        <w:rPr>
          <w:sz w:val="28"/>
          <w:szCs w:val="28"/>
        </w:rPr>
      </w:pPr>
      <w:r w:rsidRPr="00797557">
        <w:rPr>
          <w:sz w:val="28"/>
          <w:szCs w:val="28"/>
        </w:rPr>
        <w:t xml:space="preserve">(c) </w:t>
      </w:r>
      <w:r w:rsidRPr="00797557">
        <w:rPr>
          <w:i/>
          <w:iCs/>
          <w:sz w:val="28"/>
          <w:szCs w:val="28"/>
        </w:rPr>
        <w:t>Effect of Filing Protected Property Claim Form; Hearing; Exemption Determination.</w:t>
      </w:r>
    </w:p>
    <w:p w14:paraId="2D4EFC66" w14:textId="77777777" w:rsidR="00797557" w:rsidRPr="00797557" w:rsidRDefault="00797557" w:rsidP="00797557">
      <w:pPr>
        <w:ind w:left="720"/>
        <w:rPr>
          <w:sz w:val="28"/>
          <w:szCs w:val="28"/>
        </w:rPr>
      </w:pPr>
      <w:r w:rsidRPr="00797557">
        <w:rPr>
          <w:sz w:val="28"/>
          <w:szCs w:val="28"/>
        </w:rPr>
        <w:t xml:space="preserve">(1) </w:t>
      </w:r>
      <w:r w:rsidRPr="00797557">
        <w:rPr>
          <w:i/>
          <w:iCs/>
          <w:sz w:val="28"/>
          <w:szCs w:val="28"/>
        </w:rPr>
        <w:t>Hearing and Suspension Required.</w:t>
      </w:r>
      <w:r w:rsidRPr="00797557">
        <w:rPr>
          <w:sz w:val="28"/>
          <w:szCs w:val="28"/>
        </w:rPr>
        <w:t xml:space="preserve"> If the judgment debtor files a Protected Property Claim Form or another sworn document containing the same information:</w:t>
      </w:r>
    </w:p>
    <w:p w14:paraId="4A35975E" w14:textId="77777777" w:rsidR="00797557" w:rsidRPr="00797557" w:rsidRDefault="00797557" w:rsidP="00797557">
      <w:pPr>
        <w:ind w:left="1440"/>
        <w:rPr>
          <w:sz w:val="28"/>
          <w:szCs w:val="28"/>
        </w:rPr>
      </w:pPr>
      <w:r w:rsidRPr="00797557">
        <w:rPr>
          <w:sz w:val="28"/>
          <w:szCs w:val="28"/>
        </w:rPr>
        <w:t>(a) the court must hold a hearing on the exemption claim; and</w:t>
      </w:r>
    </w:p>
    <w:p w14:paraId="04FCC17A" w14:textId="77777777" w:rsidR="00797557" w:rsidRPr="00797557" w:rsidRDefault="00797557" w:rsidP="00797557">
      <w:pPr>
        <w:ind w:left="1440"/>
        <w:rPr>
          <w:sz w:val="28"/>
          <w:szCs w:val="28"/>
        </w:rPr>
      </w:pPr>
      <w:r w:rsidRPr="00797557">
        <w:rPr>
          <w:sz w:val="28"/>
          <w:szCs w:val="28"/>
        </w:rPr>
        <w:t>(b) the receiver or officer must not sell the judgment debtor’s personal property or distribute its proceeds to the judgment creditor until the court determines the judgment debtor's exemption claim.</w:t>
      </w:r>
    </w:p>
    <w:p w14:paraId="6F970E01" w14:textId="77777777" w:rsidR="00797557" w:rsidRPr="00797557" w:rsidRDefault="00797557" w:rsidP="00797557">
      <w:pPr>
        <w:ind w:left="720"/>
        <w:rPr>
          <w:sz w:val="28"/>
          <w:szCs w:val="28"/>
        </w:rPr>
      </w:pPr>
      <w:r w:rsidRPr="00797557">
        <w:rPr>
          <w:sz w:val="28"/>
          <w:szCs w:val="28"/>
        </w:rPr>
        <w:t xml:space="preserve">(2) </w:t>
      </w:r>
      <w:r w:rsidRPr="00797557">
        <w:rPr>
          <w:i/>
          <w:iCs/>
          <w:sz w:val="28"/>
          <w:szCs w:val="28"/>
        </w:rPr>
        <w:t>Hearing Notice.</w:t>
      </w:r>
      <w:r w:rsidRPr="00797557">
        <w:rPr>
          <w:sz w:val="28"/>
          <w:szCs w:val="28"/>
        </w:rPr>
        <w:t xml:space="preserve"> Each party is entitled to reasonable notice of the hearing.</w:t>
      </w:r>
    </w:p>
    <w:p w14:paraId="11012E68" w14:textId="77777777" w:rsidR="00797557" w:rsidRPr="00797557" w:rsidRDefault="00797557" w:rsidP="00797557">
      <w:pPr>
        <w:ind w:left="720"/>
        <w:rPr>
          <w:sz w:val="28"/>
          <w:szCs w:val="28"/>
        </w:rPr>
      </w:pPr>
      <w:r w:rsidRPr="00797557">
        <w:rPr>
          <w:sz w:val="28"/>
          <w:szCs w:val="28"/>
        </w:rPr>
        <w:t xml:space="preserve">(3) </w:t>
      </w:r>
      <w:r w:rsidRPr="00797557">
        <w:rPr>
          <w:i/>
          <w:iCs/>
          <w:sz w:val="28"/>
          <w:szCs w:val="28"/>
        </w:rPr>
        <w:t>Burden of Proof.</w:t>
      </w:r>
      <w:r w:rsidRPr="00797557">
        <w:rPr>
          <w:sz w:val="28"/>
          <w:szCs w:val="28"/>
        </w:rPr>
        <w:t xml:space="preserve"> At the hearing, the judgment debtor must prove the exemption claim and the value of the personal property exempt. The judgment debtor may satisfy this burden through a sworn statement if the sworn statement is not challenged. A “sworn” statement is one that is signed before a notary or made under penalty of perjury. A signed Protected Property Claim Form is a “sworn” statement.</w:t>
      </w:r>
    </w:p>
    <w:p w14:paraId="755E10F0" w14:textId="77777777" w:rsidR="00797557" w:rsidRPr="00797557" w:rsidRDefault="00797557" w:rsidP="00797557">
      <w:pPr>
        <w:ind w:left="720"/>
        <w:rPr>
          <w:sz w:val="28"/>
          <w:szCs w:val="28"/>
        </w:rPr>
      </w:pPr>
      <w:r w:rsidRPr="00797557">
        <w:rPr>
          <w:sz w:val="28"/>
          <w:szCs w:val="28"/>
        </w:rPr>
        <w:t xml:space="preserve">(4) </w:t>
      </w:r>
      <w:r w:rsidRPr="00797557">
        <w:rPr>
          <w:i/>
          <w:iCs/>
          <w:sz w:val="28"/>
          <w:szCs w:val="28"/>
        </w:rPr>
        <w:t>Time for Determining Exemption Claim.</w:t>
      </w:r>
      <w:r w:rsidRPr="00797557">
        <w:rPr>
          <w:sz w:val="28"/>
          <w:szCs w:val="28"/>
        </w:rPr>
        <w:t xml:space="preserve"> The court must determine the judgment debtor’s exemption claim within 10 days after the judgment debtor files the exemption claim. The court may extend the time for determining the exemption claim on good cause shown.</w:t>
      </w:r>
    </w:p>
    <w:p w14:paraId="34BCBA21" w14:textId="77777777" w:rsidR="00797557" w:rsidRPr="00797557" w:rsidRDefault="00797557" w:rsidP="00797557">
      <w:pPr>
        <w:ind w:left="720"/>
        <w:rPr>
          <w:sz w:val="28"/>
          <w:szCs w:val="28"/>
        </w:rPr>
      </w:pPr>
      <w:r w:rsidRPr="00797557">
        <w:rPr>
          <w:sz w:val="28"/>
          <w:szCs w:val="28"/>
        </w:rPr>
        <w:t xml:space="preserve">(5) </w:t>
      </w:r>
      <w:r w:rsidRPr="00797557">
        <w:rPr>
          <w:i/>
          <w:iCs/>
          <w:sz w:val="28"/>
          <w:szCs w:val="28"/>
        </w:rPr>
        <w:t>Release of Property.</w:t>
      </w:r>
      <w:r w:rsidRPr="00797557">
        <w:rPr>
          <w:sz w:val="28"/>
          <w:szCs w:val="28"/>
        </w:rPr>
        <w:t xml:space="preserve"> If the court determines that the judgment debtor’s personal property is exempt, the court must order its release within three business days.</w:t>
      </w:r>
    </w:p>
    <w:p w14:paraId="6C328DDD" w14:textId="77777777" w:rsidR="00DB5994" w:rsidRDefault="00DB5994"/>
    <w:sectPr w:rsidR="00DB5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57"/>
    <w:rsid w:val="00797557"/>
    <w:rsid w:val="00A5465C"/>
    <w:rsid w:val="00A92CA0"/>
    <w:rsid w:val="00D50BDA"/>
    <w:rsid w:val="00DB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430E"/>
  <w15:chartTrackingRefBased/>
  <w15:docId w15:val="{960FE482-87F3-4F25-A895-3F5554D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557"/>
    <w:rPr>
      <w:color w:val="0563C1" w:themeColor="hyperlink"/>
      <w:u w:val="single"/>
    </w:rPr>
  </w:style>
  <w:style w:type="character" w:styleId="UnresolvedMention">
    <w:name w:val="Unresolved Mention"/>
    <w:basedOn w:val="DefaultParagraphFont"/>
    <w:uiPriority w:val="99"/>
    <w:semiHidden/>
    <w:unhideWhenUsed/>
    <w:rsid w:val="0079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7819">
      <w:bodyDiv w:val="1"/>
      <w:marLeft w:val="0"/>
      <w:marRight w:val="0"/>
      <w:marTop w:val="0"/>
      <w:marBottom w:val="0"/>
      <w:divBdr>
        <w:top w:val="none" w:sz="0" w:space="0" w:color="auto"/>
        <w:left w:val="none" w:sz="0" w:space="0" w:color="auto"/>
        <w:bottom w:val="none" w:sz="0" w:space="0" w:color="auto"/>
        <w:right w:val="none" w:sz="0" w:space="0" w:color="auto"/>
      </w:divBdr>
      <w:divsChild>
        <w:div w:id="913047603">
          <w:marLeft w:val="0"/>
          <w:marRight w:val="0"/>
          <w:marTop w:val="0"/>
          <w:marBottom w:val="0"/>
          <w:divBdr>
            <w:top w:val="none" w:sz="0" w:space="0" w:color="auto"/>
            <w:left w:val="none" w:sz="0" w:space="0" w:color="auto"/>
            <w:bottom w:val="none" w:sz="0" w:space="0" w:color="auto"/>
            <w:right w:val="none" w:sz="0" w:space="0" w:color="auto"/>
          </w:divBdr>
          <w:divsChild>
            <w:div w:id="515735015">
              <w:marLeft w:val="0"/>
              <w:marRight w:val="0"/>
              <w:marTop w:val="0"/>
              <w:marBottom w:val="0"/>
              <w:divBdr>
                <w:top w:val="none" w:sz="0" w:space="0" w:color="auto"/>
                <w:left w:val="none" w:sz="0" w:space="0" w:color="auto"/>
                <w:bottom w:val="none" w:sz="0" w:space="0" w:color="auto"/>
                <w:right w:val="none" w:sz="0" w:space="0" w:color="auto"/>
              </w:divBdr>
            </w:div>
            <w:div w:id="896362202">
              <w:marLeft w:val="0"/>
              <w:marRight w:val="0"/>
              <w:marTop w:val="0"/>
              <w:marBottom w:val="0"/>
              <w:divBdr>
                <w:top w:val="none" w:sz="0" w:space="0" w:color="auto"/>
                <w:left w:val="none" w:sz="0" w:space="0" w:color="auto"/>
                <w:bottom w:val="none" w:sz="0" w:space="0" w:color="auto"/>
                <w:right w:val="none" w:sz="0" w:space="0" w:color="auto"/>
              </w:divBdr>
            </w:div>
            <w:div w:id="822354818">
              <w:marLeft w:val="0"/>
              <w:marRight w:val="0"/>
              <w:marTop w:val="0"/>
              <w:marBottom w:val="0"/>
              <w:divBdr>
                <w:top w:val="none" w:sz="0" w:space="0" w:color="auto"/>
                <w:left w:val="none" w:sz="0" w:space="0" w:color="auto"/>
                <w:bottom w:val="none" w:sz="0" w:space="0" w:color="auto"/>
                <w:right w:val="none" w:sz="0" w:space="0" w:color="auto"/>
              </w:divBdr>
              <w:divsChild>
                <w:div w:id="1597976083">
                  <w:marLeft w:val="0"/>
                  <w:marRight w:val="0"/>
                  <w:marTop w:val="0"/>
                  <w:marBottom w:val="0"/>
                  <w:divBdr>
                    <w:top w:val="none" w:sz="0" w:space="0" w:color="auto"/>
                    <w:left w:val="none" w:sz="0" w:space="0" w:color="auto"/>
                    <w:bottom w:val="none" w:sz="0" w:space="0" w:color="auto"/>
                    <w:right w:val="none" w:sz="0" w:space="0" w:color="auto"/>
                  </w:divBdr>
                </w:div>
              </w:divsChild>
            </w:div>
            <w:div w:id="1044521414">
              <w:marLeft w:val="0"/>
              <w:marRight w:val="0"/>
              <w:marTop w:val="0"/>
              <w:marBottom w:val="0"/>
              <w:divBdr>
                <w:top w:val="none" w:sz="0" w:space="0" w:color="auto"/>
                <w:left w:val="none" w:sz="0" w:space="0" w:color="auto"/>
                <w:bottom w:val="none" w:sz="0" w:space="0" w:color="auto"/>
                <w:right w:val="none" w:sz="0" w:space="0" w:color="auto"/>
              </w:divBdr>
            </w:div>
          </w:divsChild>
        </w:div>
        <w:div w:id="86849977">
          <w:marLeft w:val="0"/>
          <w:marRight w:val="0"/>
          <w:marTop w:val="0"/>
          <w:marBottom w:val="0"/>
          <w:divBdr>
            <w:top w:val="none" w:sz="0" w:space="0" w:color="auto"/>
            <w:left w:val="none" w:sz="0" w:space="0" w:color="auto"/>
            <w:bottom w:val="none" w:sz="0" w:space="0" w:color="auto"/>
            <w:right w:val="none" w:sz="0" w:space="0" w:color="auto"/>
          </w:divBdr>
          <w:divsChild>
            <w:div w:id="1561135091">
              <w:marLeft w:val="0"/>
              <w:marRight w:val="0"/>
              <w:marTop w:val="0"/>
              <w:marBottom w:val="0"/>
              <w:divBdr>
                <w:top w:val="none" w:sz="0" w:space="0" w:color="auto"/>
                <w:left w:val="none" w:sz="0" w:space="0" w:color="auto"/>
                <w:bottom w:val="none" w:sz="0" w:space="0" w:color="auto"/>
                <w:right w:val="none" w:sz="0" w:space="0" w:color="auto"/>
              </w:divBdr>
              <w:divsChild>
                <w:div w:id="1522813260">
                  <w:marLeft w:val="0"/>
                  <w:marRight w:val="0"/>
                  <w:marTop w:val="0"/>
                  <w:marBottom w:val="0"/>
                  <w:divBdr>
                    <w:top w:val="none" w:sz="0" w:space="0" w:color="auto"/>
                    <w:left w:val="none" w:sz="0" w:space="0" w:color="auto"/>
                    <w:bottom w:val="none" w:sz="0" w:space="0" w:color="auto"/>
                    <w:right w:val="none" w:sz="0" w:space="0" w:color="auto"/>
                  </w:divBdr>
                  <w:divsChild>
                    <w:div w:id="2092892862">
                      <w:marLeft w:val="0"/>
                      <w:marRight w:val="0"/>
                      <w:marTop w:val="0"/>
                      <w:marBottom w:val="0"/>
                      <w:divBdr>
                        <w:top w:val="none" w:sz="0" w:space="0" w:color="auto"/>
                        <w:left w:val="none" w:sz="0" w:space="0" w:color="auto"/>
                        <w:bottom w:val="none" w:sz="0" w:space="0" w:color="auto"/>
                        <w:right w:val="none" w:sz="0" w:space="0" w:color="auto"/>
                      </w:divBdr>
                      <w:divsChild>
                        <w:div w:id="482158735">
                          <w:marLeft w:val="0"/>
                          <w:marRight w:val="0"/>
                          <w:marTop w:val="0"/>
                          <w:marBottom w:val="0"/>
                          <w:divBdr>
                            <w:top w:val="none" w:sz="0" w:space="0" w:color="auto"/>
                            <w:left w:val="none" w:sz="0" w:space="0" w:color="auto"/>
                            <w:bottom w:val="none" w:sz="0" w:space="0" w:color="auto"/>
                            <w:right w:val="none" w:sz="0" w:space="0" w:color="auto"/>
                          </w:divBdr>
                        </w:div>
                      </w:divsChild>
                    </w:div>
                    <w:div w:id="1773817885">
                      <w:marLeft w:val="0"/>
                      <w:marRight w:val="0"/>
                      <w:marTop w:val="0"/>
                      <w:marBottom w:val="0"/>
                      <w:divBdr>
                        <w:top w:val="none" w:sz="0" w:space="0" w:color="auto"/>
                        <w:left w:val="none" w:sz="0" w:space="0" w:color="auto"/>
                        <w:bottom w:val="none" w:sz="0" w:space="0" w:color="auto"/>
                        <w:right w:val="none" w:sz="0" w:space="0" w:color="auto"/>
                      </w:divBdr>
                      <w:divsChild>
                        <w:div w:id="1303346681">
                          <w:marLeft w:val="0"/>
                          <w:marRight w:val="0"/>
                          <w:marTop w:val="0"/>
                          <w:marBottom w:val="0"/>
                          <w:divBdr>
                            <w:top w:val="none" w:sz="0" w:space="0" w:color="auto"/>
                            <w:left w:val="none" w:sz="0" w:space="0" w:color="auto"/>
                            <w:bottom w:val="none" w:sz="0" w:space="0" w:color="auto"/>
                            <w:right w:val="none" w:sz="0" w:space="0" w:color="auto"/>
                          </w:divBdr>
                          <w:divsChild>
                            <w:div w:id="866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2089">
                      <w:marLeft w:val="0"/>
                      <w:marRight w:val="0"/>
                      <w:marTop w:val="0"/>
                      <w:marBottom w:val="0"/>
                      <w:divBdr>
                        <w:top w:val="none" w:sz="0" w:space="0" w:color="auto"/>
                        <w:left w:val="none" w:sz="0" w:space="0" w:color="auto"/>
                        <w:bottom w:val="none" w:sz="0" w:space="0" w:color="auto"/>
                        <w:right w:val="none" w:sz="0" w:space="0" w:color="auto"/>
                      </w:divBdr>
                      <w:divsChild>
                        <w:div w:id="1453674278">
                          <w:marLeft w:val="0"/>
                          <w:marRight w:val="0"/>
                          <w:marTop w:val="0"/>
                          <w:marBottom w:val="0"/>
                          <w:divBdr>
                            <w:top w:val="none" w:sz="0" w:space="0" w:color="auto"/>
                            <w:left w:val="none" w:sz="0" w:space="0" w:color="auto"/>
                            <w:bottom w:val="none" w:sz="0" w:space="0" w:color="auto"/>
                            <w:right w:val="none" w:sz="0" w:space="0" w:color="auto"/>
                          </w:divBdr>
                          <w:divsChild>
                            <w:div w:id="20142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841">
                      <w:marLeft w:val="0"/>
                      <w:marRight w:val="0"/>
                      <w:marTop w:val="0"/>
                      <w:marBottom w:val="0"/>
                      <w:divBdr>
                        <w:top w:val="none" w:sz="0" w:space="0" w:color="auto"/>
                        <w:left w:val="none" w:sz="0" w:space="0" w:color="auto"/>
                        <w:bottom w:val="none" w:sz="0" w:space="0" w:color="auto"/>
                        <w:right w:val="none" w:sz="0" w:space="0" w:color="auto"/>
                      </w:divBdr>
                      <w:divsChild>
                        <w:div w:id="70003460">
                          <w:marLeft w:val="0"/>
                          <w:marRight w:val="0"/>
                          <w:marTop w:val="0"/>
                          <w:marBottom w:val="0"/>
                          <w:divBdr>
                            <w:top w:val="none" w:sz="0" w:space="0" w:color="auto"/>
                            <w:left w:val="none" w:sz="0" w:space="0" w:color="auto"/>
                            <w:bottom w:val="none" w:sz="0" w:space="0" w:color="auto"/>
                            <w:right w:val="none" w:sz="0" w:space="0" w:color="auto"/>
                          </w:divBdr>
                          <w:divsChild>
                            <w:div w:id="2962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6655">
                      <w:marLeft w:val="0"/>
                      <w:marRight w:val="0"/>
                      <w:marTop w:val="0"/>
                      <w:marBottom w:val="0"/>
                      <w:divBdr>
                        <w:top w:val="none" w:sz="0" w:space="0" w:color="auto"/>
                        <w:left w:val="none" w:sz="0" w:space="0" w:color="auto"/>
                        <w:bottom w:val="none" w:sz="0" w:space="0" w:color="auto"/>
                        <w:right w:val="none" w:sz="0" w:space="0" w:color="auto"/>
                      </w:divBdr>
                      <w:divsChild>
                        <w:div w:id="1871868577">
                          <w:marLeft w:val="0"/>
                          <w:marRight w:val="0"/>
                          <w:marTop w:val="0"/>
                          <w:marBottom w:val="0"/>
                          <w:divBdr>
                            <w:top w:val="none" w:sz="0" w:space="0" w:color="auto"/>
                            <w:left w:val="none" w:sz="0" w:space="0" w:color="auto"/>
                            <w:bottom w:val="none" w:sz="0" w:space="0" w:color="auto"/>
                            <w:right w:val="none" w:sz="0" w:space="0" w:color="auto"/>
                          </w:divBdr>
                          <w:divsChild>
                            <w:div w:id="2055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80446">
                  <w:marLeft w:val="0"/>
                  <w:marRight w:val="0"/>
                  <w:marTop w:val="0"/>
                  <w:marBottom w:val="0"/>
                  <w:divBdr>
                    <w:top w:val="none" w:sz="0" w:space="0" w:color="auto"/>
                    <w:left w:val="none" w:sz="0" w:space="0" w:color="auto"/>
                    <w:bottom w:val="none" w:sz="0" w:space="0" w:color="auto"/>
                    <w:right w:val="none" w:sz="0" w:space="0" w:color="auto"/>
                  </w:divBdr>
                  <w:divsChild>
                    <w:div w:id="1541742321">
                      <w:marLeft w:val="0"/>
                      <w:marRight w:val="0"/>
                      <w:marTop w:val="0"/>
                      <w:marBottom w:val="0"/>
                      <w:divBdr>
                        <w:top w:val="none" w:sz="0" w:space="0" w:color="auto"/>
                        <w:left w:val="none" w:sz="0" w:space="0" w:color="auto"/>
                        <w:bottom w:val="none" w:sz="0" w:space="0" w:color="auto"/>
                        <w:right w:val="none" w:sz="0" w:space="0" w:color="auto"/>
                      </w:divBdr>
                      <w:divsChild>
                        <w:div w:id="161434024">
                          <w:marLeft w:val="0"/>
                          <w:marRight w:val="0"/>
                          <w:marTop w:val="0"/>
                          <w:marBottom w:val="0"/>
                          <w:divBdr>
                            <w:top w:val="none" w:sz="0" w:space="0" w:color="auto"/>
                            <w:left w:val="none" w:sz="0" w:space="0" w:color="auto"/>
                            <w:bottom w:val="none" w:sz="0" w:space="0" w:color="auto"/>
                            <w:right w:val="none" w:sz="0" w:space="0" w:color="auto"/>
                          </w:divBdr>
                        </w:div>
                      </w:divsChild>
                    </w:div>
                    <w:div w:id="2033534494">
                      <w:marLeft w:val="0"/>
                      <w:marRight w:val="0"/>
                      <w:marTop w:val="0"/>
                      <w:marBottom w:val="0"/>
                      <w:divBdr>
                        <w:top w:val="none" w:sz="0" w:space="0" w:color="auto"/>
                        <w:left w:val="none" w:sz="0" w:space="0" w:color="auto"/>
                        <w:bottom w:val="none" w:sz="0" w:space="0" w:color="auto"/>
                        <w:right w:val="none" w:sz="0" w:space="0" w:color="auto"/>
                      </w:divBdr>
                      <w:divsChild>
                        <w:div w:id="716508387">
                          <w:marLeft w:val="0"/>
                          <w:marRight w:val="0"/>
                          <w:marTop w:val="0"/>
                          <w:marBottom w:val="0"/>
                          <w:divBdr>
                            <w:top w:val="none" w:sz="0" w:space="0" w:color="auto"/>
                            <w:left w:val="none" w:sz="0" w:space="0" w:color="auto"/>
                            <w:bottom w:val="none" w:sz="0" w:space="0" w:color="auto"/>
                            <w:right w:val="none" w:sz="0" w:space="0" w:color="auto"/>
                          </w:divBdr>
                          <w:divsChild>
                            <w:div w:id="1321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977807774">
                          <w:marLeft w:val="0"/>
                          <w:marRight w:val="0"/>
                          <w:marTop w:val="0"/>
                          <w:marBottom w:val="0"/>
                          <w:divBdr>
                            <w:top w:val="none" w:sz="0" w:space="0" w:color="auto"/>
                            <w:left w:val="none" w:sz="0" w:space="0" w:color="auto"/>
                            <w:bottom w:val="none" w:sz="0" w:space="0" w:color="auto"/>
                            <w:right w:val="none" w:sz="0" w:space="0" w:color="auto"/>
                          </w:divBdr>
                          <w:divsChild>
                            <w:div w:id="265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5974">
                  <w:marLeft w:val="0"/>
                  <w:marRight w:val="0"/>
                  <w:marTop w:val="0"/>
                  <w:marBottom w:val="0"/>
                  <w:divBdr>
                    <w:top w:val="none" w:sz="0" w:space="0" w:color="auto"/>
                    <w:left w:val="none" w:sz="0" w:space="0" w:color="auto"/>
                    <w:bottom w:val="none" w:sz="0" w:space="0" w:color="auto"/>
                    <w:right w:val="none" w:sz="0" w:space="0" w:color="auto"/>
                  </w:divBdr>
                  <w:divsChild>
                    <w:div w:id="1923875318">
                      <w:marLeft w:val="0"/>
                      <w:marRight w:val="0"/>
                      <w:marTop w:val="0"/>
                      <w:marBottom w:val="0"/>
                      <w:divBdr>
                        <w:top w:val="none" w:sz="0" w:space="0" w:color="auto"/>
                        <w:left w:val="none" w:sz="0" w:space="0" w:color="auto"/>
                        <w:bottom w:val="none" w:sz="0" w:space="0" w:color="auto"/>
                        <w:right w:val="none" w:sz="0" w:space="0" w:color="auto"/>
                      </w:divBdr>
                      <w:divsChild>
                        <w:div w:id="2114473068">
                          <w:marLeft w:val="0"/>
                          <w:marRight w:val="0"/>
                          <w:marTop w:val="0"/>
                          <w:marBottom w:val="0"/>
                          <w:divBdr>
                            <w:top w:val="none" w:sz="0" w:space="0" w:color="auto"/>
                            <w:left w:val="none" w:sz="0" w:space="0" w:color="auto"/>
                            <w:bottom w:val="none" w:sz="0" w:space="0" w:color="auto"/>
                            <w:right w:val="none" w:sz="0" w:space="0" w:color="auto"/>
                          </w:divBdr>
                        </w:div>
                      </w:divsChild>
                    </w:div>
                    <w:div w:id="705184122">
                      <w:marLeft w:val="0"/>
                      <w:marRight w:val="0"/>
                      <w:marTop w:val="0"/>
                      <w:marBottom w:val="0"/>
                      <w:divBdr>
                        <w:top w:val="none" w:sz="0" w:space="0" w:color="auto"/>
                        <w:left w:val="none" w:sz="0" w:space="0" w:color="auto"/>
                        <w:bottom w:val="none" w:sz="0" w:space="0" w:color="auto"/>
                        <w:right w:val="none" w:sz="0" w:space="0" w:color="auto"/>
                      </w:divBdr>
                      <w:divsChild>
                        <w:div w:id="2014216156">
                          <w:marLeft w:val="0"/>
                          <w:marRight w:val="0"/>
                          <w:marTop w:val="0"/>
                          <w:marBottom w:val="0"/>
                          <w:divBdr>
                            <w:top w:val="none" w:sz="0" w:space="0" w:color="auto"/>
                            <w:left w:val="none" w:sz="0" w:space="0" w:color="auto"/>
                            <w:bottom w:val="none" w:sz="0" w:space="0" w:color="auto"/>
                            <w:right w:val="none" w:sz="0" w:space="0" w:color="auto"/>
                          </w:divBdr>
                          <w:divsChild>
                            <w:div w:id="1132558060">
                              <w:marLeft w:val="0"/>
                              <w:marRight w:val="0"/>
                              <w:marTop w:val="0"/>
                              <w:marBottom w:val="0"/>
                              <w:divBdr>
                                <w:top w:val="none" w:sz="0" w:space="0" w:color="auto"/>
                                <w:left w:val="none" w:sz="0" w:space="0" w:color="auto"/>
                                <w:bottom w:val="none" w:sz="0" w:space="0" w:color="auto"/>
                                <w:right w:val="none" w:sz="0" w:space="0" w:color="auto"/>
                              </w:divBdr>
                            </w:div>
                          </w:divsChild>
                        </w:div>
                        <w:div w:id="1152137428">
                          <w:marLeft w:val="0"/>
                          <w:marRight w:val="0"/>
                          <w:marTop w:val="0"/>
                          <w:marBottom w:val="0"/>
                          <w:divBdr>
                            <w:top w:val="none" w:sz="0" w:space="0" w:color="auto"/>
                            <w:left w:val="none" w:sz="0" w:space="0" w:color="auto"/>
                            <w:bottom w:val="none" w:sz="0" w:space="0" w:color="auto"/>
                            <w:right w:val="none" w:sz="0" w:space="0" w:color="auto"/>
                          </w:divBdr>
                          <w:divsChild>
                            <w:div w:id="492067795">
                              <w:marLeft w:val="0"/>
                              <w:marRight w:val="0"/>
                              <w:marTop w:val="0"/>
                              <w:marBottom w:val="0"/>
                              <w:divBdr>
                                <w:top w:val="none" w:sz="0" w:space="0" w:color="auto"/>
                                <w:left w:val="none" w:sz="0" w:space="0" w:color="auto"/>
                                <w:bottom w:val="none" w:sz="0" w:space="0" w:color="auto"/>
                                <w:right w:val="none" w:sz="0" w:space="0" w:color="auto"/>
                              </w:divBdr>
                              <w:divsChild>
                                <w:div w:id="11363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5010">
                          <w:marLeft w:val="0"/>
                          <w:marRight w:val="0"/>
                          <w:marTop w:val="0"/>
                          <w:marBottom w:val="0"/>
                          <w:divBdr>
                            <w:top w:val="none" w:sz="0" w:space="0" w:color="auto"/>
                            <w:left w:val="none" w:sz="0" w:space="0" w:color="auto"/>
                            <w:bottom w:val="none" w:sz="0" w:space="0" w:color="auto"/>
                            <w:right w:val="none" w:sz="0" w:space="0" w:color="auto"/>
                          </w:divBdr>
                          <w:divsChild>
                            <w:div w:id="883249919">
                              <w:marLeft w:val="0"/>
                              <w:marRight w:val="0"/>
                              <w:marTop w:val="0"/>
                              <w:marBottom w:val="0"/>
                              <w:divBdr>
                                <w:top w:val="none" w:sz="0" w:space="0" w:color="auto"/>
                                <w:left w:val="none" w:sz="0" w:space="0" w:color="auto"/>
                                <w:bottom w:val="none" w:sz="0" w:space="0" w:color="auto"/>
                                <w:right w:val="none" w:sz="0" w:space="0" w:color="auto"/>
                              </w:divBdr>
                              <w:divsChild>
                                <w:div w:id="1022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7662">
                      <w:marLeft w:val="0"/>
                      <w:marRight w:val="0"/>
                      <w:marTop w:val="0"/>
                      <w:marBottom w:val="0"/>
                      <w:divBdr>
                        <w:top w:val="none" w:sz="0" w:space="0" w:color="auto"/>
                        <w:left w:val="none" w:sz="0" w:space="0" w:color="auto"/>
                        <w:bottom w:val="none" w:sz="0" w:space="0" w:color="auto"/>
                        <w:right w:val="none" w:sz="0" w:space="0" w:color="auto"/>
                      </w:divBdr>
                      <w:divsChild>
                        <w:div w:id="259417460">
                          <w:marLeft w:val="0"/>
                          <w:marRight w:val="0"/>
                          <w:marTop w:val="0"/>
                          <w:marBottom w:val="0"/>
                          <w:divBdr>
                            <w:top w:val="none" w:sz="0" w:space="0" w:color="auto"/>
                            <w:left w:val="none" w:sz="0" w:space="0" w:color="auto"/>
                            <w:bottom w:val="none" w:sz="0" w:space="0" w:color="auto"/>
                            <w:right w:val="none" w:sz="0" w:space="0" w:color="auto"/>
                          </w:divBdr>
                          <w:divsChild>
                            <w:div w:id="1026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126">
                      <w:marLeft w:val="0"/>
                      <w:marRight w:val="0"/>
                      <w:marTop w:val="0"/>
                      <w:marBottom w:val="0"/>
                      <w:divBdr>
                        <w:top w:val="none" w:sz="0" w:space="0" w:color="auto"/>
                        <w:left w:val="none" w:sz="0" w:space="0" w:color="auto"/>
                        <w:bottom w:val="none" w:sz="0" w:space="0" w:color="auto"/>
                        <w:right w:val="none" w:sz="0" w:space="0" w:color="auto"/>
                      </w:divBdr>
                      <w:divsChild>
                        <w:div w:id="5255647">
                          <w:marLeft w:val="0"/>
                          <w:marRight w:val="0"/>
                          <w:marTop w:val="0"/>
                          <w:marBottom w:val="0"/>
                          <w:divBdr>
                            <w:top w:val="none" w:sz="0" w:space="0" w:color="auto"/>
                            <w:left w:val="none" w:sz="0" w:space="0" w:color="auto"/>
                            <w:bottom w:val="none" w:sz="0" w:space="0" w:color="auto"/>
                            <w:right w:val="none" w:sz="0" w:space="0" w:color="auto"/>
                          </w:divBdr>
                          <w:divsChild>
                            <w:div w:id="4630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3632">
                      <w:marLeft w:val="0"/>
                      <w:marRight w:val="0"/>
                      <w:marTop w:val="0"/>
                      <w:marBottom w:val="0"/>
                      <w:divBdr>
                        <w:top w:val="none" w:sz="0" w:space="0" w:color="auto"/>
                        <w:left w:val="none" w:sz="0" w:space="0" w:color="auto"/>
                        <w:bottom w:val="none" w:sz="0" w:space="0" w:color="auto"/>
                        <w:right w:val="none" w:sz="0" w:space="0" w:color="auto"/>
                      </w:divBdr>
                      <w:divsChild>
                        <w:div w:id="1058554924">
                          <w:marLeft w:val="0"/>
                          <w:marRight w:val="0"/>
                          <w:marTop w:val="0"/>
                          <w:marBottom w:val="0"/>
                          <w:divBdr>
                            <w:top w:val="none" w:sz="0" w:space="0" w:color="auto"/>
                            <w:left w:val="none" w:sz="0" w:space="0" w:color="auto"/>
                            <w:bottom w:val="none" w:sz="0" w:space="0" w:color="auto"/>
                            <w:right w:val="none" w:sz="0" w:space="0" w:color="auto"/>
                          </w:divBdr>
                          <w:divsChild>
                            <w:div w:id="12979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654">
                      <w:marLeft w:val="0"/>
                      <w:marRight w:val="0"/>
                      <w:marTop w:val="0"/>
                      <w:marBottom w:val="0"/>
                      <w:divBdr>
                        <w:top w:val="none" w:sz="0" w:space="0" w:color="auto"/>
                        <w:left w:val="none" w:sz="0" w:space="0" w:color="auto"/>
                        <w:bottom w:val="none" w:sz="0" w:space="0" w:color="auto"/>
                        <w:right w:val="none" w:sz="0" w:space="0" w:color="auto"/>
                      </w:divBdr>
                      <w:divsChild>
                        <w:div w:id="1149056282">
                          <w:marLeft w:val="0"/>
                          <w:marRight w:val="0"/>
                          <w:marTop w:val="0"/>
                          <w:marBottom w:val="0"/>
                          <w:divBdr>
                            <w:top w:val="none" w:sz="0" w:space="0" w:color="auto"/>
                            <w:left w:val="none" w:sz="0" w:space="0" w:color="auto"/>
                            <w:bottom w:val="none" w:sz="0" w:space="0" w:color="auto"/>
                            <w:right w:val="none" w:sz="0" w:space="0" w:color="auto"/>
                          </w:divBdr>
                          <w:divsChild>
                            <w:div w:id="2012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John W</dc:creator>
  <cp:keywords/>
  <dc:description/>
  <cp:lastModifiedBy>Lackey, John W</cp:lastModifiedBy>
  <cp:revision>2</cp:revision>
  <dcterms:created xsi:type="dcterms:W3CDTF">2023-01-20T15:58:00Z</dcterms:created>
  <dcterms:modified xsi:type="dcterms:W3CDTF">2023-01-20T22:21:00Z</dcterms:modified>
</cp:coreProperties>
</file>