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68265" w14:textId="77777777" w:rsidR="001E5553" w:rsidRPr="00E46C29" w:rsidRDefault="00E46C29" w:rsidP="00E46C29">
      <w:pPr>
        <w:pStyle w:val="NoSpacing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 w:rsidRPr="00E46C29">
        <w:rPr>
          <w:rFonts w:ascii="Times New Roman" w:hAnsi="Times New Roman" w:cs="Times New Roman"/>
          <w:sz w:val="24"/>
          <w:szCs w:val="24"/>
        </w:rPr>
        <w:t>VPAA</w:t>
      </w:r>
    </w:p>
    <w:p w14:paraId="1D551544" w14:textId="77777777" w:rsidR="00E46C29" w:rsidRPr="00E46C29" w:rsidRDefault="00E46C29" w:rsidP="00EE04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D8A80" w14:textId="77777777" w:rsidR="00E46C29" w:rsidRDefault="00E46C29" w:rsidP="00E46C29">
      <w:pPr>
        <w:jc w:val="center"/>
      </w:pPr>
      <w:r>
        <w:t>PARAGRAPH 24 OF CHAPTER III</w:t>
      </w:r>
    </w:p>
    <w:p w14:paraId="5C573534" w14:textId="77777777" w:rsidR="00E46C29" w:rsidRDefault="00E46C29" w:rsidP="00E46C29">
      <w:pPr>
        <w:jc w:val="center"/>
      </w:pPr>
      <w:r>
        <w:t>ON PAGE III-52</w:t>
      </w:r>
    </w:p>
    <w:p w14:paraId="18A0EA87" w14:textId="77777777" w:rsidR="00E46C29" w:rsidRDefault="00E46C29" w:rsidP="00E46C29"/>
    <w:p w14:paraId="70520053" w14:textId="77777777" w:rsidR="00E46C29" w:rsidRDefault="00E46C29" w:rsidP="00E46C29"/>
    <w:p w14:paraId="14E374B4" w14:textId="77777777" w:rsidR="00E46C29" w:rsidRDefault="00E46C29" w:rsidP="00E46C29">
      <w:pPr>
        <w:jc w:val="center"/>
      </w:pPr>
      <w:r>
        <w:t>CHAPTER III. SYSTEM – COMPONENT OPERATIONS</w:t>
      </w:r>
    </w:p>
    <w:p w14:paraId="7500DD4D" w14:textId="77777777" w:rsidR="00E46C29" w:rsidRDefault="00E46C29" w:rsidP="00E46C29"/>
    <w:p w14:paraId="3D36D0DA" w14:textId="77777777" w:rsidR="00E46C29" w:rsidRDefault="00E46C29" w:rsidP="00E46C29">
      <w:pPr>
        <w:jc w:val="center"/>
      </w:pPr>
      <w:r>
        <w:t>* * *</w:t>
      </w:r>
    </w:p>
    <w:p w14:paraId="7AF71B06" w14:textId="77777777" w:rsidR="00E46C29" w:rsidRPr="00E46C29" w:rsidRDefault="00E46C29" w:rsidP="00EE04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4C198" w14:textId="77777777" w:rsidR="00EE04E0" w:rsidRPr="00D66AA6" w:rsidRDefault="00EE04E0" w:rsidP="0088143B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24.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 xml:space="preserve">Active Attack 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Response 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and Training</w:t>
      </w:r>
      <w:r w:rsidR="006F27F0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Plan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</w:p>
    <w:p w14:paraId="2113CD58" w14:textId="77777777" w:rsidR="00EE04E0" w:rsidRPr="00D66AA6" w:rsidRDefault="00EE04E0" w:rsidP="0088143B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FB97CD1" w14:textId="0A03476B" w:rsidR="00986A8F" w:rsidRPr="00D66AA6" w:rsidRDefault="00EE04E0" w:rsidP="0088143B">
      <w:pPr>
        <w:pStyle w:val="NoSpacing"/>
        <w:ind w:left="144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24.1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 xml:space="preserve">Purpose. 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The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Texas State University System is committed to 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providing a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safe e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vironment for i</w:t>
      </w:r>
      <w:r w:rsidR="004078FB">
        <w:rPr>
          <w:rFonts w:ascii="Times New Roman" w:hAnsi="Times New Roman" w:cs="Times New Roman"/>
          <w:color w:val="FF0000"/>
          <w:sz w:val="24"/>
          <w:szCs w:val="24"/>
          <w:u w:val="single"/>
        </w:rPr>
        <w:t>t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s faculty, staff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and students.  </w:t>
      </w:r>
      <w:r w:rsidR="00422617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As active attack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situations</w:t>
      </w:r>
      <w:r w:rsidR="00986A8F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pose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an unfortunate, ongoing threat to our campus communities, each </w:t>
      </w:r>
      <w:r w:rsidR="00422617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System C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omponent shall develop an Active Attack </w:t>
      </w:r>
      <w:r w:rsidR="00422617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R</w:t>
      </w:r>
      <w:r w:rsidR="00F1176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esponse </w:t>
      </w:r>
      <w:r w:rsidR="00422617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and Training P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lan </w:t>
      </w:r>
      <w:r w:rsidR="00986A8F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that addresses preparedness, response, management, mitigation</w:t>
      </w:r>
      <w:r w:rsidR="006B0DAE">
        <w:rPr>
          <w:rFonts w:ascii="Times New Roman" w:hAnsi="Times New Roman" w:cs="Times New Roman"/>
          <w:color w:val="FF0000"/>
          <w:sz w:val="24"/>
          <w:szCs w:val="24"/>
          <w:u w:val="single"/>
        </w:rPr>
        <w:t>, infrastructure</w:t>
      </w:r>
      <w:r w:rsidR="00986A8F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and recovery after an active attack situation.  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At a minimum, t</w:t>
      </w:r>
      <w:r w:rsidR="00986A8F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he plan</w:t>
      </w:r>
      <w:r w:rsidR="006B0DA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should be consistent with requirements outlined in Texas Education Code, Section 51.217 (b) and</w:t>
      </w:r>
      <w:r w:rsidR="00986A8F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include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986A8F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the following characteristics:</w:t>
      </w:r>
    </w:p>
    <w:p w14:paraId="59F61B37" w14:textId="77777777" w:rsidR="00986A8F" w:rsidRPr="00D66AA6" w:rsidRDefault="00986A8F" w:rsidP="0088143B">
      <w:pPr>
        <w:pStyle w:val="NoSpacing"/>
        <w:ind w:left="144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17EFD26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(1)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 xml:space="preserve">Input from and collaboration with appropriate local 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e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mergency 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m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anagement personnel;</w:t>
      </w:r>
    </w:p>
    <w:p w14:paraId="0FC2716D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186152D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(2)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>A training program for personnel charged with emergency management and response;</w:t>
      </w:r>
    </w:p>
    <w:p w14:paraId="7FE72A1F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247F21A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(3)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 xml:space="preserve">A program for conducting 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annual, 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mandatory </w:t>
      </w:r>
      <w:r w:rsidR="00DC350A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training</w:t>
      </w:r>
      <w:r w:rsidR="00DD1F22">
        <w:rPr>
          <w:rFonts w:ascii="Times New Roman" w:hAnsi="Times New Roman" w:cs="Times New Roman"/>
          <w:color w:val="FF0000"/>
          <w:sz w:val="24"/>
          <w:szCs w:val="24"/>
          <w:u w:val="single"/>
        </w:rPr>
        <w:t>, exercises</w:t>
      </w:r>
      <w:r w:rsidR="00DC350A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and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drills;</w:t>
      </w:r>
    </w:p>
    <w:p w14:paraId="7D1FBF9C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606C0A7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(4)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6B0DAE">
        <w:rPr>
          <w:rFonts w:ascii="Times New Roman" w:hAnsi="Times New Roman" w:cs="Times New Roman"/>
          <w:color w:val="FF0000"/>
          <w:sz w:val="24"/>
          <w:szCs w:val="24"/>
          <w:u w:val="single"/>
        </w:rPr>
        <w:t>C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om</w:t>
      </w:r>
      <w:r w:rsidR="00DC350A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munications </w:t>
      </w:r>
      <w:r w:rsidR="006B0DA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and awareness </w:t>
      </w:r>
      <w:r w:rsidR="00DC350A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component</w:t>
      </w:r>
      <w:r w:rsidR="006B0DAE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DC350A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, designed to reach a maximum number of faculty, staff and students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;</w:t>
      </w:r>
    </w:p>
    <w:p w14:paraId="0C199F9D" w14:textId="77777777" w:rsidR="00C37D29" w:rsidRPr="00D66AA6" w:rsidRDefault="00C37D29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E0CEE73" w14:textId="777DADF9" w:rsidR="006B0DAE" w:rsidRDefault="006B0DAE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(5)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62265E">
        <w:rPr>
          <w:rFonts w:ascii="Times New Roman" w:hAnsi="Times New Roman" w:cs="Times New Roman"/>
          <w:color w:val="FF0000"/>
          <w:sz w:val="24"/>
          <w:szCs w:val="24"/>
          <w:u w:val="single"/>
        </w:rPr>
        <w:t>Prevention components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that address mental health, threat assessment and training; and,</w:t>
      </w:r>
    </w:p>
    <w:p w14:paraId="61249641" w14:textId="77777777" w:rsidR="006B0DAE" w:rsidRDefault="006B0DAE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3A52BB5" w14:textId="77777777" w:rsidR="00986A8F" w:rsidRPr="00D66AA6" w:rsidRDefault="00986A8F" w:rsidP="0088143B">
      <w:pPr>
        <w:pStyle w:val="NoSpacing"/>
        <w:ind w:left="2160" w:hanging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(5)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>A requirement that compliance with the P</w:t>
      </w:r>
      <w:r w:rsidR="00670CF0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lan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shall be monitored 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by </w:t>
      </w:r>
      <w:r w:rsidR="00DC350A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 System compliance officer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and reported biennially to the Board through the Chancellor</w:t>
      </w:r>
      <w:r w:rsidR="00670CF0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or his designee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</w:p>
    <w:p w14:paraId="028A8E68" w14:textId="77777777" w:rsidR="00986A8F" w:rsidRPr="00D66AA6" w:rsidRDefault="00986A8F" w:rsidP="00EE04E0">
      <w:pPr>
        <w:pStyle w:val="NoSpacing"/>
        <w:ind w:left="1440" w:hanging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885E27B" w14:textId="77777777" w:rsidR="00422617" w:rsidRPr="00D66AA6" w:rsidRDefault="00422617" w:rsidP="00EE04E0">
      <w:pPr>
        <w:pStyle w:val="NoSpacing"/>
        <w:ind w:left="1440" w:hanging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24.2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  <w:t xml:space="preserve">Scope.  </w:t>
      </w:r>
      <w:r w:rsidR="005A0FFE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Each Component’s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policy shall apply to all faculty, staff, </w:t>
      </w:r>
      <w:r w:rsidR="0088143B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students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and</w:t>
      </w:r>
      <w:r w:rsidR="00670CF0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,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if assigned to work on the campus permanently, 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employees of contractors</w:t>
      </w:r>
      <w:r w:rsidR="00C37D29"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Pr="00D66A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634E5317" w14:textId="77777777" w:rsidR="005A0FFE" w:rsidRDefault="005A0FFE" w:rsidP="00EE04E0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ED671FF" w14:textId="77777777" w:rsidR="00986A8F" w:rsidRDefault="00986A8F" w:rsidP="00986A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6A8F">
        <w:rPr>
          <w:rFonts w:ascii="Times New Roman" w:hAnsi="Times New Roman" w:cs="Times New Roman"/>
          <w:sz w:val="24"/>
          <w:szCs w:val="24"/>
          <w:u w:val="single"/>
        </w:rPr>
        <w:t>Explanation</w:t>
      </w:r>
    </w:p>
    <w:p w14:paraId="13E018E8" w14:textId="77777777" w:rsidR="00986A8F" w:rsidRDefault="00986A8F" w:rsidP="00986A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7284AE2" w14:textId="780CFD0D" w:rsidR="00986A8F" w:rsidRDefault="00986A8F" w:rsidP="00986A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March 2018, the Texas State University System Task Force for Active Attack Preparation (Task Force) was formed in response to </w:t>
      </w:r>
      <w:r w:rsidR="00DC350A">
        <w:rPr>
          <w:rFonts w:ascii="Times New Roman" w:hAnsi="Times New Roman" w:cs="Times New Roman"/>
          <w:sz w:val="24"/>
          <w:szCs w:val="24"/>
        </w:rPr>
        <w:t xml:space="preserve">regental and Chancellor </w:t>
      </w:r>
      <w:r>
        <w:rPr>
          <w:rFonts w:ascii="Times New Roman" w:hAnsi="Times New Roman" w:cs="Times New Roman"/>
          <w:sz w:val="24"/>
          <w:szCs w:val="24"/>
        </w:rPr>
        <w:t>concerns for the wellbeing of our campus communities</w:t>
      </w:r>
      <w:r w:rsidR="00DC35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0DCC">
        <w:rPr>
          <w:rFonts w:ascii="Times New Roman" w:hAnsi="Times New Roman" w:cs="Times New Roman"/>
          <w:sz w:val="24"/>
          <w:szCs w:val="24"/>
        </w:rPr>
        <w:t xml:space="preserve">Component institutions nominated </w:t>
      </w:r>
      <w:r w:rsidR="00D15FDF">
        <w:rPr>
          <w:rFonts w:ascii="Times New Roman" w:hAnsi="Times New Roman" w:cs="Times New Roman"/>
          <w:sz w:val="24"/>
          <w:szCs w:val="24"/>
        </w:rPr>
        <w:t>15</w:t>
      </w:r>
      <w:r w:rsidR="00675EC0">
        <w:rPr>
          <w:rFonts w:ascii="Times New Roman" w:hAnsi="Times New Roman" w:cs="Times New Roman"/>
          <w:sz w:val="24"/>
          <w:szCs w:val="24"/>
        </w:rPr>
        <w:t xml:space="preserve"> </w:t>
      </w:r>
      <w:r w:rsidR="0062265E">
        <w:rPr>
          <w:rFonts w:ascii="Times New Roman" w:hAnsi="Times New Roman" w:cs="Times New Roman"/>
          <w:sz w:val="24"/>
          <w:szCs w:val="24"/>
        </w:rPr>
        <w:t>T</w:t>
      </w:r>
      <w:r w:rsidR="00440BCE">
        <w:rPr>
          <w:rFonts w:ascii="Times New Roman" w:hAnsi="Times New Roman" w:cs="Times New Roman"/>
          <w:sz w:val="24"/>
          <w:szCs w:val="24"/>
        </w:rPr>
        <w:t xml:space="preserve">ask </w:t>
      </w:r>
      <w:r w:rsidR="0062265E">
        <w:rPr>
          <w:rFonts w:ascii="Times New Roman" w:hAnsi="Times New Roman" w:cs="Times New Roman"/>
          <w:sz w:val="24"/>
          <w:szCs w:val="24"/>
        </w:rPr>
        <w:t>F</w:t>
      </w:r>
      <w:r w:rsidR="00440BCE">
        <w:rPr>
          <w:rFonts w:ascii="Times New Roman" w:hAnsi="Times New Roman" w:cs="Times New Roman"/>
          <w:sz w:val="24"/>
          <w:szCs w:val="24"/>
        </w:rPr>
        <w:t xml:space="preserve">orce members that included representatives from faculty, campus law enforcement, emergency management and administration. The </w:t>
      </w:r>
      <w:r w:rsidR="0062265E">
        <w:rPr>
          <w:rFonts w:ascii="Times New Roman" w:hAnsi="Times New Roman" w:cs="Times New Roman"/>
          <w:sz w:val="24"/>
          <w:szCs w:val="24"/>
        </w:rPr>
        <w:t>T</w:t>
      </w:r>
      <w:r w:rsidR="00440BCE">
        <w:rPr>
          <w:rFonts w:ascii="Times New Roman" w:hAnsi="Times New Roman" w:cs="Times New Roman"/>
          <w:sz w:val="24"/>
          <w:szCs w:val="24"/>
        </w:rPr>
        <w:t xml:space="preserve">ask </w:t>
      </w:r>
      <w:r w:rsidR="0062265E">
        <w:rPr>
          <w:rFonts w:ascii="Times New Roman" w:hAnsi="Times New Roman" w:cs="Times New Roman"/>
          <w:sz w:val="24"/>
          <w:szCs w:val="24"/>
        </w:rPr>
        <w:t>F</w:t>
      </w:r>
      <w:r w:rsidR="00440BCE">
        <w:rPr>
          <w:rFonts w:ascii="Times New Roman" w:hAnsi="Times New Roman" w:cs="Times New Roman"/>
          <w:sz w:val="24"/>
          <w:szCs w:val="24"/>
        </w:rPr>
        <w:t>orce</w:t>
      </w:r>
      <w:r w:rsidR="00D15FDF">
        <w:rPr>
          <w:rFonts w:ascii="Times New Roman" w:hAnsi="Times New Roman" w:cs="Times New Roman"/>
          <w:sz w:val="24"/>
          <w:szCs w:val="24"/>
        </w:rPr>
        <w:t xml:space="preserve"> members</w:t>
      </w:r>
      <w:r w:rsidR="00440BCE">
        <w:rPr>
          <w:rFonts w:ascii="Times New Roman" w:hAnsi="Times New Roman" w:cs="Times New Roman"/>
          <w:sz w:val="24"/>
          <w:szCs w:val="24"/>
        </w:rPr>
        <w:t xml:space="preserve"> met multiple times in Austin, as well as completed safety audits on their individual campuses, which resulted in the creation of a training video, System </w:t>
      </w:r>
      <w:r w:rsidR="00440BCE">
        <w:rPr>
          <w:rFonts w:ascii="Times New Roman" w:hAnsi="Times New Roman" w:cs="Times New Roman"/>
          <w:sz w:val="24"/>
          <w:szCs w:val="24"/>
        </w:rPr>
        <w:lastRenderedPageBreak/>
        <w:t xml:space="preserve">policy recommendations and a virtual tool kit, to assist any campus looking for research-based best practices for developing their own emergency operations plans. </w:t>
      </w:r>
    </w:p>
    <w:sectPr w:rsidR="00986A8F" w:rsidSect="00DC350A">
      <w:pgSz w:w="12240" w:h="15840" w:code="1"/>
      <w:pgMar w:top="1152" w:right="1440" w:bottom="720" w:left="1440" w:header="720" w:footer="720" w:gutter="0"/>
      <w:paperSrc w:first="7" w:other="7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A313E"/>
    <w:multiLevelType w:val="multilevel"/>
    <w:tmpl w:val="7DF2288E"/>
    <w:lvl w:ilvl="0">
      <w:start w:val="1"/>
      <w:numFmt w:val="upperRoman"/>
      <w:pStyle w:val="Heading1"/>
      <w:lvlText w:val="CHAPTER %1."/>
      <w:lvlJc w:val="left"/>
      <w:pPr>
        <w:tabs>
          <w:tab w:val="num" w:pos="360"/>
        </w:tabs>
        <w:ind w:left="360" w:hanging="720"/>
      </w:pPr>
      <w:rPr>
        <w:rFonts w:ascii="Times" w:hAnsi="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944"/>
        </w:tabs>
        <w:ind w:left="1944" w:hanging="576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96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4680" w:firstLine="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40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E0"/>
    <w:rsid w:val="00091587"/>
    <w:rsid w:val="00185F02"/>
    <w:rsid w:val="001E5553"/>
    <w:rsid w:val="002177CF"/>
    <w:rsid w:val="004078FB"/>
    <w:rsid w:val="00412770"/>
    <w:rsid w:val="00422617"/>
    <w:rsid w:val="00440BCE"/>
    <w:rsid w:val="005A0FFE"/>
    <w:rsid w:val="0062265E"/>
    <w:rsid w:val="0064038C"/>
    <w:rsid w:val="00670CF0"/>
    <w:rsid w:val="00675EC0"/>
    <w:rsid w:val="006B0DAE"/>
    <w:rsid w:val="006F27F0"/>
    <w:rsid w:val="007047DF"/>
    <w:rsid w:val="007472F7"/>
    <w:rsid w:val="007A0DCC"/>
    <w:rsid w:val="008306A2"/>
    <w:rsid w:val="0088143B"/>
    <w:rsid w:val="008E63F0"/>
    <w:rsid w:val="009768CE"/>
    <w:rsid w:val="00986A8F"/>
    <w:rsid w:val="009B1453"/>
    <w:rsid w:val="00B027F7"/>
    <w:rsid w:val="00B16399"/>
    <w:rsid w:val="00C37D29"/>
    <w:rsid w:val="00C40EF6"/>
    <w:rsid w:val="00CF5F7A"/>
    <w:rsid w:val="00D15FDF"/>
    <w:rsid w:val="00D66AA6"/>
    <w:rsid w:val="00D738B7"/>
    <w:rsid w:val="00DC350A"/>
    <w:rsid w:val="00DD1F22"/>
    <w:rsid w:val="00E46C29"/>
    <w:rsid w:val="00EE04E0"/>
    <w:rsid w:val="00F1176B"/>
    <w:rsid w:val="00F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23DD"/>
  <w15:chartTrackingRefBased/>
  <w15:docId w15:val="{7A68055A-5425-451C-B8C7-A9F67F7A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C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1 Heading"/>
    <w:basedOn w:val="Normal"/>
    <w:next w:val="Normal"/>
    <w:link w:val="Heading1Char"/>
    <w:uiPriority w:val="9"/>
    <w:qFormat/>
    <w:rsid w:val="00E46C29"/>
    <w:pPr>
      <w:keepNext/>
      <w:numPr>
        <w:numId w:val="1"/>
      </w:numPr>
      <w:spacing w:before="240" w:after="60"/>
      <w:outlineLvl w:val="0"/>
    </w:pPr>
    <w:rPr>
      <w:rFonts w:ascii="Times" w:hAnsi="Times"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46C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4E0"/>
    <w:pPr>
      <w:spacing w:after="0" w:line="240" w:lineRule="auto"/>
    </w:pPr>
  </w:style>
  <w:style w:type="character" w:customStyle="1" w:styleId="Heading1Char">
    <w:name w:val="Heading 1 Char"/>
    <w:aliases w:val="1 Heading Char"/>
    <w:basedOn w:val="DefaultParagraphFont"/>
    <w:link w:val="Heading1"/>
    <w:uiPriority w:val="9"/>
    <w:rsid w:val="00E46C29"/>
    <w:rPr>
      <w:rFonts w:ascii="Times" w:eastAsia="Times New Roman" w:hAnsi="Times"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E46C2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DCCE-360A-4907-AEF0-52189D9D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Sternenberg, Therese</dc:creator>
  <cp:keywords/>
  <dc:description/>
  <cp:lastModifiedBy>Woodruff, Candice L</cp:lastModifiedBy>
  <cp:revision>2</cp:revision>
  <cp:lastPrinted>2018-10-22T20:44:00Z</cp:lastPrinted>
  <dcterms:created xsi:type="dcterms:W3CDTF">2018-11-05T20:17:00Z</dcterms:created>
  <dcterms:modified xsi:type="dcterms:W3CDTF">2018-11-05T20:17:00Z</dcterms:modified>
</cp:coreProperties>
</file>