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830B" w14:textId="77777777" w:rsidR="00066F04" w:rsidRDefault="00066F04" w:rsidP="00F93A58">
      <w:pPr>
        <w:tabs>
          <w:tab w:val="left" w:pos="5760"/>
        </w:tabs>
        <w:outlineLvl w:val="0"/>
        <w:rPr>
          <w:rFonts w:ascii="Arial" w:eastAsia="Times New Roman" w:hAnsi="Arial" w:cs="Arial"/>
          <w:b/>
          <w:kern w:val="36"/>
          <w:szCs w:val="24"/>
        </w:rPr>
      </w:pPr>
    </w:p>
    <w:p w14:paraId="0715133E" w14:textId="77777777" w:rsidR="00066F04" w:rsidRDefault="00066F04" w:rsidP="00F93A58">
      <w:pPr>
        <w:tabs>
          <w:tab w:val="left" w:pos="5760"/>
        </w:tabs>
        <w:outlineLvl w:val="0"/>
        <w:rPr>
          <w:rFonts w:ascii="Arial" w:eastAsia="Times New Roman" w:hAnsi="Arial" w:cs="Arial"/>
          <w:b/>
          <w:kern w:val="36"/>
          <w:szCs w:val="24"/>
        </w:rPr>
      </w:pPr>
    </w:p>
    <w:p w14:paraId="4E8FE79F" w14:textId="77777777" w:rsidR="00066F04" w:rsidRDefault="00066F04" w:rsidP="00F93A58">
      <w:pPr>
        <w:tabs>
          <w:tab w:val="left" w:pos="5760"/>
        </w:tabs>
        <w:outlineLvl w:val="0"/>
        <w:rPr>
          <w:rFonts w:ascii="Arial" w:eastAsia="Times New Roman" w:hAnsi="Arial" w:cs="Arial"/>
          <w:b/>
          <w:kern w:val="36"/>
          <w:szCs w:val="24"/>
        </w:rPr>
      </w:pPr>
    </w:p>
    <w:p w14:paraId="01B59E26" w14:textId="662835FE" w:rsidR="00066F04" w:rsidRDefault="00C32148" w:rsidP="00F93A58">
      <w:pPr>
        <w:tabs>
          <w:tab w:val="left" w:pos="5040"/>
        </w:tabs>
        <w:outlineLvl w:val="0"/>
        <w:rPr>
          <w:rFonts w:ascii="Arial" w:eastAsia="Times New Roman" w:hAnsi="Arial" w:cs="Arial"/>
          <w:szCs w:val="24"/>
        </w:rPr>
      </w:pPr>
      <w:r w:rsidRPr="00066F04">
        <w:rPr>
          <w:rFonts w:ascii="Arial" w:eastAsia="Times New Roman" w:hAnsi="Arial" w:cs="Arial"/>
          <w:b/>
          <w:kern w:val="36"/>
          <w:szCs w:val="24"/>
        </w:rPr>
        <w:t>Payment of Musical Copyrights</w:t>
      </w:r>
      <w:r w:rsidR="00C4072C" w:rsidRPr="00066F04">
        <w:rPr>
          <w:rFonts w:ascii="Arial" w:eastAsia="Times New Roman" w:hAnsi="Arial" w:cs="Arial"/>
          <w:b/>
          <w:kern w:val="36"/>
          <w:szCs w:val="24"/>
        </w:rPr>
        <w:tab/>
      </w:r>
      <w:r w:rsidR="00C4072C" w:rsidRPr="00066F04">
        <w:rPr>
          <w:rFonts w:ascii="Arial" w:eastAsia="Times New Roman" w:hAnsi="Arial" w:cs="Arial"/>
          <w:b/>
          <w:szCs w:val="24"/>
        </w:rPr>
        <w:t>FSS/PPS 01.03</w:t>
      </w:r>
      <w:r w:rsidR="00763CF5">
        <w:rPr>
          <w:rFonts w:ascii="Arial" w:eastAsia="Times New Roman" w:hAnsi="Arial" w:cs="Arial"/>
          <w:b/>
          <w:szCs w:val="24"/>
        </w:rPr>
        <w:t xml:space="preserve"> </w:t>
      </w:r>
    </w:p>
    <w:p w14:paraId="2F80D40C" w14:textId="0A9A8D37" w:rsidR="00066F04" w:rsidRDefault="00C4072C" w:rsidP="00F93A58">
      <w:pPr>
        <w:tabs>
          <w:tab w:val="left" w:pos="5760"/>
        </w:tabs>
        <w:ind w:left="5040"/>
        <w:rPr>
          <w:rFonts w:ascii="Arial" w:eastAsia="Times New Roman" w:hAnsi="Arial" w:cs="Arial"/>
          <w:b/>
          <w:szCs w:val="24"/>
        </w:rPr>
      </w:pPr>
      <w:r w:rsidRPr="00066F04">
        <w:rPr>
          <w:rFonts w:ascii="Arial" w:eastAsia="Times New Roman" w:hAnsi="Arial" w:cs="Arial"/>
          <w:b/>
          <w:szCs w:val="24"/>
        </w:rPr>
        <w:t xml:space="preserve">Issue No. </w:t>
      </w:r>
      <w:r w:rsidR="003547A7">
        <w:rPr>
          <w:rFonts w:ascii="Arial" w:eastAsia="Times New Roman" w:hAnsi="Arial" w:cs="Arial"/>
          <w:b/>
          <w:szCs w:val="24"/>
        </w:rPr>
        <w:t>8</w:t>
      </w:r>
    </w:p>
    <w:p w14:paraId="7C53ABB2" w14:textId="26E87766" w:rsidR="00066F04" w:rsidRDefault="00C4072C" w:rsidP="00F93A58">
      <w:pPr>
        <w:tabs>
          <w:tab w:val="left" w:pos="5760"/>
        </w:tabs>
        <w:ind w:left="5040"/>
        <w:rPr>
          <w:rFonts w:ascii="Arial" w:eastAsia="Times New Roman" w:hAnsi="Arial" w:cs="Arial"/>
          <w:b/>
          <w:szCs w:val="24"/>
        </w:rPr>
      </w:pPr>
      <w:r w:rsidRPr="00066F04">
        <w:rPr>
          <w:rFonts w:ascii="Arial" w:eastAsia="Times New Roman" w:hAnsi="Arial" w:cs="Arial"/>
          <w:b/>
          <w:szCs w:val="24"/>
        </w:rPr>
        <w:t>Effective Date</w:t>
      </w:r>
      <w:r w:rsidR="003547A7">
        <w:rPr>
          <w:rFonts w:ascii="Arial" w:eastAsia="Times New Roman" w:hAnsi="Arial" w:cs="Arial"/>
          <w:b/>
          <w:szCs w:val="24"/>
        </w:rPr>
        <w:t>: 10/30/2023</w:t>
      </w:r>
    </w:p>
    <w:p w14:paraId="30EECC9E" w14:textId="768C7C22" w:rsidR="00066F04" w:rsidRDefault="00417B98" w:rsidP="00F93A58">
      <w:pPr>
        <w:tabs>
          <w:tab w:val="left" w:pos="5760"/>
        </w:tabs>
        <w:ind w:left="5040"/>
        <w:rPr>
          <w:rFonts w:ascii="Arial" w:eastAsia="Times New Roman" w:hAnsi="Arial" w:cs="Arial"/>
          <w:b/>
          <w:szCs w:val="24"/>
        </w:rPr>
      </w:pPr>
      <w:r w:rsidRPr="00066F04">
        <w:rPr>
          <w:rFonts w:ascii="Arial" w:eastAsia="Times New Roman" w:hAnsi="Arial" w:cs="Arial"/>
          <w:b/>
          <w:szCs w:val="24"/>
        </w:rPr>
        <w:t>Next Review Date:</w:t>
      </w:r>
      <w:r w:rsidR="003547A7">
        <w:rPr>
          <w:rFonts w:ascii="Arial" w:eastAsia="Times New Roman" w:hAnsi="Arial" w:cs="Arial"/>
          <w:b/>
          <w:szCs w:val="24"/>
        </w:rPr>
        <w:t xml:space="preserve"> 04/01/2027</w:t>
      </w:r>
      <w:r w:rsidRPr="00066F04">
        <w:rPr>
          <w:rFonts w:ascii="Arial" w:eastAsia="Times New Roman" w:hAnsi="Arial" w:cs="Arial"/>
          <w:b/>
          <w:szCs w:val="24"/>
        </w:rPr>
        <w:t xml:space="preserve"> </w:t>
      </w:r>
      <w:r w:rsidR="00066F04">
        <w:rPr>
          <w:rFonts w:ascii="Arial" w:eastAsia="Times New Roman" w:hAnsi="Arial" w:cs="Arial"/>
          <w:b/>
          <w:szCs w:val="24"/>
        </w:rPr>
        <w:t>(E4Y)</w:t>
      </w:r>
    </w:p>
    <w:p w14:paraId="542C941A" w14:textId="27F5162F" w:rsidR="00507C54" w:rsidRPr="00066F04" w:rsidRDefault="00066F04" w:rsidP="00F93A58">
      <w:pPr>
        <w:tabs>
          <w:tab w:val="left" w:pos="5760"/>
        </w:tabs>
        <w:ind w:left="5040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Sr</w:t>
      </w:r>
      <w:r w:rsidR="003547A7">
        <w:rPr>
          <w:rFonts w:ascii="Arial" w:eastAsia="Times New Roman" w:hAnsi="Arial" w:cs="Arial"/>
          <w:b/>
          <w:szCs w:val="24"/>
        </w:rPr>
        <w:t>.</w:t>
      </w:r>
      <w:r w:rsidR="00C4072C" w:rsidRPr="00066F04">
        <w:rPr>
          <w:rFonts w:ascii="Arial" w:eastAsia="Times New Roman" w:hAnsi="Arial" w:cs="Arial"/>
          <w:b/>
          <w:szCs w:val="24"/>
        </w:rPr>
        <w:t xml:space="preserve"> </w:t>
      </w:r>
      <w:r w:rsidR="00C32148" w:rsidRPr="00066F04">
        <w:rPr>
          <w:rFonts w:ascii="Arial" w:eastAsia="Times New Roman" w:hAnsi="Arial" w:cs="Arial"/>
          <w:b/>
          <w:szCs w:val="24"/>
        </w:rPr>
        <w:t xml:space="preserve">Reviewer: </w:t>
      </w:r>
      <w:r w:rsidR="002F2384">
        <w:rPr>
          <w:rFonts w:ascii="Arial" w:eastAsia="Times New Roman" w:hAnsi="Arial" w:cs="Arial"/>
          <w:b/>
          <w:szCs w:val="24"/>
        </w:rPr>
        <w:t xml:space="preserve">Executive </w:t>
      </w:r>
      <w:r w:rsidR="00C32148" w:rsidRPr="00066F04">
        <w:rPr>
          <w:rFonts w:ascii="Arial" w:eastAsia="Times New Roman" w:hAnsi="Arial" w:cs="Arial"/>
          <w:b/>
          <w:szCs w:val="24"/>
        </w:rPr>
        <w:t>Director</w:t>
      </w:r>
      <w:r w:rsidR="003547A7">
        <w:rPr>
          <w:rFonts w:ascii="Arial" w:eastAsia="Times New Roman" w:hAnsi="Arial" w:cs="Arial"/>
          <w:b/>
          <w:szCs w:val="24"/>
        </w:rPr>
        <w:t xml:space="preserve"> of </w:t>
      </w:r>
      <w:r w:rsidR="00C32148" w:rsidRPr="00066F04">
        <w:rPr>
          <w:rFonts w:ascii="Arial" w:eastAsia="Times New Roman" w:hAnsi="Arial" w:cs="Arial"/>
          <w:b/>
          <w:szCs w:val="24"/>
        </w:rPr>
        <w:t>Auxiliary Services</w:t>
      </w:r>
      <w:r w:rsidR="00C32148" w:rsidRPr="00066F04">
        <w:rPr>
          <w:rFonts w:ascii="Arial" w:eastAsia="Times New Roman" w:hAnsi="Arial" w:cs="Arial"/>
          <w:b/>
          <w:szCs w:val="24"/>
        </w:rPr>
        <w:br/>
      </w:r>
    </w:p>
    <w:p w14:paraId="4D3A86F5" w14:textId="77777777" w:rsidR="00417B98" w:rsidRDefault="00417B98" w:rsidP="00F93A58">
      <w:pPr>
        <w:tabs>
          <w:tab w:val="left" w:pos="5760"/>
        </w:tabs>
        <w:ind w:left="5760"/>
        <w:rPr>
          <w:rFonts w:ascii="Arial" w:eastAsia="Times New Roman" w:hAnsi="Arial" w:cs="Arial"/>
          <w:b/>
          <w:szCs w:val="24"/>
        </w:rPr>
      </w:pPr>
    </w:p>
    <w:p w14:paraId="56BC7841" w14:textId="77777777" w:rsidR="003547A7" w:rsidRDefault="003547A7" w:rsidP="00F93A58">
      <w:pPr>
        <w:rPr>
          <w:rFonts w:ascii="Arial" w:eastAsia="Times New Roman" w:hAnsi="Arial" w:cs="Arial"/>
          <w:b/>
          <w:szCs w:val="24"/>
        </w:rPr>
      </w:pPr>
      <w:r w:rsidRPr="003547A7">
        <w:rPr>
          <w:rFonts w:ascii="Arial" w:eastAsia="Times New Roman" w:hAnsi="Arial" w:cs="Arial"/>
          <w:b/>
          <w:szCs w:val="24"/>
        </w:rPr>
        <w:t xml:space="preserve">POLICY STATEMENT </w:t>
      </w:r>
    </w:p>
    <w:p w14:paraId="7E98FB67" w14:textId="77777777" w:rsidR="003547A7" w:rsidRDefault="003547A7" w:rsidP="00F93A58">
      <w:pPr>
        <w:rPr>
          <w:rFonts w:ascii="Arial" w:eastAsia="Times New Roman" w:hAnsi="Arial" w:cs="Arial"/>
          <w:b/>
          <w:szCs w:val="24"/>
        </w:rPr>
      </w:pPr>
    </w:p>
    <w:p w14:paraId="47624279" w14:textId="3BAD0E3C" w:rsidR="003547A7" w:rsidRPr="003547A7" w:rsidRDefault="003547A7" w:rsidP="00F93A58">
      <w:pPr>
        <w:rPr>
          <w:rFonts w:ascii="Arial" w:eastAsia="Times New Roman" w:hAnsi="Arial" w:cs="Arial"/>
          <w:bCs/>
          <w:i/>
          <w:iCs/>
          <w:szCs w:val="24"/>
        </w:rPr>
      </w:pPr>
      <w:r w:rsidRPr="003547A7">
        <w:rPr>
          <w:rFonts w:ascii="Arial" w:eastAsia="Times New Roman" w:hAnsi="Arial" w:cs="Arial"/>
          <w:bCs/>
          <w:i/>
          <w:iCs/>
          <w:szCs w:val="24"/>
        </w:rPr>
        <w:t xml:space="preserve">Texas State University is committed to upholding copyright laws and fulfilling all associated copyright fees. </w:t>
      </w:r>
    </w:p>
    <w:p w14:paraId="228B5805" w14:textId="77777777" w:rsidR="003547A7" w:rsidRPr="00066F04" w:rsidRDefault="003547A7" w:rsidP="00F93A58">
      <w:pPr>
        <w:tabs>
          <w:tab w:val="left" w:pos="5760"/>
        </w:tabs>
        <w:ind w:left="5760"/>
        <w:rPr>
          <w:rFonts w:ascii="Arial" w:eastAsia="Times New Roman" w:hAnsi="Arial" w:cs="Arial"/>
          <w:b/>
          <w:szCs w:val="24"/>
        </w:rPr>
      </w:pPr>
    </w:p>
    <w:p w14:paraId="595832DA" w14:textId="22E07382" w:rsidR="00C32148" w:rsidRPr="00066F04" w:rsidRDefault="003547A7" w:rsidP="00F93A58">
      <w:pPr>
        <w:pStyle w:val="ListParagraph"/>
        <w:numPr>
          <w:ilvl w:val="0"/>
          <w:numId w:val="1"/>
        </w:numPr>
        <w:ind w:hanging="720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SCOPE</w:t>
      </w:r>
    </w:p>
    <w:p w14:paraId="27A3CAD6" w14:textId="77777777" w:rsidR="00507C54" w:rsidRPr="00066F04" w:rsidRDefault="00507C54" w:rsidP="00F93A58">
      <w:pPr>
        <w:pStyle w:val="ListParagraph"/>
        <w:ind w:hanging="720"/>
        <w:rPr>
          <w:rFonts w:ascii="Arial" w:eastAsia="Times New Roman" w:hAnsi="Arial" w:cs="Arial"/>
          <w:szCs w:val="24"/>
        </w:rPr>
      </w:pPr>
    </w:p>
    <w:p w14:paraId="51A92DF6" w14:textId="53CD405C" w:rsidR="00507C54" w:rsidRPr="00066F04" w:rsidRDefault="00507C54" w:rsidP="00F93A58">
      <w:pPr>
        <w:pStyle w:val="ListParagraph"/>
        <w:ind w:left="1440" w:hanging="720"/>
        <w:rPr>
          <w:rFonts w:ascii="Arial" w:eastAsia="Times New Roman" w:hAnsi="Arial" w:cs="Arial"/>
          <w:szCs w:val="24"/>
        </w:rPr>
      </w:pPr>
      <w:r w:rsidRPr="00066F04">
        <w:rPr>
          <w:rFonts w:ascii="Arial" w:eastAsia="Times New Roman" w:hAnsi="Arial" w:cs="Arial"/>
          <w:szCs w:val="24"/>
        </w:rPr>
        <w:t>01.01</w:t>
      </w:r>
      <w:r w:rsidRPr="00066F04">
        <w:rPr>
          <w:rFonts w:ascii="Arial" w:eastAsia="Times New Roman" w:hAnsi="Arial" w:cs="Arial"/>
          <w:szCs w:val="24"/>
        </w:rPr>
        <w:tab/>
        <w:t>The purpose of this</w:t>
      </w:r>
      <w:r w:rsidR="00D76A6E">
        <w:rPr>
          <w:rFonts w:ascii="Arial" w:eastAsia="Times New Roman" w:hAnsi="Arial" w:cs="Arial"/>
          <w:szCs w:val="24"/>
        </w:rPr>
        <w:t xml:space="preserve"> policy</w:t>
      </w:r>
      <w:r w:rsidRPr="00066F04">
        <w:rPr>
          <w:rFonts w:ascii="Arial" w:eastAsia="Times New Roman" w:hAnsi="Arial" w:cs="Arial"/>
          <w:szCs w:val="24"/>
        </w:rPr>
        <w:t xml:space="preserve"> is to establish </w:t>
      </w:r>
      <w:r w:rsidR="00D76A6E" w:rsidRPr="00066F04">
        <w:rPr>
          <w:rFonts w:ascii="Arial" w:eastAsia="Times New Roman" w:hAnsi="Arial" w:cs="Arial"/>
          <w:szCs w:val="24"/>
        </w:rPr>
        <w:t>procedure</w:t>
      </w:r>
      <w:r w:rsidR="00D76A6E">
        <w:rPr>
          <w:rFonts w:ascii="Arial" w:eastAsia="Times New Roman" w:hAnsi="Arial" w:cs="Arial"/>
          <w:szCs w:val="24"/>
        </w:rPr>
        <w:t>s</w:t>
      </w:r>
      <w:r w:rsidRPr="00066F04">
        <w:rPr>
          <w:rFonts w:ascii="Arial" w:eastAsia="Times New Roman" w:hAnsi="Arial" w:cs="Arial"/>
          <w:szCs w:val="24"/>
        </w:rPr>
        <w:t xml:space="preserve"> for payment of musical copyrights</w:t>
      </w:r>
      <w:r w:rsidR="00990483">
        <w:rPr>
          <w:rFonts w:ascii="Arial" w:eastAsia="Times New Roman" w:hAnsi="Arial" w:cs="Arial"/>
          <w:szCs w:val="24"/>
        </w:rPr>
        <w:t>,</w:t>
      </w:r>
      <w:r w:rsidRPr="00066F04">
        <w:rPr>
          <w:rFonts w:ascii="Arial" w:eastAsia="Times New Roman" w:hAnsi="Arial" w:cs="Arial"/>
          <w:szCs w:val="24"/>
        </w:rPr>
        <w:t xml:space="preserve"> as required in </w:t>
      </w:r>
      <w:hyperlink r:id="rId5" w:history="1">
        <w:r w:rsidR="00582461" w:rsidRPr="00D76A6E">
          <w:rPr>
            <w:rStyle w:val="Hyperlink"/>
            <w:rFonts w:ascii="Arial" w:eastAsia="Times New Roman" w:hAnsi="Arial" w:cs="Arial"/>
            <w:szCs w:val="24"/>
          </w:rPr>
          <w:t>UPPS</w:t>
        </w:r>
        <w:r w:rsidR="00582461" w:rsidRPr="00D76A6E">
          <w:rPr>
            <w:rStyle w:val="Hyperlink"/>
            <w:rFonts w:ascii="Arial" w:eastAsia="Times New Roman" w:hAnsi="Arial" w:cs="Arial"/>
            <w:szCs w:val="24"/>
          </w:rPr>
          <w:t xml:space="preserve"> </w:t>
        </w:r>
        <w:r w:rsidR="00582461" w:rsidRPr="00D76A6E">
          <w:rPr>
            <w:rStyle w:val="Hyperlink"/>
            <w:rFonts w:ascii="Arial" w:eastAsia="Times New Roman" w:hAnsi="Arial" w:cs="Arial"/>
            <w:szCs w:val="24"/>
          </w:rPr>
          <w:t>No. 01.04.27</w:t>
        </w:r>
      </w:hyperlink>
      <w:r w:rsidR="00582461" w:rsidRPr="00D76A6E">
        <w:rPr>
          <w:rFonts w:ascii="Arial" w:eastAsia="Times New Roman" w:hAnsi="Arial" w:cs="Arial"/>
          <w:szCs w:val="24"/>
        </w:rPr>
        <w:t>, Intellectual Property: Ownership and Use of Copyright</w:t>
      </w:r>
      <w:r w:rsidR="00D76A6E">
        <w:rPr>
          <w:rFonts w:ascii="Arial" w:eastAsia="Times New Roman" w:hAnsi="Arial" w:cs="Arial"/>
          <w:szCs w:val="24"/>
        </w:rPr>
        <w:t>ed</w:t>
      </w:r>
      <w:r w:rsidR="00582461" w:rsidRPr="00D76A6E">
        <w:rPr>
          <w:rFonts w:ascii="Arial" w:eastAsia="Times New Roman" w:hAnsi="Arial" w:cs="Arial"/>
          <w:szCs w:val="24"/>
        </w:rPr>
        <w:t xml:space="preserve"> Works</w:t>
      </w:r>
      <w:r w:rsidR="00582461">
        <w:rPr>
          <w:rFonts w:ascii="Arial" w:eastAsia="Times New Roman" w:hAnsi="Arial" w:cs="Arial"/>
          <w:szCs w:val="24"/>
        </w:rPr>
        <w:t>.</w:t>
      </w:r>
    </w:p>
    <w:p w14:paraId="62551560" w14:textId="77777777" w:rsidR="00507C54" w:rsidRPr="00066F04" w:rsidRDefault="00507C54" w:rsidP="00F93A58">
      <w:pPr>
        <w:ind w:left="720" w:hanging="720"/>
        <w:rPr>
          <w:rFonts w:ascii="Arial" w:eastAsia="Times New Roman" w:hAnsi="Arial" w:cs="Arial"/>
          <w:szCs w:val="24"/>
        </w:rPr>
      </w:pPr>
    </w:p>
    <w:p w14:paraId="7521EA00" w14:textId="77777777" w:rsidR="00C32148" w:rsidRPr="00066F04" w:rsidRDefault="00C32148" w:rsidP="00F93A58">
      <w:pPr>
        <w:ind w:left="720" w:hanging="720"/>
        <w:rPr>
          <w:rFonts w:ascii="Arial" w:eastAsia="Times New Roman" w:hAnsi="Arial" w:cs="Arial"/>
          <w:b/>
          <w:szCs w:val="24"/>
        </w:rPr>
      </w:pPr>
      <w:r w:rsidRPr="00066F04">
        <w:rPr>
          <w:rFonts w:ascii="Arial" w:eastAsia="Times New Roman" w:hAnsi="Arial" w:cs="Arial"/>
          <w:b/>
          <w:szCs w:val="24"/>
        </w:rPr>
        <w:t xml:space="preserve">02. </w:t>
      </w:r>
      <w:r w:rsidR="00C81727" w:rsidRPr="00066F04">
        <w:rPr>
          <w:rFonts w:ascii="Arial" w:eastAsia="Times New Roman" w:hAnsi="Arial" w:cs="Arial"/>
          <w:b/>
          <w:szCs w:val="24"/>
        </w:rPr>
        <w:tab/>
      </w:r>
      <w:r w:rsidRPr="00066F04">
        <w:rPr>
          <w:rFonts w:ascii="Arial" w:eastAsia="Times New Roman" w:hAnsi="Arial" w:cs="Arial"/>
          <w:b/>
          <w:szCs w:val="24"/>
        </w:rPr>
        <w:t xml:space="preserve">COPYRIGHT CONTRACTS </w:t>
      </w:r>
    </w:p>
    <w:p w14:paraId="311AF1F2" w14:textId="77777777" w:rsidR="00507C54" w:rsidRPr="00066F04" w:rsidRDefault="00507C54" w:rsidP="00F93A58">
      <w:pPr>
        <w:ind w:left="720" w:hanging="720"/>
        <w:rPr>
          <w:rFonts w:ascii="Arial" w:eastAsia="Times New Roman" w:hAnsi="Arial" w:cs="Arial"/>
          <w:szCs w:val="24"/>
        </w:rPr>
      </w:pPr>
    </w:p>
    <w:p w14:paraId="71C092C6" w14:textId="760F47F8" w:rsidR="00507C54" w:rsidRPr="00066F04" w:rsidRDefault="00507C54" w:rsidP="00F93A58">
      <w:pPr>
        <w:ind w:left="1440" w:hanging="720"/>
        <w:rPr>
          <w:rFonts w:ascii="Arial" w:eastAsia="Times New Roman" w:hAnsi="Arial" w:cs="Arial"/>
          <w:szCs w:val="24"/>
        </w:rPr>
      </w:pPr>
      <w:r w:rsidRPr="00066F04">
        <w:rPr>
          <w:rFonts w:ascii="Arial" w:eastAsia="Times New Roman" w:hAnsi="Arial" w:cs="Arial"/>
          <w:szCs w:val="24"/>
        </w:rPr>
        <w:t>02.01</w:t>
      </w:r>
      <w:r w:rsidRPr="00066F04">
        <w:rPr>
          <w:rFonts w:ascii="Arial" w:eastAsia="Times New Roman" w:hAnsi="Arial" w:cs="Arial"/>
          <w:szCs w:val="24"/>
        </w:rPr>
        <w:tab/>
      </w:r>
      <w:r w:rsidR="00D76A6E" w:rsidRPr="00D76A6E">
        <w:rPr>
          <w:rFonts w:ascii="Arial" w:eastAsia="Times New Roman" w:hAnsi="Arial" w:cs="Arial"/>
          <w:szCs w:val="24"/>
        </w:rPr>
        <w:t>Texas State</w:t>
      </w:r>
      <w:r w:rsidR="00D76A6E">
        <w:rPr>
          <w:rFonts w:ascii="Arial" w:eastAsia="Times New Roman" w:hAnsi="Arial" w:cs="Arial"/>
          <w:szCs w:val="24"/>
        </w:rPr>
        <w:t xml:space="preserve"> </w:t>
      </w:r>
      <w:r w:rsidRPr="00066F04">
        <w:rPr>
          <w:rFonts w:ascii="Arial" w:eastAsia="Times New Roman" w:hAnsi="Arial" w:cs="Arial"/>
          <w:szCs w:val="24"/>
        </w:rPr>
        <w:t xml:space="preserve">University has executed a license agreement with the American Society of Composers, </w:t>
      </w:r>
      <w:r w:rsidR="00990483" w:rsidRPr="00066F04">
        <w:rPr>
          <w:rFonts w:ascii="Arial" w:eastAsia="Times New Roman" w:hAnsi="Arial" w:cs="Arial"/>
          <w:szCs w:val="24"/>
        </w:rPr>
        <w:t>Authors,</w:t>
      </w:r>
      <w:r w:rsidRPr="00066F04">
        <w:rPr>
          <w:rFonts w:ascii="Arial" w:eastAsia="Times New Roman" w:hAnsi="Arial" w:cs="Arial"/>
          <w:szCs w:val="24"/>
        </w:rPr>
        <w:t xml:space="preserve"> and Publishers</w:t>
      </w:r>
      <w:r w:rsidR="00435E69">
        <w:rPr>
          <w:rFonts w:ascii="Arial" w:eastAsia="Times New Roman" w:hAnsi="Arial" w:cs="Arial"/>
          <w:szCs w:val="24"/>
        </w:rPr>
        <w:t xml:space="preserve"> (ASCAP)</w:t>
      </w:r>
      <w:r w:rsidRPr="00066F04">
        <w:rPr>
          <w:rFonts w:ascii="Arial" w:eastAsia="Times New Roman" w:hAnsi="Arial" w:cs="Arial"/>
          <w:szCs w:val="24"/>
        </w:rPr>
        <w:t>; Broadcast Music Incorporated</w:t>
      </w:r>
      <w:r w:rsidR="00435E69">
        <w:rPr>
          <w:rFonts w:ascii="Arial" w:eastAsia="Times New Roman" w:hAnsi="Arial" w:cs="Arial"/>
          <w:szCs w:val="24"/>
        </w:rPr>
        <w:t xml:space="preserve"> (BMI)</w:t>
      </w:r>
      <w:r w:rsidRPr="00066F04">
        <w:rPr>
          <w:rFonts w:ascii="Arial" w:eastAsia="Times New Roman" w:hAnsi="Arial" w:cs="Arial"/>
          <w:szCs w:val="24"/>
        </w:rPr>
        <w:t xml:space="preserve">; </w:t>
      </w:r>
      <w:r w:rsidR="003E2049">
        <w:rPr>
          <w:rFonts w:ascii="Arial" w:eastAsia="Times New Roman" w:hAnsi="Arial" w:cs="Arial"/>
          <w:szCs w:val="24"/>
        </w:rPr>
        <w:t xml:space="preserve">Global Music Rights; </w:t>
      </w:r>
      <w:r w:rsidRPr="00066F04">
        <w:rPr>
          <w:rFonts w:ascii="Arial" w:eastAsia="Times New Roman" w:hAnsi="Arial" w:cs="Arial"/>
          <w:szCs w:val="24"/>
        </w:rPr>
        <w:t>and SESA</w:t>
      </w:r>
      <w:r w:rsidR="00990483">
        <w:rPr>
          <w:rFonts w:ascii="Arial" w:eastAsia="Times New Roman" w:hAnsi="Arial" w:cs="Arial"/>
          <w:szCs w:val="24"/>
        </w:rPr>
        <w:t>C</w:t>
      </w:r>
      <w:r w:rsidRPr="00066F04">
        <w:rPr>
          <w:rFonts w:ascii="Arial" w:eastAsia="Times New Roman" w:hAnsi="Arial" w:cs="Arial"/>
          <w:szCs w:val="24"/>
        </w:rPr>
        <w:t xml:space="preserve"> Inc. The original contracts</w:t>
      </w:r>
      <w:r w:rsidR="00435E69">
        <w:rPr>
          <w:rFonts w:ascii="Arial" w:eastAsia="Times New Roman" w:hAnsi="Arial" w:cs="Arial"/>
          <w:szCs w:val="24"/>
        </w:rPr>
        <w:t xml:space="preserve"> are maintained on file in the O</w:t>
      </w:r>
      <w:r w:rsidRPr="00066F04">
        <w:rPr>
          <w:rFonts w:ascii="Arial" w:eastAsia="Times New Roman" w:hAnsi="Arial" w:cs="Arial"/>
          <w:szCs w:val="24"/>
        </w:rPr>
        <w:t xml:space="preserve">ffice of the </w:t>
      </w:r>
      <w:r w:rsidR="00990483">
        <w:rPr>
          <w:rFonts w:ascii="Arial" w:eastAsia="Times New Roman" w:hAnsi="Arial" w:cs="Arial"/>
          <w:szCs w:val="24"/>
        </w:rPr>
        <w:t>Executive Vice President for Operations and Chief Financial Officer</w:t>
      </w:r>
      <w:r w:rsidRPr="00066F04">
        <w:rPr>
          <w:rFonts w:ascii="Arial" w:eastAsia="Times New Roman" w:hAnsi="Arial" w:cs="Arial"/>
          <w:szCs w:val="24"/>
        </w:rPr>
        <w:t xml:space="preserve">. The </w:t>
      </w:r>
      <w:r w:rsidR="002F2384">
        <w:rPr>
          <w:rFonts w:ascii="Arial" w:eastAsia="Times New Roman" w:hAnsi="Arial" w:cs="Arial"/>
          <w:szCs w:val="24"/>
        </w:rPr>
        <w:t xml:space="preserve">executive </w:t>
      </w:r>
      <w:r w:rsidR="00D76A6E">
        <w:rPr>
          <w:rFonts w:ascii="Arial" w:eastAsia="Times New Roman" w:hAnsi="Arial" w:cs="Arial"/>
          <w:szCs w:val="24"/>
        </w:rPr>
        <w:t>d</w:t>
      </w:r>
      <w:r w:rsidRPr="00066F04">
        <w:rPr>
          <w:rFonts w:ascii="Arial" w:eastAsia="Times New Roman" w:hAnsi="Arial" w:cs="Arial"/>
          <w:szCs w:val="24"/>
        </w:rPr>
        <w:t>irector of Auxiliary Services will maintain copies of the contracts.</w:t>
      </w:r>
    </w:p>
    <w:p w14:paraId="03CBA92C" w14:textId="77777777" w:rsidR="00507C54" w:rsidRPr="00066F04" w:rsidRDefault="00507C54" w:rsidP="00F93A58">
      <w:pPr>
        <w:ind w:left="720" w:hanging="720"/>
        <w:rPr>
          <w:rFonts w:ascii="Arial" w:eastAsia="Times New Roman" w:hAnsi="Arial" w:cs="Arial"/>
          <w:szCs w:val="24"/>
        </w:rPr>
      </w:pPr>
    </w:p>
    <w:p w14:paraId="3725BE8C" w14:textId="77777777" w:rsidR="00C32148" w:rsidRPr="00066F04" w:rsidRDefault="00C32148" w:rsidP="00F93A58">
      <w:pPr>
        <w:ind w:left="720" w:hanging="720"/>
        <w:rPr>
          <w:rFonts w:ascii="Arial" w:eastAsia="Times New Roman" w:hAnsi="Arial" w:cs="Arial"/>
          <w:b/>
          <w:szCs w:val="24"/>
        </w:rPr>
      </w:pPr>
      <w:r w:rsidRPr="00066F04">
        <w:rPr>
          <w:rFonts w:ascii="Arial" w:eastAsia="Times New Roman" w:hAnsi="Arial" w:cs="Arial"/>
          <w:b/>
          <w:szCs w:val="24"/>
        </w:rPr>
        <w:t xml:space="preserve">03. </w:t>
      </w:r>
      <w:r w:rsidR="00C81727" w:rsidRPr="00066F04">
        <w:rPr>
          <w:rFonts w:ascii="Arial" w:eastAsia="Times New Roman" w:hAnsi="Arial" w:cs="Arial"/>
          <w:b/>
          <w:szCs w:val="24"/>
        </w:rPr>
        <w:tab/>
      </w:r>
      <w:r w:rsidRPr="00066F04">
        <w:rPr>
          <w:rFonts w:ascii="Arial" w:eastAsia="Times New Roman" w:hAnsi="Arial" w:cs="Arial"/>
          <w:b/>
          <w:szCs w:val="24"/>
        </w:rPr>
        <w:t xml:space="preserve">COPYRIGHT LICENSE FEES </w:t>
      </w:r>
    </w:p>
    <w:p w14:paraId="3E0BD83A" w14:textId="77777777" w:rsidR="00507C54" w:rsidRPr="00066F04" w:rsidRDefault="00507C54" w:rsidP="00F93A58">
      <w:pPr>
        <w:ind w:left="720" w:hanging="720"/>
        <w:rPr>
          <w:rFonts w:ascii="Arial" w:eastAsia="Times New Roman" w:hAnsi="Arial" w:cs="Arial"/>
          <w:szCs w:val="24"/>
        </w:rPr>
      </w:pPr>
    </w:p>
    <w:p w14:paraId="6772FAF7" w14:textId="5B3AD6FC" w:rsidR="00C32148" w:rsidRPr="00066F04" w:rsidRDefault="00C32148" w:rsidP="00F93A58">
      <w:pPr>
        <w:ind w:left="1440" w:hanging="720"/>
        <w:rPr>
          <w:rFonts w:ascii="Arial" w:eastAsia="Times New Roman" w:hAnsi="Arial" w:cs="Arial"/>
          <w:szCs w:val="24"/>
        </w:rPr>
      </w:pPr>
      <w:r w:rsidRPr="00066F04">
        <w:rPr>
          <w:rFonts w:ascii="Arial" w:eastAsia="Times New Roman" w:hAnsi="Arial" w:cs="Arial"/>
          <w:szCs w:val="24"/>
        </w:rPr>
        <w:t>03.01</w:t>
      </w:r>
      <w:r w:rsidRPr="00066F04">
        <w:rPr>
          <w:rFonts w:ascii="Arial" w:eastAsia="Times New Roman" w:hAnsi="Arial" w:cs="Arial"/>
          <w:szCs w:val="24"/>
        </w:rPr>
        <w:tab/>
        <w:t xml:space="preserve">The license agreements that have been executed with </w:t>
      </w:r>
      <w:r w:rsidR="00990483" w:rsidRPr="00066F04">
        <w:rPr>
          <w:rFonts w:ascii="Arial" w:eastAsia="Times New Roman" w:hAnsi="Arial" w:cs="Arial"/>
          <w:szCs w:val="24"/>
        </w:rPr>
        <w:t>ASCAP,</w:t>
      </w:r>
      <w:r w:rsidR="00990483" w:rsidRPr="00066F04">
        <w:rPr>
          <w:rFonts w:ascii="Arial" w:eastAsia="Times New Roman" w:hAnsi="Arial" w:cs="Arial"/>
          <w:szCs w:val="24"/>
        </w:rPr>
        <w:t xml:space="preserve"> </w:t>
      </w:r>
      <w:r w:rsidRPr="00066F04">
        <w:rPr>
          <w:rFonts w:ascii="Arial" w:eastAsia="Times New Roman" w:hAnsi="Arial" w:cs="Arial"/>
          <w:szCs w:val="24"/>
        </w:rPr>
        <w:t>BM</w:t>
      </w:r>
      <w:r w:rsidR="003E2049">
        <w:rPr>
          <w:rFonts w:ascii="Arial" w:eastAsia="Times New Roman" w:hAnsi="Arial" w:cs="Arial"/>
          <w:szCs w:val="24"/>
        </w:rPr>
        <w:t>I</w:t>
      </w:r>
      <w:r w:rsidRPr="00066F04">
        <w:rPr>
          <w:rFonts w:ascii="Arial" w:eastAsia="Times New Roman" w:hAnsi="Arial" w:cs="Arial"/>
          <w:szCs w:val="24"/>
        </w:rPr>
        <w:t xml:space="preserve">, </w:t>
      </w:r>
      <w:r w:rsidR="003E2049">
        <w:rPr>
          <w:rFonts w:ascii="Arial" w:eastAsia="Times New Roman" w:hAnsi="Arial" w:cs="Arial"/>
          <w:szCs w:val="24"/>
        </w:rPr>
        <w:t>Global Music Rights</w:t>
      </w:r>
      <w:r w:rsidR="00D76A6E">
        <w:rPr>
          <w:rFonts w:ascii="Arial" w:eastAsia="Times New Roman" w:hAnsi="Arial" w:cs="Arial"/>
          <w:szCs w:val="24"/>
        </w:rPr>
        <w:t>,</w:t>
      </w:r>
      <w:r w:rsidR="003E2049">
        <w:rPr>
          <w:rFonts w:ascii="Arial" w:eastAsia="Times New Roman" w:hAnsi="Arial" w:cs="Arial"/>
          <w:szCs w:val="24"/>
        </w:rPr>
        <w:t xml:space="preserve"> </w:t>
      </w:r>
      <w:r w:rsidRPr="00066F04">
        <w:rPr>
          <w:rFonts w:ascii="Arial" w:eastAsia="Times New Roman" w:hAnsi="Arial" w:cs="Arial"/>
          <w:szCs w:val="24"/>
        </w:rPr>
        <w:t xml:space="preserve">and SESAC </w:t>
      </w:r>
      <w:r w:rsidR="00990483">
        <w:rPr>
          <w:rFonts w:ascii="Arial" w:eastAsia="Times New Roman" w:hAnsi="Arial" w:cs="Arial"/>
          <w:szCs w:val="24"/>
        </w:rPr>
        <w:t xml:space="preserve">Inc. </w:t>
      </w:r>
      <w:r w:rsidRPr="00066F04">
        <w:rPr>
          <w:rFonts w:ascii="Arial" w:eastAsia="Times New Roman" w:hAnsi="Arial" w:cs="Arial"/>
          <w:szCs w:val="24"/>
        </w:rPr>
        <w:t xml:space="preserve">require per student fees based </w:t>
      </w:r>
      <w:r w:rsidR="00435E69">
        <w:rPr>
          <w:rFonts w:ascii="Arial" w:eastAsia="Times New Roman" w:hAnsi="Arial" w:cs="Arial"/>
          <w:szCs w:val="24"/>
        </w:rPr>
        <w:t>on the total graduate and under</w:t>
      </w:r>
      <w:r w:rsidRPr="00066F04">
        <w:rPr>
          <w:rFonts w:ascii="Arial" w:eastAsia="Times New Roman" w:hAnsi="Arial" w:cs="Arial"/>
          <w:szCs w:val="24"/>
        </w:rPr>
        <w:t>graduate</w:t>
      </w:r>
      <w:r w:rsidR="00D76A6E">
        <w:rPr>
          <w:rFonts w:ascii="Arial" w:eastAsia="Times New Roman" w:hAnsi="Arial" w:cs="Arial"/>
          <w:szCs w:val="24"/>
        </w:rPr>
        <w:t>,</w:t>
      </w:r>
      <w:r w:rsidRPr="00066F04">
        <w:rPr>
          <w:rFonts w:ascii="Arial" w:eastAsia="Times New Roman" w:hAnsi="Arial" w:cs="Arial"/>
          <w:szCs w:val="24"/>
        </w:rPr>
        <w:t xml:space="preserve"> full-time equivalent students enrolled during the reporting period.</w:t>
      </w:r>
    </w:p>
    <w:p w14:paraId="4112C406" w14:textId="77777777" w:rsidR="00507C54" w:rsidRPr="00066F04" w:rsidRDefault="00507C54" w:rsidP="00F93A58">
      <w:pPr>
        <w:ind w:left="1440" w:hanging="720"/>
        <w:rPr>
          <w:rFonts w:ascii="Arial" w:eastAsia="Times New Roman" w:hAnsi="Arial" w:cs="Arial"/>
          <w:szCs w:val="24"/>
        </w:rPr>
      </w:pPr>
    </w:p>
    <w:p w14:paraId="07F70269" w14:textId="068F1690" w:rsidR="00C32148" w:rsidRPr="00066F04" w:rsidRDefault="00C32148" w:rsidP="00F93A58">
      <w:pPr>
        <w:ind w:left="1440" w:hanging="720"/>
        <w:rPr>
          <w:rFonts w:ascii="Arial" w:eastAsia="Times New Roman" w:hAnsi="Arial" w:cs="Arial"/>
          <w:szCs w:val="24"/>
        </w:rPr>
      </w:pPr>
      <w:r w:rsidRPr="00066F04">
        <w:rPr>
          <w:rFonts w:ascii="Arial" w:eastAsia="Times New Roman" w:hAnsi="Arial" w:cs="Arial"/>
          <w:szCs w:val="24"/>
        </w:rPr>
        <w:t>03.02</w:t>
      </w:r>
      <w:r w:rsidRPr="00066F04">
        <w:rPr>
          <w:rFonts w:ascii="Arial" w:eastAsia="Times New Roman" w:hAnsi="Arial" w:cs="Arial"/>
          <w:szCs w:val="24"/>
        </w:rPr>
        <w:tab/>
        <w:t xml:space="preserve">The license agreements require that Texas State submit quarterly copies of musical programs performed. The required reports are submitted by the </w:t>
      </w:r>
      <w:r w:rsidR="00D76A6E">
        <w:rPr>
          <w:rFonts w:ascii="Arial" w:eastAsia="Times New Roman" w:hAnsi="Arial" w:cs="Arial"/>
          <w:szCs w:val="24"/>
        </w:rPr>
        <w:t>c</w:t>
      </w:r>
      <w:r w:rsidR="00435E69">
        <w:rPr>
          <w:rFonts w:ascii="Arial" w:eastAsia="Times New Roman" w:hAnsi="Arial" w:cs="Arial"/>
          <w:szCs w:val="24"/>
        </w:rPr>
        <w:t>hair</w:t>
      </w:r>
      <w:r w:rsidRPr="00066F04">
        <w:rPr>
          <w:rFonts w:ascii="Arial" w:eastAsia="Times New Roman" w:hAnsi="Arial" w:cs="Arial"/>
          <w:szCs w:val="24"/>
        </w:rPr>
        <w:t xml:space="preserve"> of the </w:t>
      </w:r>
      <w:r w:rsidR="00990483">
        <w:rPr>
          <w:rFonts w:ascii="Arial" w:eastAsia="Times New Roman" w:hAnsi="Arial" w:cs="Arial"/>
          <w:szCs w:val="24"/>
        </w:rPr>
        <w:t xml:space="preserve">School of </w:t>
      </w:r>
      <w:r w:rsidRPr="00066F04">
        <w:rPr>
          <w:rFonts w:ascii="Arial" w:eastAsia="Times New Roman" w:hAnsi="Arial" w:cs="Arial"/>
          <w:szCs w:val="24"/>
        </w:rPr>
        <w:t xml:space="preserve">Music. </w:t>
      </w:r>
    </w:p>
    <w:p w14:paraId="2A241CA9" w14:textId="77777777" w:rsidR="00C32148" w:rsidRPr="00066F04" w:rsidRDefault="00C32148" w:rsidP="00F93A58">
      <w:pPr>
        <w:ind w:left="720" w:hanging="720"/>
        <w:rPr>
          <w:rFonts w:ascii="Arial" w:eastAsia="Times New Roman" w:hAnsi="Arial" w:cs="Arial"/>
          <w:szCs w:val="24"/>
        </w:rPr>
      </w:pPr>
    </w:p>
    <w:p w14:paraId="466C40CF" w14:textId="7E17C1D5" w:rsidR="00C32148" w:rsidRPr="00066F04" w:rsidRDefault="00C32148" w:rsidP="00F93A58">
      <w:pPr>
        <w:ind w:left="720" w:hanging="720"/>
        <w:rPr>
          <w:rFonts w:ascii="Arial" w:eastAsia="Times New Roman" w:hAnsi="Arial" w:cs="Arial"/>
          <w:b/>
          <w:szCs w:val="24"/>
        </w:rPr>
      </w:pPr>
      <w:r w:rsidRPr="00066F04">
        <w:rPr>
          <w:rFonts w:ascii="Arial" w:eastAsia="Times New Roman" w:hAnsi="Arial" w:cs="Arial"/>
          <w:b/>
          <w:szCs w:val="24"/>
        </w:rPr>
        <w:t xml:space="preserve">04. </w:t>
      </w:r>
      <w:r w:rsidR="00507C54" w:rsidRPr="00066F04">
        <w:rPr>
          <w:rFonts w:ascii="Arial" w:eastAsia="Times New Roman" w:hAnsi="Arial" w:cs="Arial"/>
          <w:b/>
          <w:szCs w:val="24"/>
        </w:rPr>
        <w:tab/>
      </w:r>
      <w:r w:rsidR="00D76A6E">
        <w:rPr>
          <w:rFonts w:ascii="Arial" w:eastAsia="Times New Roman" w:hAnsi="Arial" w:cs="Arial"/>
          <w:b/>
          <w:szCs w:val="24"/>
        </w:rPr>
        <w:t xml:space="preserve">PROCEDURES FOR </w:t>
      </w:r>
      <w:r w:rsidRPr="00066F04">
        <w:rPr>
          <w:rFonts w:ascii="Arial" w:eastAsia="Times New Roman" w:hAnsi="Arial" w:cs="Arial"/>
          <w:b/>
          <w:szCs w:val="24"/>
        </w:rPr>
        <w:t xml:space="preserve">PAYMENT OF COPYRIGHT FEES </w:t>
      </w:r>
    </w:p>
    <w:p w14:paraId="41FF0EA1" w14:textId="77777777" w:rsidR="00507C54" w:rsidRPr="00066F04" w:rsidRDefault="00507C54" w:rsidP="00F93A58">
      <w:pPr>
        <w:ind w:left="720" w:hanging="720"/>
        <w:rPr>
          <w:rFonts w:ascii="Arial" w:eastAsia="Times New Roman" w:hAnsi="Arial" w:cs="Arial"/>
          <w:szCs w:val="24"/>
        </w:rPr>
      </w:pPr>
    </w:p>
    <w:p w14:paraId="70E110A0" w14:textId="5DFEB13E" w:rsidR="00C32148" w:rsidRPr="00066F04" w:rsidRDefault="00C32148" w:rsidP="00F93A58">
      <w:pPr>
        <w:ind w:left="1440" w:hanging="720"/>
        <w:rPr>
          <w:rFonts w:ascii="Arial" w:eastAsia="Times New Roman" w:hAnsi="Arial" w:cs="Arial"/>
          <w:szCs w:val="24"/>
        </w:rPr>
      </w:pPr>
      <w:r w:rsidRPr="00066F04">
        <w:rPr>
          <w:rFonts w:ascii="Arial" w:eastAsia="Times New Roman" w:hAnsi="Arial" w:cs="Arial"/>
          <w:szCs w:val="24"/>
        </w:rPr>
        <w:lastRenderedPageBreak/>
        <w:t>04.01</w:t>
      </w:r>
      <w:r w:rsidRPr="00066F04">
        <w:rPr>
          <w:rFonts w:ascii="Arial" w:eastAsia="Times New Roman" w:hAnsi="Arial" w:cs="Arial"/>
          <w:szCs w:val="24"/>
        </w:rPr>
        <w:tab/>
        <w:t xml:space="preserve">An auxiliary account </w:t>
      </w:r>
      <w:r w:rsidR="00990483">
        <w:rPr>
          <w:rFonts w:ascii="Arial" w:eastAsia="Times New Roman" w:hAnsi="Arial" w:cs="Arial"/>
          <w:szCs w:val="24"/>
        </w:rPr>
        <w:t>will be</w:t>
      </w:r>
      <w:r w:rsidRPr="00066F04">
        <w:rPr>
          <w:rFonts w:ascii="Arial" w:eastAsia="Times New Roman" w:hAnsi="Arial" w:cs="Arial"/>
          <w:szCs w:val="24"/>
        </w:rPr>
        <w:t xml:space="preserve"> established for payment of all copyright fees. The </w:t>
      </w:r>
      <w:r w:rsidR="00990483">
        <w:rPr>
          <w:rFonts w:ascii="Arial" w:eastAsia="Times New Roman" w:hAnsi="Arial" w:cs="Arial"/>
          <w:szCs w:val="24"/>
        </w:rPr>
        <w:t>e</w:t>
      </w:r>
      <w:r w:rsidR="00990483">
        <w:rPr>
          <w:rFonts w:ascii="Arial" w:eastAsia="Times New Roman" w:hAnsi="Arial" w:cs="Arial"/>
          <w:szCs w:val="24"/>
        </w:rPr>
        <w:t xml:space="preserve">xecutive </w:t>
      </w:r>
      <w:r w:rsidR="00990483">
        <w:rPr>
          <w:rFonts w:ascii="Arial" w:eastAsia="Times New Roman" w:hAnsi="Arial" w:cs="Arial"/>
          <w:szCs w:val="24"/>
        </w:rPr>
        <w:t>v</w:t>
      </w:r>
      <w:r w:rsidR="00990483">
        <w:rPr>
          <w:rFonts w:ascii="Arial" w:eastAsia="Times New Roman" w:hAnsi="Arial" w:cs="Arial"/>
          <w:szCs w:val="24"/>
        </w:rPr>
        <w:t xml:space="preserve">ice </w:t>
      </w:r>
      <w:r w:rsidR="00990483">
        <w:rPr>
          <w:rFonts w:ascii="Arial" w:eastAsia="Times New Roman" w:hAnsi="Arial" w:cs="Arial"/>
          <w:szCs w:val="24"/>
        </w:rPr>
        <w:t>p</w:t>
      </w:r>
      <w:r w:rsidR="00990483">
        <w:rPr>
          <w:rFonts w:ascii="Arial" w:eastAsia="Times New Roman" w:hAnsi="Arial" w:cs="Arial"/>
          <w:szCs w:val="24"/>
        </w:rPr>
        <w:t>resident for Operations and Chief Financial Officer</w:t>
      </w:r>
      <w:r w:rsidR="00990483" w:rsidRPr="00066F04">
        <w:rPr>
          <w:rFonts w:ascii="Arial" w:eastAsia="Times New Roman" w:hAnsi="Arial" w:cs="Arial"/>
          <w:szCs w:val="24"/>
        </w:rPr>
        <w:t xml:space="preserve"> </w:t>
      </w:r>
      <w:r w:rsidR="00990483">
        <w:rPr>
          <w:rFonts w:ascii="Arial" w:eastAsia="Times New Roman" w:hAnsi="Arial" w:cs="Arial"/>
          <w:szCs w:val="24"/>
        </w:rPr>
        <w:t>will</w:t>
      </w:r>
      <w:r w:rsidRPr="00066F04">
        <w:rPr>
          <w:rFonts w:ascii="Arial" w:eastAsia="Times New Roman" w:hAnsi="Arial" w:cs="Arial"/>
          <w:szCs w:val="24"/>
        </w:rPr>
        <w:t xml:space="preserve"> delegate the account management responsibilities to </w:t>
      </w:r>
      <w:r w:rsidR="002F2384" w:rsidRPr="00066F04">
        <w:rPr>
          <w:rFonts w:ascii="Arial" w:eastAsia="Times New Roman" w:hAnsi="Arial" w:cs="Arial"/>
          <w:szCs w:val="24"/>
        </w:rPr>
        <w:t xml:space="preserve">the </w:t>
      </w:r>
      <w:r w:rsidR="002F2384">
        <w:rPr>
          <w:rFonts w:ascii="Arial" w:eastAsia="Times New Roman" w:hAnsi="Arial" w:cs="Arial"/>
          <w:szCs w:val="24"/>
        </w:rPr>
        <w:t xml:space="preserve">executive </w:t>
      </w:r>
      <w:r w:rsidR="00D76A6E">
        <w:rPr>
          <w:rFonts w:ascii="Arial" w:eastAsia="Times New Roman" w:hAnsi="Arial" w:cs="Arial"/>
          <w:szCs w:val="24"/>
        </w:rPr>
        <w:t>d</w:t>
      </w:r>
      <w:r w:rsidRPr="00066F04">
        <w:rPr>
          <w:rFonts w:ascii="Arial" w:eastAsia="Times New Roman" w:hAnsi="Arial" w:cs="Arial"/>
          <w:szCs w:val="24"/>
        </w:rPr>
        <w:t>irector of Auxiliary Services.</w:t>
      </w:r>
    </w:p>
    <w:p w14:paraId="0547B7AD" w14:textId="77777777" w:rsidR="00507C54" w:rsidRPr="00066F04" w:rsidRDefault="00507C54" w:rsidP="00F93A58">
      <w:pPr>
        <w:ind w:left="1440" w:hanging="720"/>
        <w:rPr>
          <w:rFonts w:ascii="Arial" w:eastAsia="Times New Roman" w:hAnsi="Arial" w:cs="Arial"/>
          <w:szCs w:val="24"/>
        </w:rPr>
      </w:pPr>
    </w:p>
    <w:p w14:paraId="2B5E0A8B" w14:textId="54E0D85E" w:rsidR="00C32148" w:rsidRPr="00066F04" w:rsidRDefault="00C32148" w:rsidP="00F93A58">
      <w:pPr>
        <w:ind w:left="1440" w:hanging="720"/>
        <w:rPr>
          <w:rFonts w:ascii="Arial" w:eastAsia="Times New Roman" w:hAnsi="Arial" w:cs="Arial"/>
          <w:szCs w:val="24"/>
        </w:rPr>
      </w:pPr>
      <w:r w:rsidRPr="00066F04">
        <w:rPr>
          <w:rFonts w:ascii="Arial" w:eastAsia="Times New Roman" w:hAnsi="Arial" w:cs="Arial"/>
          <w:szCs w:val="24"/>
        </w:rPr>
        <w:t>04.02</w:t>
      </w:r>
      <w:r w:rsidRPr="00066F04">
        <w:rPr>
          <w:rFonts w:ascii="Arial" w:eastAsia="Times New Roman" w:hAnsi="Arial" w:cs="Arial"/>
          <w:szCs w:val="24"/>
        </w:rPr>
        <w:tab/>
        <w:t xml:space="preserve">On October 1 of each year, the </w:t>
      </w:r>
      <w:r w:rsidR="002F2384">
        <w:rPr>
          <w:rFonts w:ascii="Arial" w:eastAsia="Times New Roman" w:hAnsi="Arial" w:cs="Arial"/>
          <w:szCs w:val="24"/>
        </w:rPr>
        <w:t xml:space="preserve">executive </w:t>
      </w:r>
      <w:r w:rsidR="00D76A6E">
        <w:rPr>
          <w:rFonts w:ascii="Arial" w:eastAsia="Times New Roman" w:hAnsi="Arial" w:cs="Arial"/>
          <w:szCs w:val="24"/>
        </w:rPr>
        <w:t>d</w:t>
      </w:r>
      <w:r w:rsidRPr="00066F04">
        <w:rPr>
          <w:rFonts w:ascii="Arial" w:eastAsia="Times New Roman" w:hAnsi="Arial" w:cs="Arial"/>
          <w:szCs w:val="24"/>
        </w:rPr>
        <w:t>irector of Auxiliary Services will reques</w:t>
      </w:r>
      <w:r w:rsidR="00435E69">
        <w:rPr>
          <w:rFonts w:ascii="Arial" w:eastAsia="Times New Roman" w:hAnsi="Arial" w:cs="Arial"/>
          <w:szCs w:val="24"/>
        </w:rPr>
        <w:t xml:space="preserve">t from the </w:t>
      </w:r>
      <w:r w:rsidR="00990483">
        <w:rPr>
          <w:rFonts w:ascii="Arial" w:eastAsia="Times New Roman" w:hAnsi="Arial" w:cs="Arial"/>
          <w:szCs w:val="24"/>
        </w:rPr>
        <w:t>Office of the U</w:t>
      </w:r>
      <w:r w:rsidR="00435E69">
        <w:rPr>
          <w:rFonts w:ascii="Arial" w:eastAsia="Times New Roman" w:hAnsi="Arial" w:cs="Arial"/>
          <w:szCs w:val="24"/>
        </w:rPr>
        <w:t xml:space="preserve">niversity </w:t>
      </w:r>
      <w:r w:rsidR="00990483">
        <w:rPr>
          <w:rFonts w:ascii="Arial" w:eastAsia="Times New Roman" w:hAnsi="Arial" w:cs="Arial"/>
          <w:szCs w:val="24"/>
        </w:rPr>
        <w:t>R</w:t>
      </w:r>
      <w:r w:rsidRPr="00066F04">
        <w:rPr>
          <w:rFonts w:ascii="Arial" w:eastAsia="Times New Roman" w:hAnsi="Arial" w:cs="Arial"/>
          <w:szCs w:val="24"/>
        </w:rPr>
        <w:t>egistrar the number of graduate and undergraduate full-time equivalent (FTE) students reported for the fall semester.</w:t>
      </w:r>
    </w:p>
    <w:p w14:paraId="51C72DCB" w14:textId="77777777" w:rsidR="00507C54" w:rsidRPr="00066F04" w:rsidRDefault="00507C54" w:rsidP="00F93A58">
      <w:pPr>
        <w:ind w:left="1440" w:hanging="720"/>
        <w:rPr>
          <w:rFonts w:ascii="Arial" w:eastAsia="Times New Roman" w:hAnsi="Arial" w:cs="Arial"/>
          <w:szCs w:val="24"/>
        </w:rPr>
      </w:pPr>
    </w:p>
    <w:p w14:paraId="6134A088" w14:textId="28618F94" w:rsidR="00C32148" w:rsidRPr="00066F04" w:rsidRDefault="00C32148" w:rsidP="00F93A58">
      <w:pPr>
        <w:ind w:left="1440" w:hanging="720"/>
        <w:rPr>
          <w:rFonts w:ascii="Arial" w:eastAsia="Times New Roman" w:hAnsi="Arial" w:cs="Arial"/>
          <w:szCs w:val="24"/>
        </w:rPr>
      </w:pPr>
      <w:r w:rsidRPr="00066F04">
        <w:rPr>
          <w:rFonts w:ascii="Arial" w:eastAsia="Times New Roman" w:hAnsi="Arial" w:cs="Arial"/>
          <w:szCs w:val="24"/>
        </w:rPr>
        <w:t>04.03</w:t>
      </w:r>
      <w:r w:rsidRPr="00066F04">
        <w:rPr>
          <w:rFonts w:ascii="Arial" w:eastAsia="Times New Roman" w:hAnsi="Arial" w:cs="Arial"/>
          <w:szCs w:val="24"/>
        </w:rPr>
        <w:tab/>
        <w:t xml:space="preserve">The </w:t>
      </w:r>
      <w:r w:rsidR="002F2384">
        <w:rPr>
          <w:rFonts w:ascii="Arial" w:eastAsia="Times New Roman" w:hAnsi="Arial" w:cs="Arial"/>
          <w:szCs w:val="24"/>
        </w:rPr>
        <w:t xml:space="preserve">executive </w:t>
      </w:r>
      <w:r w:rsidR="00D76A6E">
        <w:rPr>
          <w:rFonts w:ascii="Arial" w:eastAsia="Times New Roman" w:hAnsi="Arial" w:cs="Arial"/>
          <w:szCs w:val="24"/>
        </w:rPr>
        <w:t>d</w:t>
      </w:r>
      <w:r w:rsidRPr="00066F04">
        <w:rPr>
          <w:rFonts w:ascii="Arial" w:eastAsia="Times New Roman" w:hAnsi="Arial" w:cs="Arial"/>
          <w:szCs w:val="24"/>
        </w:rPr>
        <w:t>irector of Auxiliary Services will report the FTE enrollment figure to the appropriate agencies on or before November 1 of each year. The license fees are based on the reported FTE figure.</w:t>
      </w:r>
    </w:p>
    <w:p w14:paraId="3AFF6ECD" w14:textId="77777777" w:rsidR="00507C54" w:rsidRPr="00066F04" w:rsidRDefault="00507C54" w:rsidP="00F93A58">
      <w:pPr>
        <w:ind w:left="1440" w:hanging="720"/>
        <w:rPr>
          <w:rFonts w:ascii="Arial" w:eastAsia="Times New Roman" w:hAnsi="Arial" w:cs="Arial"/>
          <w:szCs w:val="24"/>
        </w:rPr>
      </w:pPr>
    </w:p>
    <w:p w14:paraId="744A8FCD" w14:textId="23D7E93B" w:rsidR="00C32148" w:rsidRPr="00066F04" w:rsidRDefault="00C32148" w:rsidP="00F93A58">
      <w:pPr>
        <w:ind w:left="1440" w:hanging="720"/>
        <w:rPr>
          <w:rFonts w:ascii="Arial" w:eastAsia="Times New Roman" w:hAnsi="Arial" w:cs="Arial"/>
          <w:szCs w:val="24"/>
        </w:rPr>
      </w:pPr>
      <w:r w:rsidRPr="00066F04">
        <w:rPr>
          <w:rFonts w:ascii="Arial" w:eastAsia="Times New Roman" w:hAnsi="Arial" w:cs="Arial"/>
          <w:szCs w:val="24"/>
        </w:rPr>
        <w:t>04.04</w:t>
      </w:r>
      <w:r w:rsidRPr="00066F04">
        <w:rPr>
          <w:rFonts w:ascii="Arial" w:eastAsia="Times New Roman" w:hAnsi="Arial" w:cs="Arial"/>
          <w:szCs w:val="24"/>
        </w:rPr>
        <w:tab/>
        <w:t xml:space="preserve">As invoices are received from the licensing agents, the </w:t>
      </w:r>
      <w:r w:rsidR="002F2384">
        <w:rPr>
          <w:rFonts w:ascii="Arial" w:eastAsia="Times New Roman" w:hAnsi="Arial" w:cs="Arial"/>
          <w:szCs w:val="24"/>
        </w:rPr>
        <w:t xml:space="preserve">executive </w:t>
      </w:r>
      <w:r w:rsidR="00D76A6E">
        <w:rPr>
          <w:rFonts w:ascii="Arial" w:eastAsia="Times New Roman" w:hAnsi="Arial" w:cs="Arial"/>
          <w:szCs w:val="24"/>
        </w:rPr>
        <w:t>d</w:t>
      </w:r>
      <w:r w:rsidRPr="00066F04">
        <w:rPr>
          <w:rFonts w:ascii="Arial" w:eastAsia="Times New Roman" w:hAnsi="Arial" w:cs="Arial"/>
          <w:szCs w:val="24"/>
        </w:rPr>
        <w:t xml:space="preserve">irector of Auxiliary Services will request the Accounting Office </w:t>
      </w:r>
      <w:proofErr w:type="gramStart"/>
      <w:r w:rsidR="00F83DBD">
        <w:rPr>
          <w:rFonts w:ascii="Arial" w:eastAsia="Times New Roman" w:hAnsi="Arial" w:cs="Arial"/>
          <w:szCs w:val="24"/>
        </w:rPr>
        <w:t>process</w:t>
      </w:r>
      <w:proofErr w:type="gramEnd"/>
      <w:r w:rsidR="00F83DBD">
        <w:rPr>
          <w:rFonts w:ascii="Arial" w:eastAsia="Times New Roman" w:hAnsi="Arial" w:cs="Arial"/>
          <w:szCs w:val="24"/>
        </w:rPr>
        <w:t xml:space="preserve"> payments</w:t>
      </w:r>
      <w:r w:rsidRPr="00066F04">
        <w:rPr>
          <w:rFonts w:ascii="Arial" w:eastAsia="Times New Roman" w:hAnsi="Arial" w:cs="Arial"/>
          <w:szCs w:val="24"/>
        </w:rPr>
        <w:t>.</w:t>
      </w:r>
    </w:p>
    <w:p w14:paraId="6B7BA9CD" w14:textId="77777777" w:rsidR="00507C54" w:rsidRPr="00066F04" w:rsidRDefault="00507C54" w:rsidP="00F93A58">
      <w:pPr>
        <w:ind w:left="720" w:hanging="720"/>
        <w:rPr>
          <w:rFonts w:ascii="Arial" w:eastAsia="Times New Roman" w:hAnsi="Arial" w:cs="Arial"/>
          <w:szCs w:val="24"/>
        </w:rPr>
      </w:pPr>
    </w:p>
    <w:p w14:paraId="022E00E8" w14:textId="2D1B4EC8" w:rsidR="00C32148" w:rsidRPr="00066F04" w:rsidRDefault="00C32148" w:rsidP="00F93A58">
      <w:pPr>
        <w:ind w:left="720" w:hanging="720"/>
        <w:rPr>
          <w:rFonts w:ascii="Arial" w:eastAsia="Times New Roman" w:hAnsi="Arial" w:cs="Arial"/>
          <w:b/>
          <w:szCs w:val="24"/>
        </w:rPr>
      </w:pPr>
      <w:r w:rsidRPr="00066F04">
        <w:rPr>
          <w:rFonts w:ascii="Arial" w:eastAsia="Times New Roman" w:hAnsi="Arial" w:cs="Arial"/>
          <w:b/>
          <w:szCs w:val="24"/>
        </w:rPr>
        <w:t xml:space="preserve">05. </w:t>
      </w:r>
      <w:r w:rsidR="00507C54" w:rsidRPr="00066F04">
        <w:rPr>
          <w:rFonts w:ascii="Arial" w:eastAsia="Times New Roman" w:hAnsi="Arial" w:cs="Arial"/>
          <w:b/>
          <w:szCs w:val="24"/>
        </w:rPr>
        <w:tab/>
      </w:r>
      <w:r w:rsidR="00066F04">
        <w:rPr>
          <w:rFonts w:ascii="Arial" w:eastAsia="Times New Roman" w:hAnsi="Arial" w:cs="Arial"/>
          <w:b/>
          <w:szCs w:val="24"/>
        </w:rPr>
        <w:t>REVIEWER</w:t>
      </w:r>
      <w:r w:rsidR="00F93A58">
        <w:rPr>
          <w:rFonts w:ascii="Arial" w:eastAsia="Times New Roman" w:hAnsi="Arial" w:cs="Arial"/>
          <w:b/>
          <w:szCs w:val="24"/>
        </w:rPr>
        <w:t>S</w:t>
      </w:r>
      <w:r w:rsidR="00066F04">
        <w:rPr>
          <w:rFonts w:ascii="Arial" w:eastAsia="Times New Roman" w:hAnsi="Arial" w:cs="Arial"/>
          <w:b/>
          <w:szCs w:val="24"/>
        </w:rPr>
        <w:t xml:space="preserve"> OF</w:t>
      </w:r>
      <w:r w:rsidRPr="00066F04">
        <w:rPr>
          <w:rFonts w:ascii="Arial" w:eastAsia="Times New Roman" w:hAnsi="Arial" w:cs="Arial"/>
          <w:b/>
          <w:szCs w:val="24"/>
        </w:rPr>
        <w:t xml:space="preserve"> THIS PPS</w:t>
      </w:r>
    </w:p>
    <w:p w14:paraId="39E57942" w14:textId="77777777" w:rsidR="00507C54" w:rsidRPr="00066F04" w:rsidRDefault="00507C54" w:rsidP="00F93A58">
      <w:pPr>
        <w:ind w:left="720" w:hanging="720"/>
        <w:rPr>
          <w:rFonts w:ascii="Arial" w:eastAsia="Times New Roman" w:hAnsi="Arial" w:cs="Arial"/>
          <w:szCs w:val="24"/>
        </w:rPr>
      </w:pPr>
    </w:p>
    <w:p w14:paraId="33699C91" w14:textId="472BA580" w:rsidR="00C32148" w:rsidRPr="00066F04" w:rsidRDefault="00066F04" w:rsidP="00F93A58">
      <w:pPr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05.01</w:t>
      </w:r>
      <w:r>
        <w:rPr>
          <w:rFonts w:ascii="Arial" w:eastAsia="Times New Roman" w:hAnsi="Arial" w:cs="Arial"/>
          <w:szCs w:val="24"/>
        </w:rPr>
        <w:tab/>
        <w:t>Reviewer of</w:t>
      </w:r>
      <w:r w:rsidR="00C32148" w:rsidRPr="00066F04">
        <w:rPr>
          <w:rFonts w:ascii="Arial" w:eastAsia="Times New Roman" w:hAnsi="Arial" w:cs="Arial"/>
          <w:szCs w:val="24"/>
        </w:rPr>
        <w:t xml:space="preserve"> this PPS include</w:t>
      </w:r>
      <w:r w:rsidR="00D76A6E">
        <w:rPr>
          <w:rFonts w:ascii="Arial" w:eastAsia="Times New Roman" w:hAnsi="Arial" w:cs="Arial"/>
          <w:szCs w:val="24"/>
        </w:rPr>
        <w:t>s</w:t>
      </w:r>
      <w:r w:rsidR="00C32148" w:rsidRPr="00066F04">
        <w:rPr>
          <w:rFonts w:ascii="Arial" w:eastAsia="Times New Roman" w:hAnsi="Arial" w:cs="Arial"/>
          <w:szCs w:val="24"/>
        </w:rPr>
        <w:t xml:space="preserve"> the following:</w:t>
      </w:r>
    </w:p>
    <w:p w14:paraId="75A82B02" w14:textId="77777777" w:rsidR="00507C54" w:rsidRPr="00066F04" w:rsidRDefault="00507C54" w:rsidP="00F93A58">
      <w:pPr>
        <w:ind w:left="720" w:hanging="720"/>
        <w:rPr>
          <w:rFonts w:ascii="Arial" w:eastAsia="Times New Roman" w:hAnsi="Arial" w:cs="Arial"/>
          <w:szCs w:val="24"/>
          <w:u w:val="single"/>
        </w:rPr>
      </w:pPr>
    </w:p>
    <w:p w14:paraId="4F86DEBE" w14:textId="77777777" w:rsidR="00C32148" w:rsidRDefault="00066F04" w:rsidP="00F93A58">
      <w:pPr>
        <w:tabs>
          <w:tab w:val="left" w:pos="5760"/>
        </w:tabs>
        <w:ind w:left="1440"/>
        <w:rPr>
          <w:rFonts w:ascii="Arial" w:eastAsia="Times New Roman" w:hAnsi="Arial" w:cs="Arial"/>
          <w:szCs w:val="24"/>
          <w:u w:val="single"/>
        </w:rPr>
      </w:pPr>
      <w:r>
        <w:rPr>
          <w:rFonts w:ascii="Arial" w:eastAsia="Times New Roman" w:hAnsi="Arial" w:cs="Arial"/>
          <w:szCs w:val="24"/>
          <w:u w:val="single"/>
        </w:rPr>
        <w:t>Position</w:t>
      </w:r>
      <w:r w:rsidR="00C32148" w:rsidRPr="00066F04">
        <w:rPr>
          <w:rFonts w:ascii="Arial" w:eastAsia="Times New Roman" w:hAnsi="Arial" w:cs="Arial"/>
          <w:szCs w:val="24"/>
        </w:rPr>
        <w:tab/>
      </w:r>
      <w:r w:rsidR="00C32148" w:rsidRPr="00066F04">
        <w:rPr>
          <w:rFonts w:ascii="Arial" w:eastAsia="Times New Roman" w:hAnsi="Arial" w:cs="Arial"/>
          <w:szCs w:val="24"/>
          <w:u w:val="single"/>
        </w:rPr>
        <w:t>Date</w:t>
      </w:r>
    </w:p>
    <w:p w14:paraId="041BF1F9" w14:textId="77777777" w:rsidR="00432953" w:rsidRPr="00066F04" w:rsidRDefault="00432953" w:rsidP="00F93A58">
      <w:pPr>
        <w:tabs>
          <w:tab w:val="left" w:pos="5760"/>
        </w:tabs>
        <w:ind w:left="1440"/>
        <w:rPr>
          <w:rFonts w:ascii="Arial" w:eastAsia="Times New Roman" w:hAnsi="Arial" w:cs="Arial"/>
          <w:szCs w:val="24"/>
          <w:u w:val="single"/>
        </w:rPr>
      </w:pPr>
    </w:p>
    <w:p w14:paraId="3F1E93DB" w14:textId="374163C3" w:rsidR="00C32148" w:rsidRDefault="002F2384" w:rsidP="00F93A58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Executive </w:t>
      </w:r>
      <w:r w:rsidR="00C32148" w:rsidRPr="00066F04">
        <w:rPr>
          <w:rFonts w:ascii="Arial" w:eastAsia="Times New Roman" w:hAnsi="Arial" w:cs="Arial"/>
          <w:szCs w:val="24"/>
        </w:rPr>
        <w:t>Direc</w:t>
      </w:r>
      <w:r w:rsidR="00066F04">
        <w:rPr>
          <w:rFonts w:ascii="Arial" w:eastAsia="Times New Roman" w:hAnsi="Arial" w:cs="Arial"/>
          <w:szCs w:val="24"/>
        </w:rPr>
        <w:t>tor</w:t>
      </w:r>
      <w:r w:rsidR="00F93A58">
        <w:rPr>
          <w:rFonts w:ascii="Arial" w:eastAsia="Times New Roman" w:hAnsi="Arial" w:cs="Arial"/>
          <w:szCs w:val="24"/>
        </w:rPr>
        <w:t xml:space="preserve"> of</w:t>
      </w:r>
      <w:r w:rsidR="00066F04">
        <w:rPr>
          <w:rFonts w:ascii="Arial" w:eastAsia="Times New Roman" w:hAnsi="Arial" w:cs="Arial"/>
          <w:szCs w:val="24"/>
        </w:rPr>
        <w:t xml:space="preserve"> Auxiliary</w:t>
      </w:r>
      <w:r w:rsidR="00066F04">
        <w:rPr>
          <w:rFonts w:ascii="Arial" w:eastAsia="Times New Roman" w:hAnsi="Arial" w:cs="Arial"/>
          <w:szCs w:val="24"/>
        </w:rPr>
        <w:tab/>
        <w:t>April 1 E4Y</w:t>
      </w:r>
    </w:p>
    <w:p w14:paraId="3E2A22A4" w14:textId="717FC65E" w:rsidR="00F93A58" w:rsidRPr="00066F04" w:rsidRDefault="00F93A58" w:rsidP="00F93A58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Services</w:t>
      </w:r>
    </w:p>
    <w:p w14:paraId="131B0D75" w14:textId="77777777" w:rsidR="00C32148" w:rsidRPr="00066F04" w:rsidRDefault="00C32148" w:rsidP="00F93A58">
      <w:pPr>
        <w:ind w:left="720" w:hanging="720"/>
        <w:rPr>
          <w:rFonts w:ascii="Arial" w:eastAsia="Times New Roman" w:hAnsi="Arial" w:cs="Arial"/>
          <w:szCs w:val="24"/>
        </w:rPr>
      </w:pPr>
    </w:p>
    <w:p w14:paraId="0FDFED44" w14:textId="77777777" w:rsidR="00C32148" w:rsidRPr="00066F04" w:rsidRDefault="00507C54" w:rsidP="00F93A58">
      <w:pPr>
        <w:ind w:left="720" w:hanging="720"/>
        <w:rPr>
          <w:rFonts w:ascii="Arial" w:eastAsia="Times New Roman" w:hAnsi="Arial" w:cs="Arial"/>
          <w:b/>
          <w:szCs w:val="24"/>
        </w:rPr>
      </w:pPr>
      <w:r w:rsidRPr="00066F04">
        <w:rPr>
          <w:rFonts w:ascii="Arial" w:eastAsia="Times New Roman" w:hAnsi="Arial" w:cs="Arial"/>
          <w:b/>
          <w:szCs w:val="24"/>
        </w:rPr>
        <w:t xml:space="preserve">06. </w:t>
      </w:r>
      <w:r w:rsidRPr="00066F04">
        <w:rPr>
          <w:rFonts w:ascii="Arial" w:eastAsia="Times New Roman" w:hAnsi="Arial" w:cs="Arial"/>
          <w:b/>
          <w:szCs w:val="24"/>
        </w:rPr>
        <w:tab/>
      </w:r>
      <w:r w:rsidR="00066F04">
        <w:rPr>
          <w:rFonts w:ascii="Arial" w:eastAsia="Times New Roman" w:hAnsi="Arial" w:cs="Arial"/>
          <w:b/>
          <w:szCs w:val="24"/>
        </w:rPr>
        <w:t xml:space="preserve">CERTIFICATION </w:t>
      </w:r>
      <w:r w:rsidRPr="00066F04">
        <w:rPr>
          <w:rFonts w:ascii="Arial" w:eastAsia="Times New Roman" w:hAnsi="Arial" w:cs="Arial"/>
          <w:b/>
          <w:szCs w:val="24"/>
        </w:rPr>
        <w:t>STATEMENT</w:t>
      </w:r>
    </w:p>
    <w:p w14:paraId="1C9E002E" w14:textId="77777777" w:rsidR="00507C54" w:rsidRPr="00066F04" w:rsidRDefault="00507C54" w:rsidP="00F93A58">
      <w:pPr>
        <w:rPr>
          <w:rFonts w:ascii="Arial" w:eastAsia="Times New Roman" w:hAnsi="Arial" w:cs="Arial"/>
          <w:szCs w:val="24"/>
        </w:rPr>
      </w:pPr>
    </w:p>
    <w:p w14:paraId="74799A35" w14:textId="77777777" w:rsidR="00C32148" w:rsidRPr="00066F04" w:rsidRDefault="00066F04" w:rsidP="00F93A58">
      <w:pPr>
        <w:ind w:left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This </w:t>
      </w:r>
      <w:r w:rsidR="00C32148" w:rsidRPr="00066F04">
        <w:rPr>
          <w:rFonts w:ascii="Arial" w:eastAsia="Times New Roman" w:hAnsi="Arial" w:cs="Arial"/>
          <w:szCs w:val="24"/>
        </w:rPr>
        <w:t>PPS has been approved by the following individua</w:t>
      </w:r>
      <w:r>
        <w:rPr>
          <w:rFonts w:ascii="Arial" w:eastAsia="Times New Roman" w:hAnsi="Arial" w:cs="Arial"/>
          <w:szCs w:val="24"/>
        </w:rPr>
        <w:t>ls in their official capacities</w:t>
      </w:r>
      <w:r w:rsidR="00C32148" w:rsidRPr="00066F04">
        <w:rPr>
          <w:rFonts w:ascii="Arial" w:eastAsia="Times New Roman" w:hAnsi="Arial" w:cs="Arial"/>
          <w:szCs w:val="24"/>
        </w:rPr>
        <w:t xml:space="preserve"> and represents </w:t>
      </w:r>
      <w:r>
        <w:rPr>
          <w:rFonts w:ascii="Arial" w:eastAsia="Times New Roman" w:hAnsi="Arial" w:cs="Arial"/>
          <w:szCs w:val="24"/>
        </w:rPr>
        <w:t xml:space="preserve">Texas State </w:t>
      </w:r>
      <w:r w:rsidR="00C32148" w:rsidRPr="00066F04">
        <w:rPr>
          <w:rFonts w:ascii="Arial" w:eastAsia="Times New Roman" w:hAnsi="Arial" w:cs="Arial"/>
          <w:szCs w:val="24"/>
        </w:rPr>
        <w:t>F</w:t>
      </w:r>
      <w:r>
        <w:rPr>
          <w:rFonts w:ascii="Arial" w:eastAsia="Times New Roman" w:hAnsi="Arial" w:cs="Arial"/>
          <w:szCs w:val="24"/>
        </w:rPr>
        <w:t xml:space="preserve">inance and </w:t>
      </w:r>
      <w:r w:rsidR="00C32148" w:rsidRPr="00066F04">
        <w:rPr>
          <w:rFonts w:ascii="Arial" w:eastAsia="Times New Roman" w:hAnsi="Arial" w:cs="Arial"/>
          <w:szCs w:val="24"/>
        </w:rPr>
        <w:t>S</w:t>
      </w:r>
      <w:r>
        <w:rPr>
          <w:rFonts w:ascii="Arial" w:eastAsia="Times New Roman" w:hAnsi="Arial" w:cs="Arial"/>
          <w:szCs w:val="24"/>
        </w:rPr>
        <w:t xml:space="preserve">upport </w:t>
      </w:r>
      <w:r w:rsidR="00C32148" w:rsidRPr="00066F04">
        <w:rPr>
          <w:rFonts w:ascii="Arial" w:eastAsia="Times New Roman" w:hAnsi="Arial" w:cs="Arial"/>
          <w:szCs w:val="24"/>
        </w:rPr>
        <w:t>S</w:t>
      </w:r>
      <w:r>
        <w:rPr>
          <w:rFonts w:ascii="Arial" w:eastAsia="Times New Roman" w:hAnsi="Arial" w:cs="Arial"/>
          <w:szCs w:val="24"/>
        </w:rPr>
        <w:t>ervices</w:t>
      </w:r>
      <w:r w:rsidR="00C32148" w:rsidRPr="00066F04">
        <w:rPr>
          <w:rFonts w:ascii="Arial" w:eastAsia="Times New Roman" w:hAnsi="Arial" w:cs="Arial"/>
          <w:szCs w:val="24"/>
        </w:rPr>
        <w:t xml:space="preserve"> policy and procedure from the date of this document until superseded.</w:t>
      </w:r>
    </w:p>
    <w:p w14:paraId="781DD79D" w14:textId="77777777" w:rsidR="00507C54" w:rsidRPr="00066F04" w:rsidRDefault="00507C54" w:rsidP="00F93A58">
      <w:pPr>
        <w:ind w:left="720"/>
        <w:rPr>
          <w:rFonts w:ascii="Arial" w:eastAsia="Times New Roman" w:hAnsi="Arial" w:cs="Arial"/>
          <w:szCs w:val="24"/>
        </w:rPr>
      </w:pPr>
    </w:p>
    <w:p w14:paraId="2BE5A5B0" w14:textId="00F662E4" w:rsidR="00C32148" w:rsidRPr="00066F04" w:rsidRDefault="002F2384" w:rsidP="00F93A58">
      <w:pPr>
        <w:ind w:left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Executive </w:t>
      </w:r>
      <w:r w:rsidR="00066F04">
        <w:rPr>
          <w:rFonts w:ascii="Arial" w:eastAsia="Times New Roman" w:hAnsi="Arial" w:cs="Arial"/>
          <w:szCs w:val="24"/>
        </w:rPr>
        <w:t>Director</w:t>
      </w:r>
      <w:r w:rsidR="00F93A58">
        <w:rPr>
          <w:rFonts w:ascii="Arial" w:eastAsia="Times New Roman" w:hAnsi="Arial" w:cs="Arial"/>
          <w:szCs w:val="24"/>
        </w:rPr>
        <w:t xml:space="preserve"> of</w:t>
      </w:r>
      <w:r w:rsidR="00066F04">
        <w:rPr>
          <w:rFonts w:ascii="Arial" w:eastAsia="Times New Roman" w:hAnsi="Arial" w:cs="Arial"/>
          <w:szCs w:val="24"/>
        </w:rPr>
        <w:t xml:space="preserve"> Auxiliary Services; senior r</w:t>
      </w:r>
      <w:r w:rsidR="00C32148" w:rsidRPr="00066F04">
        <w:rPr>
          <w:rFonts w:ascii="Arial" w:eastAsia="Times New Roman" w:hAnsi="Arial" w:cs="Arial"/>
          <w:szCs w:val="24"/>
        </w:rPr>
        <w:t>eviewer</w:t>
      </w:r>
      <w:r w:rsidR="00066F04">
        <w:rPr>
          <w:rFonts w:ascii="Arial" w:eastAsia="Times New Roman" w:hAnsi="Arial" w:cs="Arial"/>
          <w:szCs w:val="24"/>
        </w:rPr>
        <w:t xml:space="preserve"> of this PPS</w:t>
      </w:r>
    </w:p>
    <w:p w14:paraId="241209F6" w14:textId="77777777" w:rsidR="00507C54" w:rsidRPr="00066F04" w:rsidRDefault="00507C54" w:rsidP="00F93A58">
      <w:pPr>
        <w:ind w:left="720"/>
        <w:rPr>
          <w:rFonts w:ascii="Arial" w:eastAsia="Times New Roman" w:hAnsi="Arial" w:cs="Arial"/>
          <w:szCs w:val="24"/>
        </w:rPr>
      </w:pPr>
    </w:p>
    <w:p w14:paraId="6314DE9C" w14:textId="29C186A1" w:rsidR="00507C54" w:rsidRPr="00066F04" w:rsidRDefault="002F2384" w:rsidP="00F93A58">
      <w:pPr>
        <w:ind w:left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Executive </w:t>
      </w:r>
      <w:r w:rsidR="00C32148" w:rsidRPr="00066F04">
        <w:rPr>
          <w:rFonts w:ascii="Arial" w:eastAsia="Times New Roman" w:hAnsi="Arial" w:cs="Arial"/>
          <w:szCs w:val="24"/>
        </w:rPr>
        <w:t xml:space="preserve">Vice President for </w:t>
      </w:r>
      <w:r>
        <w:rPr>
          <w:rFonts w:ascii="Arial" w:eastAsia="Times New Roman" w:hAnsi="Arial" w:cs="Arial"/>
          <w:szCs w:val="24"/>
        </w:rPr>
        <w:t xml:space="preserve">Operations and Chief Financial Officer </w:t>
      </w:r>
    </w:p>
    <w:sectPr w:rsidR="00507C54" w:rsidRPr="00066F04" w:rsidSect="007B402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C480C"/>
    <w:multiLevelType w:val="hybridMultilevel"/>
    <w:tmpl w:val="F7CAC628"/>
    <w:lvl w:ilvl="0" w:tplc="EB20AD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24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48"/>
    <w:rsid w:val="00066F04"/>
    <w:rsid w:val="001012A7"/>
    <w:rsid w:val="00113E77"/>
    <w:rsid w:val="00157948"/>
    <w:rsid w:val="00266A9E"/>
    <w:rsid w:val="002F2384"/>
    <w:rsid w:val="003547A7"/>
    <w:rsid w:val="003952F8"/>
    <w:rsid w:val="003A04B2"/>
    <w:rsid w:val="003A3C1E"/>
    <w:rsid w:val="003E2049"/>
    <w:rsid w:val="00417B98"/>
    <w:rsid w:val="00432953"/>
    <w:rsid w:val="00435E69"/>
    <w:rsid w:val="00490E93"/>
    <w:rsid w:val="004A6A1F"/>
    <w:rsid w:val="004F611E"/>
    <w:rsid w:val="00507C54"/>
    <w:rsid w:val="00551969"/>
    <w:rsid w:val="00582461"/>
    <w:rsid w:val="00683359"/>
    <w:rsid w:val="00763CF5"/>
    <w:rsid w:val="007832A6"/>
    <w:rsid w:val="007B4021"/>
    <w:rsid w:val="00886C5F"/>
    <w:rsid w:val="00990483"/>
    <w:rsid w:val="00A035B6"/>
    <w:rsid w:val="00A55082"/>
    <w:rsid w:val="00A74FD9"/>
    <w:rsid w:val="00AB3F22"/>
    <w:rsid w:val="00AF79ED"/>
    <w:rsid w:val="00B2135A"/>
    <w:rsid w:val="00B856DA"/>
    <w:rsid w:val="00B86B50"/>
    <w:rsid w:val="00C04706"/>
    <w:rsid w:val="00C32148"/>
    <w:rsid w:val="00C4072C"/>
    <w:rsid w:val="00C72114"/>
    <w:rsid w:val="00C81727"/>
    <w:rsid w:val="00D165AB"/>
    <w:rsid w:val="00D43F47"/>
    <w:rsid w:val="00D667A1"/>
    <w:rsid w:val="00D76A6E"/>
    <w:rsid w:val="00DA7A04"/>
    <w:rsid w:val="00DD4ECB"/>
    <w:rsid w:val="00E36F34"/>
    <w:rsid w:val="00E563DC"/>
    <w:rsid w:val="00E66DFB"/>
    <w:rsid w:val="00EC730B"/>
    <w:rsid w:val="00F83DBD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2207"/>
  <w15:docId w15:val="{B2E0B90E-9413-4BE8-9780-ABE0CCF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114"/>
  </w:style>
  <w:style w:type="paragraph" w:styleId="Heading1">
    <w:name w:val="heading 1"/>
    <w:basedOn w:val="Normal"/>
    <w:link w:val="Heading1Char"/>
    <w:uiPriority w:val="9"/>
    <w:qFormat/>
    <w:rsid w:val="00C32148"/>
    <w:pPr>
      <w:spacing w:before="100" w:beforeAutospacing="1" w:after="100" w:afterAutospacing="1"/>
      <w:outlineLvl w:val="0"/>
    </w:pPr>
    <w:rPr>
      <w:rFonts w:eastAsia="Times New Roman" w:cs="Times New Roman"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148"/>
    <w:rPr>
      <w:rFonts w:eastAsia="Times New Roman" w:cs="Times New Roman"/>
      <w:kern w:val="36"/>
      <w:szCs w:val="24"/>
    </w:rPr>
  </w:style>
  <w:style w:type="character" w:styleId="Strong">
    <w:name w:val="Strong"/>
    <w:basedOn w:val="DefaultParagraphFont"/>
    <w:uiPriority w:val="22"/>
    <w:qFormat/>
    <w:rsid w:val="00C32148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C3214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07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4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2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04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3DB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A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4995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icies.txstate.edu/university-policies/01-04-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Martinez, Iza N</cp:lastModifiedBy>
  <cp:revision>2</cp:revision>
  <cp:lastPrinted>2019-04-30T13:08:00Z</cp:lastPrinted>
  <dcterms:created xsi:type="dcterms:W3CDTF">2023-11-02T13:47:00Z</dcterms:created>
  <dcterms:modified xsi:type="dcterms:W3CDTF">2023-11-02T13:47:00Z</dcterms:modified>
</cp:coreProperties>
</file>