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9381" w14:textId="51DF06AE" w:rsidR="00DE585B" w:rsidRDefault="00DE585B" w:rsidP="00E331C8">
      <w:pPr>
        <w:tabs>
          <w:tab w:val="left" w:pos="5040"/>
        </w:tabs>
        <w:outlineLvl w:val="0"/>
        <w:rPr>
          <w:rFonts w:ascii="Arial" w:eastAsia="Times New Roman" w:hAnsi="Arial" w:cs="Arial"/>
          <w:b/>
          <w:kern w:val="36"/>
          <w:szCs w:val="24"/>
        </w:rPr>
      </w:pPr>
    </w:p>
    <w:p w14:paraId="54DF6A78" w14:textId="77777777" w:rsidR="00DE585B" w:rsidRDefault="00DE585B" w:rsidP="00E331C8">
      <w:pPr>
        <w:tabs>
          <w:tab w:val="left" w:pos="5040"/>
        </w:tabs>
        <w:outlineLvl w:val="0"/>
        <w:rPr>
          <w:rFonts w:ascii="Arial" w:eastAsia="Times New Roman" w:hAnsi="Arial" w:cs="Arial"/>
          <w:b/>
          <w:kern w:val="36"/>
          <w:szCs w:val="24"/>
        </w:rPr>
      </w:pPr>
    </w:p>
    <w:p w14:paraId="1A0456B0" w14:textId="77777777" w:rsidR="00DE585B" w:rsidRDefault="00DE585B" w:rsidP="00E331C8">
      <w:pPr>
        <w:tabs>
          <w:tab w:val="left" w:pos="5040"/>
        </w:tabs>
        <w:outlineLvl w:val="0"/>
        <w:rPr>
          <w:rFonts w:ascii="Arial" w:eastAsia="Times New Roman" w:hAnsi="Arial" w:cs="Arial"/>
          <w:b/>
          <w:kern w:val="36"/>
          <w:szCs w:val="24"/>
        </w:rPr>
      </w:pPr>
    </w:p>
    <w:p w14:paraId="337E504A" w14:textId="77777777" w:rsidR="00D66354" w:rsidRPr="00E331C8" w:rsidRDefault="00526086" w:rsidP="00E331C8">
      <w:pPr>
        <w:tabs>
          <w:tab w:val="left" w:pos="5040"/>
        </w:tabs>
        <w:outlineLvl w:val="0"/>
        <w:rPr>
          <w:rFonts w:ascii="Arial" w:eastAsia="Times New Roman" w:hAnsi="Arial" w:cs="Arial"/>
          <w:b/>
          <w:kern w:val="36"/>
          <w:szCs w:val="24"/>
        </w:rPr>
      </w:pPr>
      <w:r w:rsidRPr="00E331C8">
        <w:rPr>
          <w:rFonts w:ascii="Arial" w:eastAsia="Times New Roman" w:hAnsi="Arial" w:cs="Arial"/>
          <w:b/>
          <w:kern w:val="36"/>
          <w:szCs w:val="24"/>
        </w:rPr>
        <w:t>Concurrent Enrollment</w:t>
      </w:r>
      <w:r w:rsidR="006978B2" w:rsidRPr="00E331C8">
        <w:rPr>
          <w:rFonts w:ascii="Arial" w:eastAsia="Times New Roman" w:hAnsi="Arial" w:cs="Arial"/>
          <w:b/>
          <w:kern w:val="36"/>
          <w:szCs w:val="24"/>
        </w:rPr>
        <w:tab/>
        <w:t>FSS/PPS 07.01</w:t>
      </w:r>
    </w:p>
    <w:p w14:paraId="0FDB031F" w14:textId="28CE535A" w:rsidR="00D66354" w:rsidRPr="00E331C8" w:rsidRDefault="006978B2" w:rsidP="00E331C8">
      <w:pPr>
        <w:tabs>
          <w:tab w:val="left" w:pos="5040"/>
        </w:tabs>
        <w:ind w:left="5040"/>
        <w:rPr>
          <w:rFonts w:ascii="Arial" w:eastAsia="Times New Roman" w:hAnsi="Arial" w:cs="Arial"/>
          <w:b/>
          <w:szCs w:val="24"/>
        </w:rPr>
      </w:pPr>
      <w:r w:rsidRPr="00E331C8">
        <w:rPr>
          <w:rFonts w:ascii="Arial" w:eastAsia="Times New Roman" w:hAnsi="Arial" w:cs="Arial"/>
          <w:b/>
          <w:szCs w:val="24"/>
        </w:rPr>
        <w:t xml:space="preserve">Issue No. </w:t>
      </w:r>
      <w:r w:rsidR="003E4C0E">
        <w:rPr>
          <w:rFonts w:ascii="Arial" w:eastAsia="Times New Roman" w:hAnsi="Arial" w:cs="Arial"/>
          <w:b/>
          <w:szCs w:val="24"/>
        </w:rPr>
        <w:t>8</w:t>
      </w:r>
    </w:p>
    <w:p w14:paraId="601386BD" w14:textId="48023EC4" w:rsidR="00D66354" w:rsidRPr="00E331C8" w:rsidRDefault="006978B2" w:rsidP="00E331C8">
      <w:pPr>
        <w:tabs>
          <w:tab w:val="left" w:pos="5040"/>
        </w:tabs>
        <w:ind w:left="5040"/>
        <w:rPr>
          <w:rFonts w:ascii="Arial" w:eastAsia="Times New Roman" w:hAnsi="Arial" w:cs="Arial"/>
          <w:b/>
          <w:szCs w:val="24"/>
        </w:rPr>
      </w:pPr>
      <w:r w:rsidRPr="00E331C8">
        <w:rPr>
          <w:rFonts w:ascii="Arial" w:eastAsia="Times New Roman" w:hAnsi="Arial" w:cs="Arial"/>
          <w:b/>
          <w:szCs w:val="24"/>
        </w:rPr>
        <w:t xml:space="preserve">Effective Date: </w:t>
      </w:r>
      <w:r w:rsidR="006C6E26">
        <w:rPr>
          <w:rFonts w:ascii="Arial" w:eastAsia="Times New Roman" w:hAnsi="Arial" w:cs="Arial"/>
          <w:b/>
          <w:szCs w:val="24"/>
        </w:rPr>
        <w:t>03/28/2022</w:t>
      </w:r>
    </w:p>
    <w:p w14:paraId="6824EFA0" w14:textId="2311DECB" w:rsidR="00D66354" w:rsidRPr="00E331C8" w:rsidRDefault="006978B2" w:rsidP="00E331C8">
      <w:pPr>
        <w:tabs>
          <w:tab w:val="left" w:pos="5040"/>
        </w:tabs>
        <w:ind w:left="5040"/>
        <w:rPr>
          <w:rFonts w:ascii="Arial" w:eastAsia="Times New Roman" w:hAnsi="Arial" w:cs="Arial"/>
          <w:b/>
          <w:szCs w:val="24"/>
        </w:rPr>
      </w:pPr>
      <w:r w:rsidRPr="00E331C8">
        <w:rPr>
          <w:rFonts w:ascii="Arial" w:eastAsia="Times New Roman" w:hAnsi="Arial" w:cs="Arial"/>
          <w:b/>
          <w:szCs w:val="24"/>
        </w:rPr>
        <w:t>Next Review Date: 05/</w:t>
      </w:r>
      <w:r w:rsidR="009068A3" w:rsidRPr="00E331C8">
        <w:rPr>
          <w:rFonts w:ascii="Arial" w:eastAsia="Times New Roman" w:hAnsi="Arial" w:cs="Arial"/>
          <w:b/>
          <w:szCs w:val="24"/>
        </w:rPr>
        <w:t>01/</w:t>
      </w:r>
      <w:r w:rsidR="003E4C0E">
        <w:rPr>
          <w:rFonts w:ascii="Arial" w:eastAsia="Times New Roman" w:hAnsi="Arial" w:cs="Arial"/>
          <w:b/>
          <w:szCs w:val="24"/>
        </w:rPr>
        <w:t xml:space="preserve">2027 </w:t>
      </w:r>
      <w:r w:rsidR="00E331C8">
        <w:rPr>
          <w:rFonts w:ascii="Arial" w:eastAsia="Times New Roman" w:hAnsi="Arial" w:cs="Arial"/>
          <w:b/>
          <w:szCs w:val="24"/>
        </w:rPr>
        <w:t>(E</w:t>
      </w:r>
      <w:r w:rsidR="00DE1694">
        <w:rPr>
          <w:rFonts w:ascii="Arial" w:eastAsia="Times New Roman" w:hAnsi="Arial" w:cs="Arial"/>
          <w:b/>
          <w:szCs w:val="24"/>
        </w:rPr>
        <w:t>5</w:t>
      </w:r>
      <w:r w:rsidR="00E331C8">
        <w:rPr>
          <w:rFonts w:ascii="Arial" w:eastAsia="Times New Roman" w:hAnsi="Arial" w:cs="Arial"/>
          <w:b/>
          <w:szCs w:val="24"/>
        </w:rPr>
        <w:t>Y)</w:t>
      </w:r>
      <w:r w:rsidRPr="00E331C8">
        <w:rPr>
          <w:rFonts w:ascii="Arial" w:eastAsia="Times New Roman" w:hAnsi="Arial" w:cs="Arial"/>
          <w:b/>
          <w:szCs w:val="24"/>
        </w:rPr>
        <w:tab/>
      </w:r>
    </w:p>
    <w:p w14:paraId="6C09CDB3" w14:textId="31F60CC6" w:rsidR="00D66354" w:rsidRDefault="00E331C8" w:rsidP="00E331C8">
      <w:pPr>
        <w:pStyle w:val="ListParagraph"/>
        <w:tabs>
          <w:tab w:val="left" w:pos="5040"/>
        </w:tabs>
        <w:ind w:left="5040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Sr</w:t>
      </w:r>
      <w:r w:rsidR="006C6E26">
        <w:rPr>
          <w:rFonts w:ascii="Arial" w:eastAsia="Times New Roman" w:hAnsi="Arial" w:cs="Arial"/>
          <w:b/>
          <w:szCs w:val="24"/>
        </w:rPr>
        <w:t>.</w:t>
      </w:r>
      <w:r w:rsidR="009068A3" w:rsidRPr="00E331C8">
        <w:rPr>
          <w:rFonts w:ascii="Arial" w:eastAsia="Times New Roman" w:hAnsi="Arial" w:cs="Arial"/>
          <w:b/>
          <w:szCs w:val="24"/>
        </w:rPr>
        <w:t xml:space="preserve"> </w:t>
      </w:r>
      <w:r w:rsidR="006978B2" w:rsidRPr="00E331C8">
        <w:rPr>
          <w:rFonts w:ascii="Arial" w:eastAsia="Times New Roman" w:hAnsi="Arial" w:cs="Arial"/>
          <w:b/>
          <w:szCs w:val="24"/>
        </w:rPr>
        <w:t>Reviewer: Treasurer</w:t>
      </w:r>
    </w:p>
    <w:p w14:paraId="4754DC86" w14:textId="17262A82" w:rsidR="001706E8" w:rsidRDefault="001706E8" w:rsidP="00E331C8">
      <w:pPr>
        <w:pStyle w:val="ListParagraph"/>
        <w:tabs>
          <w:tab w:val="left" w:pos="5040"/>
        </w:tabs>
        <w:ind w:left="5040"/>
        <w:rPr>
          <w:rFonts w:ascii="Arial" w:eastAsia="Times New Roman" w:hAnsi="Arial" w:cs="Arial"/>
          <w:b/>
          <w:szCs w:val="24"/>
        </w:rPr>
      </w:pPr>
    </w:p>
    <w:p w14:paraId="01E2A60D" w14:textId="77777777" w:rsidR="001227F0" w:rsidRPr="001227F0" w:rsidRDefault="001227F0" w:rsidP="001227F0">
      <w:pPr>
        <w:tabs>
          <w:tab w:val="left" w:pos="5040"/>
        </w:tabs>
        <w:rPr>
          <w:rFonts w:ascii="Arial" w:eastAsia="Times New Roman" w:hAnsi="Arial" w:cs="Arial"/>
          <w:b/>
          <w:szCs w:val="24"/>
        </w:rPr>
      </w:pPr>
    </w:p>
    <w:p w14:paraId="25E24D35" w14:textId="7B52B6C7" w:rsidR="001706E8" w:rsidRDefault="001706E8" w:rsidP="001706E8">
      <w:pPr>
        <w:pStyle w:val="ListParagraph"/>
        <w:tabs>
          <w:tab w:val="left" w:pos="5040"/>
        </w:tabs>
        <w:ind w:left="5040" w:hanging="5040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POLICY STATEMENT </w:t>
      </w:r>
    </w:p>
    <w:p w14:paraId="2F3ADAC4" w14:textId="7FE76F62" w:rsidR="001706E8" w:rsidRDefault="001706E8" w:rsidP="001706E8">
      <w:pPr>
        <w:pStyle w:val="ListParagraph"/>
        <w:tabs>
          <w:tab w:val="left" w:pos="5040"/>
        </w:tabs>
        <w:ind w:left="5040" w:hanging="5040"/>
        <w:rPr>
          <w:rFonts w:ascii="Arial" w:eastAsia="Times New Roman" w:hAnsi="Arial" w:cs="Arial"/>
          <w:b/>
          <w:szCs w:val="24"/>
        </w:rPr>
      </w:pPr>
    </w:p>
    <w:p w14:paraId="6CA90F2A" w14:textId="008D6EB5" w:rsidR="001706E8" w:rsidRPr="001706E8" w:rsidRDefault="001706E8" w:rsidP="001706E8">
      <w:pPr>
        <w:pStyle w:val="ListParagraph"/>
        <w:tabs>
          <w:tab w:val="left" w:pos="0"/>
        </w:tabs>
        <w:ind w:left="0"/>
        <w:rPr>
          <w:rFonts w:ascii="Arial" w:eastAsia="Times New Roman" w:hAnsi="Arial" w:cs="Arial"/>
          <w:bCs/>
          <w:i/>
          <w:iCs/>
          <w:szCs w:val="24"/>
        </w:rPr>
      </w:pPr>
      <w:r w:rsidRPr="001706E8">
        <w:rPr>
          <w:rFonts w:ascii="Arial" w:eastAsia="Times New Roman" w:hAnsi="Arial" w:cs="Arial"/>
          <w:bCs/>
          <w:i/>
          <w:iCs/>
          <w:szCs w:val="24"/>
        </w:rPr>
        <w:t xml:space="preserve">Texas State University is committed to offering structured opportunities for concurrent enrollment. </w:t>
      </w:r>
    </w:p>
    <w:p w14:paraId="6329D95A" w14:textId="77777777" w:rsidR="00E331C8" w:rsidRPr="001706E8" w:rsidRDefault="00E331C8" w:rsidP="001706E8">
      <w:pPr>
        <w:rPr>
          <w:rFonts w:ascii="Arial" w:eastAsia="Times New Roman" w:hAnsi="Arial" w:cs="Arial"/>
          <w:b/>
          <w:szCs w:val="24"/>
        </w:rPr>
      </w:pPr>
    </w:p>
    <w:p w14:paraId="57844F20" w14:textId="7162DD9A" w:rsidR="00526086" w:rsidRPr="00E331C8" w:rsidRDefault="001227F0" w:rsidP="00D66354">
      <w:pPr>
        <w:pStyle w:val="ListParagraph"/>
        <w:numPr>
          <w:ilvl w:val="0"/>
          <w:numId w:val="1"/>
        </w:numPr>
        <w:ind w:hanging="720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SCOPE</w:t>
      </w:r>
    </w:p>
    <w:p w14:paraId="09DC5B04" w14:textId="77777777" w:rsidR="00D66354" w:rsidRPr="00E331C8" w:rsidRDefault="00D66354" w:rsidP="00D66354">
      <w:pPr>
        <w:pStyle w:val="ListParagraph"/>
        <w:ind w:hanging="720"/>
        <w:rPr>
          <w:rFonts w:ascii="Arial" w:eastAsia="Times New Roman" w:hAnsi="Arial" w:cs="Arial"/>
          <w:szCs w:val="24"/>
        </w:rPr>
      </w:pPr>
    </w:p>
    <w:p w14:paraId="2A61825A" w14:textId="77777777" w:rsidR="001227F0" w:rsidRDefault="00DE585B" w:rsidP="001227F0">
      <w:pPr>
        <w:pStyle w:val="ListParagraph"/>
        <w:ind w:left="1440" w:hanging="720"/>
        <w:rPr>
          <w:rStyle w:val="Hyperlink"/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01.01</w:t>
      </w:r>
      <w:r>
        <w:rPr>
          <w:rFonts w:ascii="Arial" w:eastAsia="Times New Roman" w:hAnsi="Arial" w:cs="Arial"/>
          <w:szCs w:val="24"/>
        </w:rPr>
        <w:tab/>
        <w:t>The purpose of this policy</w:t>
      </w:r>
      <w:r w:rsidR="00A17B9F" w:rsidRPr="00E331C8">
        <w:rPr>
          <w:rFonts w:ascii="Arial" w:eastAsia="Times New Roman" w:hAnsi="Arial" w:cs="Arial"/>
          <w:szCs w:val="24"/>
        </w:rPr>
        <w:t xml:space="preserve"> is to implement the provisions of </w:t>
      </w:r>
      <w:hyperlink r:id="rId8" w:history="1">
        <w:r w:rsidR="00A17B9F" w:rsidRPr="00DE585B">
          <w:rPr>
            <w:rStyle w:val="Hyperlink"/>
            <w:rFonts w:ascii="Arial" w:eastAsia="Times New Roman" w:hAnsi="Arial" w:cs="Arial"/>
            <w:szCs w:val="24"/>
          </w:rPr>
          <w:t>Chapter 54, Texas Education Code, Section 54.011 "Tuition Limit in Cases of Concurren</w:t>
        </w:r>
        <w:r w:rsidR="00A17B9F" w:rsidRPr="00DE585B">
          <w:rPr>
            <w:rStyle w:val="Hyperlink"/>
            <w:rFonts w:ascii="Arial" w:eastAsia="Times New Roman" w:hAnsi="Arial" w:cs="Arial"/>
            <w:szCs w:val="24"/>
          </w:rPr>
          <w:t>t</w:t>
        </w:r>
        <w:r w:rsidR="00A17B9F" w:rsidRPr="00DE585B">
          <w:rPr>
            <w:rStyle w:val="Hyperlink"/>
            <w:rFonts w:ascii="Arial" w:eastAsia="Times New Roman" w:hAnsi="Arial" w:cs="Arial"/>
            <w:szCs w:val="24"/>
          </w:rPr>
          <w:t xml:space="preserve"> Enrollment."</w:t>
        </w:r>
      </w:hyperlink>
    </w:p>
    <w:p w14:paraId="1CAC78B4" w14:textId="77777777" w:rsidR="001227F0" w:rsidRDefault="001227F0" w:rsidP="001227F0">
      <w:pPr>
        <w:pStyle w:val="ListParagraph"/>
        <w:ind w:left="1440" w:hanging="720"/>
        <w:rPr>
          <w:rStyle w:val="Hyperlink"/>
          <w:rFonts w:ascii="Arial" w:eastAsia="Times New Roman" w:hAnsi="Arial" w:cs="Arial"/>
          <w:szCs w:val="24"/>
        </w:rPr>
      </w:pPr>
    </w:p>
    <w:p w14:paraId="333EEB33" w14:textId="6DFDDC57" w:rsidR="001227F0" w:rsidRDefault="001227F0" w:rsidP="001227F0">
      <w:pPr>
        <w:pStyle w:val="ListParagraph"/>
        <w:rPr>
          <w:rFonts w:ascii="Arial" w:eastAsia="Times New Roman" w:hAnsi="Arial" w:cs="Arial"/>
          <w:szCs w:val="24"/>
        </w:rPr>
      </w:pPr>
      <w:r w:rsidRPr="001227F0">
        <w:rPr>
          <w:rStyle w:val="Hyperlink"/>
          <w:rFonts w:ascii="Arial" w:eastAsia="Times New Roman" w:hAnsi="Arial" w:cs="Arial"/>
          <w:color w:val="auto"/>
          <w:szCs w:val="24"/>
          <w:u w:val="none"/>
        </w:rPr>
        <w:t xml:space="preserve">01.02 </w:t>
      </w:r>
      <w:r>
        <w:rPr>
          <w:rStyle w:val="Hyperlink"/>
          <w:rFonts w:ascii="Arial" w:eastAsia="Times New Roman" w:hAnsi="Arial" w:cs="Arial"/>
          <w:color w:val="auto"/>
          <w:szCs w:val="24"/>
          <w:u w:val="none"/>
        </w:rPr>
        <w:tab/>
      </w:r>
      <w:r w:rsidR="00A17B9F" w:rsidRPr="00E331C8">
        <w:rPr>
          <w:rFonts w:ascii="Arial" w:eastAsia="Times New Roman" w:hAnsi="Arial" w:cs="Arial"/>
          <w:szCs w:val="24"/>
        </w:rPr>
        <w:t xml:space="preserve">When a student registers at more than one public institution of higher </w:t>
      </w:r>
    </w:p>
    <w:p w14:paraId="44C821FE" w14:textId="25511928" w:rsidR="00EB2A83" w:rsidRPr="00E331C8" w:rsidRDefault="00A17B9F" w:rsidP="001227F0">
      <w:pPr>
        <w:pStyle w:val="ListParagraph"/>
        <w:ind w:left="1440"/>
        <w:rPr>
          <w:rFonts w:ascii="Arial" w:eastAsia="Times New Roman" w:hAnsi="Arial" w:cs="Arial"/>
          <w:szCs w:val="24"/>
        </w:rPr>
      </w:pPr>
      <w:r w:rsidRPr="00E331C8">
        <w:rPr>
          <w:rFonts w:ascii="Arial" w:eastAsia="Times New Roman" w:hAnsi="Arial" w:cs="Arial"/>
          <w:szCs w:val="24"/>
        </w:rPr>
        <w:t xml:space="preserve">education at the same time, </w:t>
      </w:r>
      <w:r w:rsidR="00DB5F45" w:rsidRPr="00E331C8">
        <w:rPr>
          <w:rFonts w:ascii="Arial" w:eastAsia="Times New Roman" w:hAnsi="Arial" w:cs="Arial"/>
          <w:szCs w:val="24"/>
        </w:rPr>
        <w:t>the student's</w:t>
      </w:r>
      <w:r w:rsidRPr="00E331C8">
        <w:rPr>
          <w:rFonts w:ascii="Arial" w:eastAsia="Times New Roman" w:hAnsi="Arial" w:cs="Arial"/>
          <w:szCs w:val="24"/>
        </w:rPr>
        <w:t xml:space="preserve"> tuition charges shall be determined </w:t>
      </w:r>
      <w:r w:rsidR="009A59D5" w:rsidRPr="00E331C8">
        <w:rPr>
          <w:rFonts w:ascii="Arial" w:eastAsia="Times New Roman" w:hAnsi="Arial" w:cs="Arial"/>
          <w:szCs w:val="24"/>
        </w:rPr>
        <w:t xml:space="preserve">in accordance to the provisions of </w:t>
      </w:r>
      <w:hyperlink r:id="rId9" w:history="1">
        <w:r w:rsidR="009A59D5" w:rsidRPr="00DE585B">
          <w:rPr>
            <w:rStyle w:val="Hyperlink"/>
            <w:rFonts w:ascii="Arial" w:eastAsia="Times New Roman" w:hAnsi="Arial" w:cs="Arial"/>
            <w:szCs w:val="24"/>
          </w:rPr>
          <w:t>Chapter 54, Texas Education Code, Section 54.011 “Tuition Limit in Cases of Concurrent Enrollment</w:t>
        </w:r>
        <w:r w:rsidR="00DE585B">
          <w:rPr>
            <w:rStyle w:val="Hyperlink"/>
            <w:rFonts w:ascii="Arial" w:eastAsia="Times New Roman" w:hAnsi="Arial" w:cs="Arial"/>
            <w:szCs w:val="24"/>
          </w:rPr>
          <w:t>.</w:t>
        </w:r>
        <w:r w:rsidR="009A59D5" w:rsidRPr="00DE585B">
          <w:rPr>
            <w:rStyle w:val="Hyperlink"/>
            <w:rFonts w:ascii="Arial" w:eastAsia="Times New Roman" w:hAnsi="Arial" w:cs="Arial"/>
            <w:szCs w:val="24"/>
          </w:rPr>
          <w:t>”</w:t>
        </w:r>
      </w:hyperlink>
      <w:r w:rsidR="009A59D5" w:rsidRPr="00E331C8">
        <w:rPr>
          <w:rFonts w:ascii="Arial" w:eastAsia="Times New Roman" w:hAnsi="Arial" w:cs="Arial"/>
          <w:szCs w:val="24"/>
        </w:rPr>
        <w:t xml:space="preserve">  </w:t>
      </w:r>
    </w:p>
    <w:p w14:paraId="4CCCE11E" w14:textId="77777777" w:rsidR="0082744D" w:rsidRPr="00E331C8" w:rsidRDefault="0082744D" w:rsidP="00D66354">
      <w:pPr>
        <w:ind w:left="720" w:hanging="720"/>
        <w:rPr>
          <w:rFonts w:ascii="Arial" w:eastAsia="Times New Roman" w:hAnsi="Arial" w:cs="Arial"/>
          <w:szCs w:val="24"/>
        </w:rPr>
      </w:pPr>
    </w:p>
    <w:p w14:paraId="6AE51F8D" w14:textId="74CF0EDF" w:rsidR="00526086" w:rsidRPr="00E331C8" w:rsidRDefault="00526086" w:rsidP="00D66354">
      <w:pPr>
        <w:ind w:left="720" w:hanging="720"/>
        <w:rPr>
          <w:rFonts w:ascii="Arial" w:eastAsia="Times New Roman" w:hAnsi="Arial" w:cs="Arial"/>
          <w:b/>
          <w:szCs w:val="24"/>
        </w:rPr>
      </w:pPr>
      <w:r w:rsidRPr="00E331C8">
        <w:rPr>
          <w:rFonts w:ascii="Arial" w:eastAsia="Times New Roman" w:hAnsi="Arial" w:cs="Arial"/>
          <w:b/>
          <w:szCs w:val="24"/>
        </w:rPr>
        <w:t>0</w:t>
      </w:r>
      <w:r w:rsidR="001227F0">
        <w:rPr>
          <w:rFonts w:ascii="Arial" w:eastAsia="Times New Roman" w:hAnsi="Arial" w:cs="Arial"/>
          <w:b/>
          <w:szCs w:val="24"/>
        </w:rPr>
        <w:t>2</w:t>
      </w:r>
      <w:r w:rsidRPr="00E331C8">
        <w:rPr>
          <w:rFonts w:ascii="Arial" w:eastAsia="Times New Roman" w:hAnsi="Arial" w:cs="Arial"/>
          <w:b/>
          <w:szCs w:val="24"/>
        </w:rPr>
        <w:t xml:space="preserve">. </w:t>
      </w:r>
      <w:r w:rsidR="00D66354" w:rsidRPr="00E331C8">
        <w:rPr>
          <w:rFonts w:ascii="Arial" w:eastAsia="Times New Roman" w:hAnsi="Arial" w:cs="Arial"/>
          <w:b/>
          <w:szCs w:val="24"/>
        </w:rPr>
        <w:tab/>
      </w:r>
      <w:r w:rsidR="001227F0">
        <w:rPr>
          <w:rFonts w:ascii="Arial" w:eastAsia="Times New Roman" w:hAnsi="Arial" w:cs="Arial"/>
          <w:b/>
          <w:szCs w:val="24"/>
        </w:rPr>
        <w:t xml:space="preserve">REQUIRED FEES AND TUITION ADJUSTMENT </w:t>
      </w:r>
    </w:p>
    <w:p w14:paraId="72F85463" w14:textId="77777777" w:rsidR="00D66354" w:rsidRPr="00E331C8" w:rsidRDefault="00D66354" w:rsidP="001227F0">
      <w:pPr>
        <w:tabs>
          <w:tab w:val="left" w:pos="1440"/>
        </w:tabs>
        <w:ind w:left="720" w:hanging="720"/>
        <w:rPr>
          <w:rFonts w:ascii="Arial" w:eastAsia="Times New Roman" w:hAnsi="Arial" w:cs="Arial"/>
          <w:szCs w:val="24"/>
        </w:rPr>
      </w:pPr>
    </w:p>
    <w:p w14:paraId="3059B7EE" w14:textId="77777777" w:rsidR="001227F0" w:rsidRDefault="00DE585B" w:rsidP="001227F0">
      <w:pPr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0</w:t>
      </w:r>
      <w:r w:rsidR="001227F0">
        <w:rPr>
          <w:rFonts w:ascii="Arial" w:eastAsia="Times New Roman" w:hAnsi="Arial" w:cs="Arial"/>
          <w:szCs w:val="24"/>
        </w:rPr>
        <w:t>2</w:t>
      </w:r>
      <w:r>
        <w:rPr>
          <w:rFonts w:ascii="Arial" w:eastAsia="Times New Roman" w:hAnsi="Arial" w:cs="Arial"/>
          <w:szCs w:val="24"/>
        </w:rPr>
        <w:t>.01</w:t>
      </w:r>
      <w:r>
        <w:rPr>
          <w:rFonts w:ascii="Arial" w:eastAsia="Times New Roman" w:hAnsi="Arial" w:cs="Arial"/>
          <w:szCs w:val="24"/>
        </w:rPr>
        <w:tab/>
        <w:t>The provisions of this policy</w:t>
      </w:r>
      <w:r w:rsidR="00A17B9F" w:rsidRPr="00E331C8">
        <w:rPr>
          <w:rFonts w:ascii="Arial" w:eastAsia="Times New Roman" w:hAnsi="Arial" w:cs="Arial"/>
          <w:szCs w:val="24"/>
        </w:rPr>
        <w:t xml:space="preserve"> are applicable only to </w:t>
      </w:r>
      <w:r w:rsidR="00BC7AB9" w:rsidRPr="00E331C8">
        <w:rPr>
          <w:rFonts w:ascii="Arial" w:eastAsia="Times New Roman" w:hAnsi="Arial" w:cs="Arial"/>
          <w:szCs w:val="24"/>
        </w:rPr>
        <w:t>statutory</w:t>
      </w:r>
      <w:r w:rsidR="00A17B9F" w:rsidRPr="00E331C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tuition charges. A </w:t>
      </w:r>
      <w:proofErr w:type="gramStart"/>
      <w:r>
        <w:rPr>
          <w:rFonts w:ascii="Arial" w:eastAsia="Times New Roman" w:hAnsi="Arial" w:cs="Arial"/>
          <w:szCs w:val="24"/>
        </w:rPr>
        <w:t>concurrently-</w:t>
      </w:r>
      <w:r w:rsidR="00A17B9F" w:rsidRPr="00E331C8">
        <w:rPr>
          <w:rFonts w:ascii="Arial" w:eastAsia="Times New Roman" w:hAnsi="Arial" w:cs="Arial"/>
          <w:szCs w:val="24"/>
        </w:rPr>
        <w:t>enrolled</w:t>
      </w:r>
      <w:proofErr w:type="gramEnd"/>
      <w:r w:rsidR="00A17B9F" w:rsidRPr="00E331C8">
        <w:rPr>
          <w:rFonts w:ascii="Arial" w:eastAsia="Times New Roman" w:hAnsi="Arial" w:cs="Arial"/>
          <w:szCs w:val="24"/>
        </w:rPr>
        <w:t xml:space="preserve"> student shall pay all other required fees at the same rate that any student pays who is not concurrently enrolled.</w:t>
      </w:r>
    </w:p>
    <w:p w14:paraId="66A32F45" w14:textId="77777777" w:rsidR="001227F0" w:rsidRDefault="001227F0" w:rsidP="001227F0">
      <w:pPr>
        <w:ind w:left="1440" w:hanging="720"/>
        <w:rPr>
          <w:rFonts w:ascii="Arial" w:eastAsia="Times New Roman" w:hAnsi="Arial" w:cs="Arial"/>
          <w:szCs w:val="24"/>
        </w:rPr>
      </w:pPr>
    </w:p>
    <w:p w14:paraId="2A983383" w14:textId="2D60DAB5" w:rsidR="00A17B9F" w:rsidRPr="001227F0" w:rsidRDefault="001227F0" w:rsidP="001227F0">
      <w:pPr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02.02</w:t>
      </w:r>
      <w:r>
        <w:rPr>
          <w:rFonts w:ascii="Arial" w:eastAsia="Times New Roman" w:hAnsi="Arial" w:cs="Arial"/>
          <w:szCs w:val="24"/>
        </w:rPr>
        <w:tab/>
      </w:r>
      <w:r w:rsidR="00DE585B">
        <w:rPr>
          <w:rFonts w:ascii="Arial" w:eastAsia="Times New Roman" w:hAnsi="Arial" w:cs="Arial"/>
          <w:szCs w:val="24"/>
        </w:rPr>
        <w:t xml:space="preserve">The </w:t>
      </w:r>
      <w:proofErr w:type="gramStart"/>
      <w:r w:rsidR="00DE585B">
        <w:rPr>
          <w:rFonts w:ascii="Arial" w:eastAsia="Times New Roman" w:hAnsi="Arial" w:cs="Arial"/>
          <w:szCs w:val="24"/>
        </w:rPr>
        <w:t>concurrently-</w:t>
      </w:r>
      <w:r w:rsidR="00A17B9F" w:rsidRPr="00E331C8">
        <w:rPr>
          <w:rFonts w:ascii="Arial" w:eastAsia="Times New Roman" w:hAnsi="Arial" w:cs="Arial"/>
          <w:szCs w:val="24"/>
        </w:rPr>
        <w:t>enrolled</w:t>
      </w:r>
      <w:proofErr w:type="gramEnd"/>
      <w:r w:rsidR="00A17B9F" w:rsidRPr="00E331C8">
        <w:rPr>
          <w:rFonts w:ascii="Arial" w:eastAsia="Times New Roman" w:hAnsi="Arial" w:cs="Arial"/>
          <w:szCs w:val="24"/>
        </w:rPr>
        <w:t xml:space="preserve"> student must supply a copy of </w:t>
      </w:r>
      <w:r w:rsidR="00BC7AB9" w:rsidRPr="00E331C8">
        <w:rPr>
          <w:rFonts w:ascii="Arial" w:eastAsia="Times New Roman" w:hAnsi="Arial" w:cs="Arial"/>
          <w:szCs w:val="24"/>
        </w:rPr>
        <w:t xml:space="preserve">the </w:t>
      </w:r>
      <w:r w:rsidR="008B371E" w:rsidRPr="00E331C8">
        <w:rPr>
          <w:rFonts w:ascii="Arial" w:eastAsia="Times New Roman" w:hAnsi="Arial" w:cs="Arial"/>
          <w:szCs w:val="24"/>
        </w:rPr>
        <w:t>tuition receipt</w:t>
      </w:r>
      <w:r w:rsidR="00A17B9F" w:rsidRPr="00E331C8">
        <w:rPr>
          <w:rFonts w:ascii="Arial" w:eastAsia="Times New Roman" w:hAnsi="Arial" w:cs="Arial"/>
          <w:szCs w:val="24"/>
        </w:rPr>
        <w:t xml:space="preserve"> from the first institution to be maintained by the second institution for audit purposes. </w:t>
      </w:r>
      <w:r w:rsidR="00DC795C" w:rsidRPr="00E331C8">
        <w:rPr>
          <w:rFonts w:ascii="Arial" w:eastAsia="Times New Roman" w:hAnsi="Arial" w:cs="Arial"/>
          <w:szCs w:val="24"/>
        </w:rPr>
        <w:t xml:space="preserve">The </w:t>
      </w:r>
      <w:r w:rsidR="008B371E" w:rsidRPr="00E331C8">
        <w:rPr>
          <w:rFonts w:ascii="Arial" w:eastAsia="Times New Roman" w:hAnsi="Arial" w:cs="Arial"/>
          <w:szCs w:val="24"/>
        </w:rPr>
        <w:t xml:space="preserve">tuition receipt </w:t>
      </w:r>
      <w:r w:rsidR="00DC795C" w:rsidRPr="00E331C8">
        <w:rPr>
          <w:rFonts w:ascii="Arial" w:eastAsia="Times New Roman" w:hAnsi="Arial" w:cs="Arial"/>
          <w:szCs w:val="24"/>
        </w:rPr>
        <w:t>from the first institution must be turned in</w:t>
      </w:r>
      <w:r w:rsidR="008B371E" w:rsidRPr="00E331C8">
        <w:rPr>
          <w:rFonts w:ascii="Arial" w:eastAsia="Times New Roman" w:hAnsi="Arial" w:cs="Arial"/>
          <w:szCs w:val="24"/>
        </w:rPr>
        <w:t>to</w:t>
      </w:r>
      <w:r w:rsidR="004A2A01" w:rsidRPr="00E331C8">
        <w:rPr>
          <w:rFonts w:ascii="Arial" w:eastAsia="Times New Roman" w:hAnsi="Arial" w:cs="Arial"/>
          <w:szCs w:val="24"/>
        </w:rPr>
        <w:t xml:space="preserve"> </w:t>
      </w:r>
      <w:r w:rsidR="00DE585B">
        <w:rPr>
          <w:rFonts w:ascii="Arial" w:eastAsia="Times New Roman" w:hAnsi="Arial" w:cs="Arial"/>
          <w:szCs w:val="24"/>
        </w:rPr>
        <w:t>Student Business Services</w:t>
      </w:r>
      <w:r w:rsidR="004A2A01" w:rsidRPr="00E331C8">
        <w:rPr>
          <w:rFonts w:ascii="Arial" w:eastAsia="Times New Roman" w:hAnsi="Arial" w:cs="Arial"/>
          <w:szCs w:val="24"/>
        </w:rPr>
        <w:t xml:space="preserve"> </w:t>
      </w:r>
      <w:r w:rsidR="00DC795C" w:rsidRPr="00E331C8">
        <w:rPr>
          <w:rFonts w:ascii="Arial" w:eastAsia="Times New Roman" w:hAnsi="Arial" w:cs="Arial"/>
          <w:szCs w:val="24"/>
        </w:rPr>
        <w:t>by the census date (12</w:t>
      </w:r>
      <w:r w:rsidR="00DC795C" w:rsidRPr="00E331C8">
        <w:rPr>
          <w:rFonts w:ascii="Arial" w:eastAsia="Times New Roman" w:hAnsi="Arial" w:cs="Arial"/>
          <w:szCs w:val="24"/>
          <w:vertAlign w:val="superscript"/>
        </w:rPr>
        <w:t>th</w:t>
      </w:r>
      <w:r w:rsidR="00DC795C" w:rsidRPr="00E331C8">
        <w:rPr>
          <w:rFonts w:ascii="Arial" w:eastAsia="Times New Roman" w:hAnsi="Arial" w:cs="Arial"/>
          <w:szCs w:val="24"/>
        </w:rPr>
        <w:t xml:space="preserve"> class day of fall</w:t>
      </w:r>
      <w:r>
        <w:rPr>
          <w:rFonts w:ascii="Arial" w:eastAsia="Times New Roman" w:hAnsi="Arial" w:cs="Arial"/>
          <w:szCs w:val="24"/>
        </w:rPr>
        <w:t xml:space="preserve"> AND </w:t>
      </w:r>
      <w:r w:rsidR="00DC795C" w:rsidRPr="00E331C8">
        <w:rPr>
          <w:rFonts w:ascii="Arial" w:eastAsia="Times New Roman" w:hAnsi="Arial" w:cs="Arial"/>
          <w:szCs w:val="24"/>
        </w:rPr>
        <w:t>spring and 4</w:t>
      </w:r>
      <w:r w:rsidR="00DC795C" w:rsidRPr="00E331C8">
        <w:rPr>
          <w:rFonts w:ascii="Arial" w:eastAsia="Times New Roman" w:hAnsi="Arial" w:cs="Arial"/>
          <w:szCs w:val="24"/>
          <w:vertAlign w:val="superscript"/>
        </w:rPr>
        <w:t>th</w:t>
      </w:r>
      <w:r w:rsidR="00DC795C" w:rsidRPr="00E331C8">
        <w:rPr>
          <w:rFonts w:ascii="Arial" w:eastAsia="Times New Roman" w:hAnsi="Arial" w:cs="Arial"/>
          <w:szCs w:val="24"/>
        </w:rPr>
        <w:t xml:space="preserve"> class day of summer)</w:t>
      </w:r>
      <w:r w:rsidR="00A17B9F" w:rsidRPr="00E331C8">
        <w:rPr>
          <w:rFonts w:ascii="Arial" w:eastAsia="Times New Roman" w:hAnsi="Arial" w:cs="Arial"/>
          <w:szCs w:val="24"/>
        </w:rPr>
        <w:t xml:space="preserve">, so that fees </w:t>
      </w:r>
      <w:r w:rsidR="00DC795C" w:rsidRPr="00E331C8">
        <w:rPr>
          <w:rFonts w:ascii="Arial" w:eastAsia="Times New Roman" w:hAnsi="Arial" w:cs="Arial"/>
          <w:szCs w:val="24"/>
        </w:rPr>
        <w:t xml:space="preserve">may </w:t>
      </w:r>
      <w:r w:rsidR="00A17B9F" w:rsidRPr="00E331C8">
        <w:rPr>
          <w:rFonts w:ascii="Arial" w:eastAsia="Times New Roman" w:hAnsi="Arial" w:cs="Arial"/>
          <w:szCs w:val="24"/>
        </w:rPr>
        <w:t xml:space="preserve">be adjusted. No refund or adjustments will be made after the </w:t>
      </w:r>
      <w:r w:rsidR="00DC795C" w:rsidRPr="00E331C8">
        <w:rPr>
          <w:rFonts w:ascii="Arial" w:eastAsia="Times New Roman" w:hAnsi="Arial" w:cs="Arial"/>
          <w:szCs w:val="24"/>
        </w:rPr>
        <w:t>census date of the concurrently enrolled term</w:t>
      </w:r>
      <w:r w:rsidR="00A17B9F" w:rsidRPr="00E331C8">
        <w:rPr>
          <w:rFonts w:ascii="Arial" w:eastAsia="Times New Roman" w:hAnsi="Arial" w:cs="Arial"/>
          <w:szCs w:val="24"/>
        </w:rPr>
        <w:t>.</w:t>
      </w:r>
    </w:p>
    <w:p w14:paraId="2BFCE01D" w14:textId="77777777" w:rsidR="00526086" w:rsidRPr="00E331C8" w:rsidRDefault="00526086" w:rsidP="0082744D">
      <w:pPr>
        <w:rPr>
          <w:rFonts w:ascii="Arial" w:eastAsia="Times New Roman" w:hAnsi="Arial" w:cs="Arial"/>
          <w:b/>
          <w:szCs w:val="24"/>
        </w:rPr>
      </w:pPr>
    </w:p>
    <w:p w14:paraId="1F2E82DE" w14:textId="77B32991" w:rsidR="00526086" w:rsidRPr="00E331C8" w:rsidRDefault="00D66354" w:rsidP="00D66354">
      <w:pPr>
        <w:ind w:left="720" w:hanging="720"/>
        <w:rPr>
          <w:rFonts w:ascii="Arial" w:eastAsia="Times New Roman" w:hAnsi="Arial" w:cs="Arial"/>
          <w:b/>
          <w:szCs w:val="24"/>
        </w:rPr>
      </w:pPr>
      <w:r w:rsidRPr="00E331C8">
        <w:rPr>
          <w:rFonts w:ascii="Arial" w:eastAsia="Times New Roman" w:hAnsi="Arial" w:cs="Arial"/>
          <w:b/>
          <w:szCs w:val="24"/>
        </w:rPr>
        <w:t>0</w:t>
      </w:r>
      <w:r w:rsidR="001227F0">
        <w:rPr>
          <w:rFonts w:ascii="Arial" w:eastAsia="Times New Roman" w:hAnsi="Arial" w:cs="Arial"/>
          <w:b/>
          <w:szCs w:val="24"/>
        </w:rPr>
        <w:t>3</w:t>
      </w:r>
      <w:r w:rsidR="00526086" w:rsidRPr="00E331C8">
        <w:rPr>
          <w:rFonts w:ascii="Arial" w:eastAsia="Times New Roman" w:hAnsi="Arial" w:cs="Arial"/>
          <w:b/>
          <w:szCs w:val="24"/>
        </w:rPr>
        <w:t>.</w:t>
      </w:r>
      <w:r w:rsidR="00526086" w:rsidRPr="00E331C8">
        <w:rPr>
          <w:rFonts w:ascii="Arial" w:eastAsia="Times New Roman" w:hAnsi="Arial" w:cs="Arial"/>
          <w:b/>
          <w:szCs w:val="24"/>
        </w:rPr>
        <w:tab/>
      </w:r>
      <w:r w:rsidR="00E331C8">
        <w:rPr>
          <w:rFonts w:ascii="Arial" w:eastAsia="Times New Roman" w:hAnsi="Arial" w:cs="Arial"/>
          <w:b/>
          <w:szCs w:val="24"/>
        </w:rPr>
        <w:t xml:space="preserve">REVIEWER OF </w:t>
      </w:r>
      <w:r w:rsidR="00526086" w:rsidRPr="00E331C8">
        <w:rPr>
          <w:rFonts w:ascii="Arial" w:eastAsia="Times New Roman" w:hAnsi="Arial" w:cs="Arial"/>
          <w:b/>
          <w:szCs w:val="24"/>
        </w:rPr>
        <w:t>THIS PPS</w:t>
      </w:r>
    </w:p>
    <w:p w14:paraId="565F3951" w14:textId="77777777" w:rsidR="00526086" w:rsidRPr="00E331C8" w:rsidRDefault="00526086" w:rsidP="00D66354">
      <w:pPr>
        <w:ind w:left="720" w:hanging="720"/>
        <w:rPr>
          <w:rFonts w:ascii="Arial" w:eastAsia="Times New Roman" w:hAnsi="Arial" w:cs="Arial"/>
          <w:szCs w:val="24"/>
        </w:rPr>
      </w:pPr>
    </w:p>
    <w:p w14:paraId="1E26BAE2" w14:textId="2A74C0DF" w:rsidR="00526086" w:rsidRPr="00E331C8" w:rsidRDefault="00E331C8" w:rsidP="00E331C8">
      <w:pPr>
        <w:ind w:left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0</w:t>
      </w:r>
      <w:r w:rsidR="001227F0">
        <w:rPr>
          <w:rFonts w:ascii="Arial" w:eastAsia="Times New Roman" w:hAnsi="Arial" w:cs="Arial"/>
          <w:szCs w:val="24"/>
        </w:rPr>
        <w:t>3</w:t>
      </w:r>
      <w:r>
        <w:rPr>
          <w:rFonts w:ascii="Arial" w:eastAsia="Times New Roman" w:hAnsi="Arial" w:cs="Arial"/>
          <w:szCs w:val="24"/>
        </w:rPr>
        <w:t>.01</w:t>
      </w:r>
      <w:r>
        <w:rPr>
          <w:rFonts w:ascii="Arial" w:eastAsia="Times New Roman" w:hAnsi="Arial" w:cs="Arial"/>
          <w:szCs w:val="24"/>
        </w:rPr>
        <w:tab/>
        <w:t>Reviewer of</w:t>
      </w:r>
      <w:r w:rsidR="00526086" w:rsidRPr="00E331C8">
        <w:rPr>
          <w:rFonts w:ascii="Arial" w:eastAsia="Times New Roman" w:hAnsi="Arial" w:cs="Arial"/>
          <w:szCs w:val="24"/>
        </w:rPr>
        <w:t xml:space="preserve"> this PPS include</w:t>
      </w:r>
      <w:r w:rsidR="001227F0">
        <w:rPr>
          <w:rFonts w:ascii="Arial" w:eastAsia="Times New Roman" w:hAnsi="Arial" w:cs="Arial"/>
          <w:szCs w:val="24"/>
        </w:rPr>
        <w:t>s</w:t>
      </w:r>
      <w:r w:rsidR="00526086" w:rsidRPr="00E331C8">
        <w:rPr>
          <w:rFonts w:ascii="Arial" w:eastAsia="Times New Roman" w:hAnsi="Arial" w:cs="Arial"/>
          <w:szCs w:val="24"/>
        </w:rPr>
        <w:t xml:space="preserve"> the following:</w:t>
      </w:r>
    </w:p>
    <w:p w14:paraId="4EDC3D80" w14:textId="77777777" w:rsidR="00E331C8" w:rsidRDefault="00E331C8">
      <w:pPr>
        <w:rPr>
          <w:rFonts w:ascii="Arial" w:eastAsia="Times New Roman" w:hAnsi="Arial" w:cs="Arial"/>
          <w:szCs w:val="24"/>
          <w:u w:val="single"/>
        </w:rPr>
      </w:pPr>
    </w:p>
    <w:p w14:paraId="4187DE3F" w14:textId="117FEEF3" w:rsidR="00526086" w:rsidRDefault="00E331C8" w:rsidP="001227F0">
      <w:pPr>
        <w:tabs>
          <w:tab w:val="left" w:pos="5760"/>
        </w:tabs>
        <w:ind w:left="1440"/>
        <w:rPr>
          <w:rFonts w:ascii="Arial" w:eastAsia="Times New Roman" w:hAnsi="Arial" w:cs="Arial"/>
          <w:szCs w:val="24"/>
          <w:u w:val="single"/>
        </w:rPr>
      </w:pPr>
      <w:r>
        <w:rPr>
          <w:rFonts w:ascii="Arial" w:eastAsia="Times New Roman" w:hAnsi="Arial" w:cs="Arial"/>
          <w:szCs w:val="24"/>
          <w:u w:val="single"/>
        </w:rPr>
        <w:t>Position</w:t>
      </w:r>
      <w:r w:rsidR="00526086" w:rsidRPr="00E331C8">
        <w:rPr>
          <w:rFonts w:ascii="Arial" w:eastAsia="Times New Roman" w:hAnsi="Arial" w:cs="Arial"/>
          <w:szCs w:val="24"/>
        </w:rPr>
        <w:tab/>
      </w:r>
      <w:r w:rsidR="00526086" w:rsidRPr="00E331C8">
        <w:rPr>
          <w:rFonts w:ascii="Arial" w:eastAsia="Times New Roman" w:hAnsi="Arial" w:cs="Arial"/>
          <w:szCs w:val="24"/>
          <w:u w:val="single"/>
        </w:rPr>
        <w:t>Date</w:t>
      </w:r>
    </w:p>
    <w:p w14:paraId="73FE9E77" w14:textId="77777777" w:rsidR="001227F0" w:rsidRPr="001227F0" w:rsidRDefault="001227F0" w:rsidP="001227F0">
      <w:pPr>
        <w:tabs>
          <w:tab w:val="left" w:pos="5760"/>
        </w:tabs>
        <w:ind w:left="1440"/>
        <w:rPr>
          <w:rFonts w:ascii="Arial" w:eastAsia="Times New Roman" w:hAnsi="Arial" w:cs="Arial"/>
          <w:szCs w:val="24"/>
          <w:u w:val="single"/>
        </w:rPr>
      </w:pPr>
    </w:p>
    <w:p w14:paraId="1465F3BA" w14:textId="77777777" w:rsidR="00526086" w:rsidRPr="00E331C8" w:rsidRDefault="00526086" w:rsidP="00E331C8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  <w:r w:rsidRPr="00E331C8">
        <w:rPr>
          <w:rFonts w:ascii="Arial" w:eastAsia="Times New Roman" w:hAnsi="Arial" w:cs="Arial"/>
          <w:szCs w:val="24"/>
        </w:rPr>
        <w:t>Treasurer</w:t>
      </w:r>
      <w:r w:rsidR="00E331C8">
        <w:rPr>
          <w:rFonts w:ascii="Arial" w:eastAsia="Times New Roman" w:hAnsi="Arial" w:cs="Arial"/>
          <w:szCs w:val="24"/>
        </w:rPr>
        <w:tab/>
      </w:r>
      <w:r w:rsidRPr="00E331C8">
        <w:rPr>
          <w:rFonts w:ascii="Arial" w:eastAsia="Times New Roman" w:hAnsi="Arial" w:cs="Arial"/>
          <w:szCs w:val="24"/>
        </w:rPr>
        <w:t xml:space="preserve">May </w:t>
      </w:r>
      <w:r w:rsidR="00E331C8">
        <w:rPr>
          <w:rFonts w:ascii="Arial" w:eastAsia="Times New Roman" w:hAnsi="Arial" w:cs="Arial"/>
          <w:szCs w:val="24"/>
        </w:rPr>
        <w:t>1 EY</w:t>
      </w:r>
    </w:p>
    <w:p w14:paraId="2643DC12" w14:textId="77777777" w:rsidR="00871FE3" w:rsidRPr="00E331C8" w:rsidRDefault="00871FE3" w:rsidP="00E331C8">
      <w:pPr>
        <w:rPr>
          <w:rFonts w:ascii="Arial" w:eastAsia="Times New Roman" w:hAnsi="Arial" w:cs="Arial"/>
          <w:szCs w:val="24"/>
        </w:rPr>
      </w:pPr>
    </w:p>
    <w:p w14:paraId="145E6C8B" w14:textId="0A209E25" w:rsidR="00526086" w:rsidRPr="00E331C8" w:rsidRDefault="00D66354" w:rsidP="00D66354">
      <w:pPr>
        <w:ind w:left="720" w:hanging="720"/>
        <w:rPr>
          <w:rFonts w:ascii="Arial" w:eastAsia="Times New Roman" w:hAnsi="Arial" w:cs="Arial"/>
          <w:b/>
          <w:szCs w:val="24"/>
        </w:rPr>
      </w:pPr>
      <w:r w:rsidRPr="00E331C8">
        <w:rPr>
          <w:rFonts w:ascii="Arial" w:eastAsia="Times New Roman" w:hAnsi="Arial" w:cs="Arial"/>
          <w:b/>
          <w:szCs w:val="24"/>
        </w:rPr>
        <w:t>0</w:t>
      </w:r>
      <w:r w:rsidR="001227F0">
        <w:rPr>
          <w:rFonts w:ascii="Arial" w:eastAsia="Times New Roman" w:hAnsi="Arial" w:cs="Arial"/>
          <w:b/>
          <w:szCs w:val="24"/>
        </w:rPr>
        <w:t>4</w:t>
      </w:r>
      <w:r w:rsidR="00E331C8">
        <w:rPr>
          <w:rFonts w:ascii="Arial" w:eastAsia="Times New Roman" w:hAnsi="Arial" w:cs="Arial"/>
          <w:b/>
          <w:szCs w:val="24"/>
        </w:rPr>
        <w:t>.</w:t>
      </w:r>
      <w:r w:rsidR="00E331C8">
        <w:rPr>
          <w:rFonts w:ascii="Arial" w:eastAsia="Times New Roman" w:hAnsi="Arial" w:cs="Arial"/>
          <w:b/>
          <w:szCs w:val="24"/>
        </w:rPr>
        <w:tab/>
        <w:t xml:space="preserve">CERTIFICATION </w:t>
      </w:r>
      <w:r w:rsidR="00526086" w:rsidRPr="00E331C8">
        <w:rPr>
          <w:rFonts w:ascii="Arial" w:eastAsia="Times New Roman" w:hAnsi="Arial" w:cs="Arial"/>
          <w:b/>
          <w:szCs w:val="24"/>
        </w:rPr>
        <w:t>STATEMENT</w:t>
      </w:r>
    </w:p>
    <w:p w14:paraId="0576C759" w14:textId="77777777" w:rsidR="00526086" w:rsidRPr="00E331C8" w:rsidRDefault="00526086" w:rsidP="00D66354">
      <w:pPr>
        <w:ind w:left="720" w:hanging="720"/>
        <w:rPr>
          <w:rFonts w:ascii="Arial" w:eastAsia="Times New Roman" w:hAnsi="Arial" w:cs="Arial"/>
          <w:szCs w:val="24"/>
        </w:rPr>
      </w:pPr>
    </w:p>
    <w:p w14:paraId="38CA534F" w14:textId="77777777" w:rsidR="00526086" w:rsidRPr="00E331C8" w:rsidRDefault="00E331C8" w:rsidP="00E331C8">
      <w:pPr>
        <w:ind w:left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This </w:t>
      </w:r>
      <w:r w:rsidR="00526086" w:rsidRPr="00E331C8">
        <w:rPr>
          <w:rFonts w:ascii="Arial" w:eastAsia="Times New Roman" w:hAnsi="Arial" w:cs="Arial"/>
          <w:szCs w:val="24"/>
        </w:rPr>
        <w:t>PPS has been approved by the following individuals in their offic</w:t>
      </w:r>
      <w:r>
        <w:rPr>
          <w:rFonts w:ascii="Arial" w:eastAsia="Times New Roman" w:hAnsi="Arial" w:cs="Arial"/>
          <w:szCs w:val="24"/>
        </w:rPr>
        <w:t>ial capacities</w:t>
      </w:r>
      <w:r w:rsidR="00526086" w:rsidRPr="00E331C8">
        <w:rPr>
          <w:rFonts w:ascii="Arial" w:eastAsia="Times New Roman" w:hAnsi="Arial" w:cs="Arial"/>
          <w:szCs w:val="24"/>
        </w:rPr>
        <w:t xml:space="preserve"> and represents </w:t>
      </w:r>
      <w:r>
        <w:rPr>
          <w:rFonts w:ascii="Arial" w:eastAsia="Times New Roman" w:hAnsi="Arial" w:cs="Arial"/>
          <w:szCs w:val="24"/>
        </w:rPr>
        <w:t xml:space="preserve">Texas State </w:t>
      </w:r>
      <w:r w:rsidR="00526086" w:rsidRPr="00E331C8">
        <w:rPr>
          <w:rFonts w:ascii="Arial" w:eastAsia="Times New Roman" w:hAnsi="Arial" w:cs="Arial"/>
          <w:szCs w:val="24"/>
        </w:rPr>
        <w:t>F</w:t>
      </w:r>
      <w:r>
        <w:rPr>
          <w:rFonts w:ascii="Arial" w:eastAsia="Times New Roman" w:hAnsi="Arial" w:cs="Arial"/>
          <w:szCs w:val="24"/>
        </w:rPr>
        <w:t xml:space="preserve">inance and </w:t>
      </w:r>
      <w:r w:rsidR="00526086" w:rsidRPr="00E331C8">
        <w:rPr>
          <w:rFonts w:ascii="Arial" w:eastAsia="Times New Roman" w:hAnsi="Arial" w:cs="Arial"/>
          <w:szCs w:val="24"/>
        </w:rPr>
        <w:t>S</w:t>
      </w:r>
      <w:r>
        <w:rPr>
          <w:rFonts w:ascii="Arial" w:eastAsia="Times New Roman" w:hAnsi="Arial" w:cs="Arial"/>
          <w:szCs w:val="24"/>
        </w:rPr>
        <w:t xml:space="preserve">upport </w:t>
      </w:r>
      <w:r w:rsidR="00526086" w:rsidRPr="00E331C8">
        <w:rPr>
          <w:rFonts w:ascii="Arial" w:eastAsia="Times New Roman" w:hAnsi="Arial" w:cs="Arial"/>
          <w:szCs w:val="24"/>
        </w:rPr>
        <w:t>S</w:t>
      </w:r>
      <w:r>
        <w:rPr>
          <w:rFonts w:ascii="Arial" w:eastAsia="Times New Roman" w:hAnsi="Arial" w:cs="Arial"/>
          <w:szCs w:val="24"/>
        </w:rPr>
        <w:t>ervices</w:t>
      </w:r>
      <w:r w:rsidR="00526086" w:rsidRPr="00E331C8">
        <w:rPr>
          <w:rFonts w:ascii="Arial" w:eastAsia="Times New Roman" w:hAnsi="Arial" w:cs="Arial"/>
          <w:szCs w:val="24"/>
        </w:rPr>
        <w:t xml:space="preserve"> policy and procedure from the date of this document until superseded.</w:t>
      </w:r>
    </w:p>
    <w:p w14:paraId="44EADD75" w14:textId="77777777" w:rsidR="00526086" w:rsidRPr="00E331C8" w:rsidRDefault="00526086" w:rsidP="00E331C8">
      <w:pPr>
        <w:ind w:left="720" w:hanging="720"/>
        <w:rPr>
          <w:rFonts w:ascii="Arial" w:eastAsia="Times New Roman" w:hAnsi="Arial" w:cs="Arial"/>
          <w:szCs w:val="24"/>
        </w:rPr>
      </w:pPr>
    </w:p>
    <w:p w14:paraId="013EB098" w14:textId="77777777" w:rsidR="00526086" w:rsidRPr="00E331C8" w:rsidRDefault="00E331C8" w:rsidP="00E331C8">
      <w:pPr>
        <w:ind w:left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Treasurer; senior r</w:t>
      </w:r>
      <w:r w:rsidR="00526086" w:rsidRPr="00E331C8">
        <w:rPr>
          <w:rFonts w:ascii="Arial" w:eastAsia="Times New Roman" w:hAnsi="Arial" w:cs="Arial"/>
          <w:szCs w:val="24"/>
        </w:rPr>
        <w:t>eviewer</w:t>
      </w:r>
      <w:r>
        <w:rPr>
          <w:rFonts w:ascii="Arial" w:eastAsia="Times New Roman" w:hAnsi="Arial" w:cs="Arial"/>
          <w:szCs w:val="24"/>
        </w:rPr>
        <w:t xml:space="preserve"> of this PPS</w:t>
      </w:r>
    </w:p>
    <w:p w14:paraId="5D095796" w14:textId="77777777" w:rsidR="00526086" w:rsidRPr="00E331C8" w:rsidRDefault="00526086" w:rsidP="00E331C8">
      <w:pPr>
        <w:ind w:left="720"/>
        <w:rPr>
          <w:rFonts w:ascii="Arial" w:eastAsia="Times New Roman" w:hAnsi="Arial" w:cs="Arial"/>
          <w:szCs w:val="24"/>
        </w:rPr>
      </w:pPr>
    </w:p>
    <w:p w14:paraId="4A720151" w14:textId="77777777" w:rsidR="00526086" w:rsidRPr="00E331C8" w:rsidRDefault="00526086" w:rsidP="00E331C8">
      <w:pPr>
        <w:ind w:left="720"/>
        <w:rPr>
          <w:rFonts w:ascii="Arial" w:eastAsia="Times New Roman" w:hAnsi="Arial" w:cs="Arial"/>
          <w:szCs w:val="24"/>
        </w:rPr>
      </w:pPr>
      <w:r w:rsidRPr="00E331C8">
        <w:rPr>
          <w:rFonts w:ascii="Arial" w:eastAsia="Times New Roman" w:hAnsi="Arial" w:cs="Arial"/>
          <w:szCs w:val="24"/>
        </w:rPr>
        <w:t>Vice President for Finance and Support Services</w:t>
      </w:r>
    </w:p>
    <w:p w14:paraId="12A94DFB" w14:textId="77777777" w:rsidR="00526086" w:rsidRPr="00E331C8" w:rsidRDefault="00526086" w:rsidP="00E331C8">
      <w:pPr>
        <w:rPr>
          <w:rFonts w:ascii="Arial" w:eastAsia="Times New Roman" w:hAnsi="Arial" w:cs="Arial"/>
          <w:szCs w:val="24"/>
        </w:rPr>
      </w:pPr>
    </w:p>
    <w:sectPr w:rsidR="00526086" w:rsidRPr="00E331C8" w:rsidSect="00C7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23646"/>
    <w:multiLevelType w:val="hybridMultilevel"/>
    <w:tmpl w:val="B20E679C"/>
    <w:lvl w:ilvl="0" w:tplc="10F281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86"/>
    <w:rsid w:val="000F3558"/>
    <w:rsid w:val="00100E82"/>
    <w:rsid w:val="00113E77"/>
    <w:rsid w:val="001227F0"/>
    <w:rsid w:val="00147425"/>
    <w:rsid w:val="00157948"/>
    <w:rsid w:val="001674E0"/>
    <w:rsid w:val="001706E8"/>
    <w:rsid w:val="001E2492"/>
    <w:rsid w:val="002405D6"/>
    <w:rsid w:val="00266A9E"/>
    <w:rsid w:val="002A2080"/>
    <w:rsid w:val="002B0CE8"/>
    <w:rsid w:val="003A3C1E"/>
    <w:rsid w:val="003D08BE"/>
    <w:rsid w:val="003E4C0E"/>
    <w:rsid w:val="00410EA6"/>
    <w:rsid w:val="004A2A01"/>
    <w:rsid w:val="00526086"/>
    <w:rsid w:val="00551969"/>
    <w:rsid w:val="00687505"/>
    <w:rsid w:val="006978B2"/>
    <w:rsid w:val="006C6E26"/>
    <w:rsid w:val="0070136F"/>
    <w:rsid w:val="007D1EBB"/>
    <w:rsid w:val="0082744D"/>
    <w:rsid w:val="00857135"/>
    <w:rsid w:val="00871FE3"/>
    <w:rsid w:val="00886C5F"/>
    <w:rsid w:val="008A2A19"/>
    <w:rsid w:val="008B371E"/>
    <w:rsid w:val="008E512F"/>
    <w:rsid w:val="009068A3"/>
    <w:rsid w:val="009249CC"/>
    <w:rsid w:val="009A59D5"/>
    <w:rsid w:val="009F6099"/>
    <w:rsid w:val="00A17B9F"/>
    <w:rsid w:val="00A55082"/>
    <w:rsid w:val="00AF79ED"/>
    <w:rsid w:val="00B86B50"/>
    <w:rsid w:val="00BA14C0"/>
    <w:rsid w:val="00BC7AB9"/>
    <w:rsid w:val="00C72114"/>
    <w:rsid w:val="00D165AB"/>
    <w:rsid w:val="00D42AA6"/>
    <w:rsid w:val="00D43F47"/>
    <w:rsid w:val="00D66354"/>
    <w:rsid w:val="00DA7A04"/>
    <w:rsid w:val="00DB5F45"/>
    <w:rsid w:val="00DC795C"/>
    <w:rsid w:val="00DD4ECB"/>
    <w:rsid w:val="00DE1694"/>
    <w:rsid w:val="00DE585B"/>
    <w:rsid w:val="00E1312B"/>
    <w:rsid w:val="00E331C8"/>
    <w:rsid w:val="00E36F34"/>
    <w:rsid w:val="00E46B69"/>
    <w:rsid w:val="00EB2A83"/>
    <w:rsid w:val="00E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CA33"/>
  <w15:docId w15:val="{025C47A1-447F-4F75-9E58-B945608B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114"/>
  </w:style>
  <w:style w:type="paragraph" w:styleId="Heading1">
    <w:name w:val="heading 1"/>
    <w:basedOn w:val="Normal"/>
    <w:link w:val="Heading1Char"/>
    <w:uiPriority w:val="9"/>
    <w:qFormat/>
    <w:rsid w:val="00526086"/>
    <w:pPr>
      <w:spacing w:before="100" w:beforeAutospacing="1" w:after="100" w:afterAutospacing="1"/>
      <w:outlineLvl w:val="0"/>
    </w:pPr>
    <w:rPr>
      <w:rFonts w:eastAsia="Times New Roman" w:cs="Times New Roman"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086"/>
    <w:rPr>
      <w:rFonts w:eastAsia="Times New Roman" w:cs="Times New Roman"/>
      <w:kern w:val="36"/>
      <w:szCs w:val="24"/>
    </w:rPr>
  </w:style>
  <w:style w:type="character" w:styleId="Strong">
    <w:name w:val="Strong"/>
    <w:basedOn w:val="DefaultParagraphFont"/>
    <w:uiPriority w:val="22"/>
    <w:qFormat/>
    <w:rsid w:val="00526086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52608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17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585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E4C0E"/>
  </w:style>
  <w:style w:type="character" w:styleId="FollowedHyperlink">
    <w:name w:val="FollowedHyperlink"/>
    <w:basedOn w:val="DefaultParagraphFont"/>
    <w:uiPriority w:val="99"/>
    <w:semiHidden/>
    <w:unhideWhenUsed/>
    <w:rsid w:val="003E4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926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34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utes.legis.state.tx.us/Docs/ED/htm/ED.54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tatutes.legis.state.tx.us/Docs/ED/htm/ED.5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75960-255A-42CD-9198-4E0732E5D23B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fe324eb6-980c-4cb8-8908-407d6863f11d"/>
    <ds:schemaRef ds:uri="http://schemas.microsoft.com/office/2006/metadata/properties"/>
    <ds:schemaRef ds:uri="53ab2a6c-a6d6-49b8-9732-be9eb5cf069c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881825-4C06-44C6-832B-DA688CA3C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465FC-5C9E-4FF7-BDA2-C08A69433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Texas State User</dc:creator>
  <cp:lastModifiedBy>Martinez, Iza N</cp:lastModifiedBy>
  <cp:revision>2</cp:revision>
  <cp:lastPrinted>2017-10-20T20:32:00Z</cp:lastPrinted>
  <dcterms:created xsi:type="dcterms:W3CDTF">2022-04-05T15:59:00Z</dcterms:created>
  <dcterms:modified xsi:type="dcterms:W3CDTF">2022-04-05T15:59:00Z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