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97427" w14:textId="77777777" w:rsidR="008951C5" w:rsidRDefault="008951C5">
      <w:pPr>
        <w:pStyle w:val="BodyText"/>
        <w:rPr>
          <w:sz w:val="20"/>
        </w:rPr>
      </w:pPr>
    </w:p>
    <w:p w14:paraId="75F9BA35" w14:textId="77777777" w:rsidR="008951C5" w:rsidRDefault="008951C5">
      <w:pPr>
        <w:pStyle w:val="BodyText"/>
        <w:rPr>
          <w:sz w:val="20"/>
        </w:rPr>
      </w:pPr>
    </w:p>
    <w:p w14:paraId="08696C62" w14:textId="77777777" w:rsidR="008951C5" w:rsidRDefault="008951C5">
      <w:pPr>
        <w:pStyle w:val="BodyText"/>
        <w:rPr>
          <w:sz w:val="20"/>
        </w:rPr>
      </w:pPr>
    </w:p>
    <w:p w14:paraId="4F6F9915" w14:textId="77777777" w:rsidR="008951C5" w:rsidRDefault="008951C5">
      <w:pPr>
        <w:pStyle w:val="BodyText"/>
        <w:rPr>
          <w:sz w:val="20"/>
        </w:rPr>
      </w:pPr>
    </w:p>
    <w:p w14:paraId="07509E4A" w14:textId="77777777" w:rsidR="008951C5" w:rsidRDefault="008951C5">
      <w:pPr>
        <w:pStyle w:val="BodyText"/>
        <w:spacing w:before="3"/>
        <w:rPr>
          <w:sz w:val="29"/>
        </w:rPr>
      </w:pPr>
    </w:p>
    <w:p w14:paraId="3AD52053" w14:textId="77777777" w:rsidR="008951C5" w:rsidRDefault="00DD4386">
      <w:pPr>
        <w:pStyle w:val="BodyText"/>
        <w:ind w:left="1040"/>
        <w:rPr>
          <w:sz w:val="20"/>
        </w:rPr>
      </w:pPr>
      <w:r>
        <w:rPr>
          <w:noProof/>
          <w:sz w:val="20"/>
        </w:rPr>
        <w:drawing>
          <wp:inline distT="0" distB="0" distL="0" distR="0" wp14:anchorId="5E187EA4" wp14:editId="6CBF3B5B">
            <wp:extent cx="4302248" cy="1475231"/>
            <wp:effectExtent l="0" t="0" r="0" b="0"/>
            <wp:docPr id="1" name="image1.jpeg" descr="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302248" cy="1475231"/>
                    </a:xfrm>
                    <a:prstGeom prst="rect">
                      <a:avLst/>
                    </a:prstGeom>
                  </pic:spPr>
                </pic:pic>
              </a:graphicData>
            </a:graphic>
          </wp:inline>
        </w:drawing>
      </w:r>
    </w:p>
    <w:p w14:paraId="1D45E6C6" w14:textId="77777777" w:rsidR="008951C5" w:rsidRDefault="008951C5">
      <w:pPr>
        <w:pStyle w:val="BodyText"/>
        <w:rPr>
          <w:sz w:val="20"/>
        </w:rPr>
      </w:pPr>
    </w:p>
    <w:p w14:paraId="1DB2EC82" w14:textId="77777777" w:rsidR="008951C5" w:rsidRDefault="008951C5">
      <w:pPr>
        <w:pStyle w:val="BodyText"/>
        <w:rPr>
          <w:sz w:val="20"/>
        </w:rPr>
      </w:pPr>
    </w:p>
    <w:p w14:paraId="74280201" w14:textId="77777777" w:rsidR="008951C5" w:rsidRDefault="008951C5">
      <w:pPr>
        <w:pStyle w:val="BodyText"/>
        <w:spacing w:before="2"/>
        <w:rPr>
          <w:sz w:val="22"/>
        </w:rPr>
      </w:pPr>
    </w:p>
    <w:p w14:paraId="3DE1C4D8" w14:textId="77777777" w:rsidR="008951C5" w:rsidRDefault="00DD4386">
      <w:pPr>
        <w:spacing w:before="88"/>
        <w:ind w:left="1972" w:right="2631" w:firstLine="1"/>
        <w:jc w:val="center"/>
        <w:rPr>
          <w:rFonts w:ascii="Arial"/>
          <w:b/>
          <w:sz w:val="40"/>
        </w:rPr>
      </w:pPr>
      <w:r>
        <w:rPr>
          <w:rFonts w:ascii="Arial"/>
          <w:b/>
          <w:sz w:val="40"/>
        </w:rPr>
        <w:t>ALUMNI SURVEY COMPARATIVE RESULTS 20</w:t>
      </w:r>
      <w:r w:rsidR="00675120">
        <w:rPr>
          <w:rFonts w:ascii="Arial"/>
          <w:b/>
          <w:sz w:val="40"/>
        </w:rPr>
        <w:t>14</w:t>
      </w:r>
      <w:r>
        <w:rPr>
          <w:rFonts w:ascii="Arial"/>
          <w:b/>
          <w:sz w:val="40"/>
        </w:rPr>
        <w:t>-201</w:t>
      </w:r>
      <w:r w:rsidR="00675120">
        <w:rPr>
          <w:rFonts w:ascii="Arial"/>
          <w:b/>
          <w:sz w:val="40"/>
        </w:rPr>
        <w:t>9</w:t>
      </w:r>
    </w:p>
    <w:p w14:paraId="19495C47" w14:textId="77777777" w:rsidR="008951C5" w:rsidRDefault="008951C5">
      <w:pPr>
        <w:pStyle w:val="BodyText"/>
        <w:rPr>
          <w:rFonts w:ascii="Arial"/>
          <w:b/>
          <w:sz w:val="44"/>
        </w:rPr>
      </w:pPr>
    </w:p>
    <w:p w14:paraId="2E65C00C" w14:textId="77777777" w:rsidR="008951C5" w:rsidRDefault="008951C5">
      <w:pPr>
        <w:pStyle w:val="BodyText"/>
        <w:rPr>
          <w:rFonts w:ascii="Arial"/>
          <w:b/>
          <w:sz w:val="44"/>
        </w:rPr>
      </w:pPr>
    </w:p>
    <w:p w14:paraId="1085654D" w14:textId="77777777" w:rsidR="008951C5" w:rsidRDefault="008951C5">
      <w:pPr>
        <w:pStyle w:val="BodyText"/>
        <w:rPr>
          <w:rFonts w:ascii="Arial"/>
          <w:b/>
          <w:sz w:val="44"/>
        </w:rPr>
      </w:pPr>
    </w:p>
    <w:p w14:paraId="688C05C0" w14:textId="77777777" w:rsidR="008951C5" w:rsidRDefault="008951C5">
      <w:pPr>
        <w:pStyle w:val="BodyText"/>
        <w:spacing w:before="7"/>
        <w:rPr>
          <w:rFonts w:ascii="Arial"/>
          <w:b/>
          <w:sz w:val="59"/>
        </w:rPr>
      </w:pPr>
    </w:p>
    <w:p w14:paraId="5EC57B3A" w14:textId="77777777" w:rsidR="00675120" w:rsidRDefault="00675120" w:rsidP="00675120">
      <w:pPr>
        <w:pStyle w:val="BodyText"/>
        <w:ind w:left="1200" w:hanging="27"/>
      </w:pPr>
      <w:r>
        <w:t>Prepared by the McCoy College Assurance of Learning Committee:</w:t>
      </w:r>
    </w:p>
    <w:p w14:paraId="59155029" w14:textId="77777777" w:rsidR="00675120" w:rsidRDefault="00675120" w:rsidP="00675120">
      <w:pPr>
        <w:pStyle w:val="BodyText"/>
      </w:pPr>
    </w:p>
    <w:p w14:paraId="21B12AE9" w14:textId="77777777" w:rsidR="00675120" w:rsidRDefault="00675120" w:rsidP="00675120">
      <w:pPr>
        <w:pStyle w:val="BodyText"/>
      </w:pPr>
      <w:r>
        <w:tab/>
      </w:r>
      <w:r>
        <w:tab/>
        <w:t>Course Coordinator</w:t>
      </w:r>
      <w:r>
        <w:tab/>
      </w:r>
      <w:r>
        <w:tab/>
      </w:r>
      <w:r>
        <w:tab/>
      </w:r>
      <w:r>
        <w:tab/>
        <w:t>Core Course</w:t>
      </w:r>
    </w:p>
    <w:p w14:paraId="24C7E358" w14:textId="77777777" w:rsidR="00675120" w:rsidRDefault="00675120" w:rsidP="00675120">
      <w:pPr>
        <w:tabs>
          <w:tab w:val="left" w:pos="720"/>
          <w:tab w:val="left" w:pos="3060"/>
          <w:tab w:val="left" w:pos="4140"/>
        </w:tabs>
        <w:rPr>
          <w:color w:val="000000"/>
          <w:sz w:val="20"/>
        </w:rPr>
      </w:pPr>
    </w:p>
    <w:p w14:paraId="23697160" w14:textId="77777777" w:rsidR="00675120" w:rsidRPr="00CE0947" w:rsidRDefault="00675120" w:rsidP="00675120">
      <w:pPr>
        <w:tabs>
          <w:tab w:val="left" w:pos="360"/>
          <w:tab w:val="left" w:pos="3060"/>
          <w:tab w:val="left" w:pos="4320"/>
        </w:tabs>
        <w:rPr>
          <w:color w:val="000000"/>
          <w:sz w:val="20"/>
        </w:rPr>
      </w:pPr>
      <w:r>
        <w:rPr>
          <w:color w:val="000000"/>
          <w:sz w:val="20"/>
        </w:rPr>
        <w:tab/>
      </w:r>
      <w:r w:rsidRPr="00CE0947">
        <w:rPr>
          <w:color w:val="000000"/>
          <w:sz w:val="20"/>
        </w:rPr>
        <w:t>Ms. Jennifer Krou</w:t>
      </w:r>
      <w:r>
        <w:rPr>
          <w:color w:val="000000"/>
          <w:sz w:val="20"/>
        </w:rPr>
        <w:tab/>
      </w:r>
      <w:r w:rsidRPr="00CE0947">
        <w:rPr>
          <w:color w:val="000000"/>
          <w:sz w:val="20"/>
        </w:rPr>
        <w:t>CIS 1323</w:t>
      </w:r>
      <w:r w:rsidRPr="00CE0947">
        <w:rPr>
          <w:color w:val="000000"/>
          <w:sz w:val="20"/>
        </w:rPr>
        <w:tab/>
        <w:t>Introduction to Microcomputer Applications</w:t>
      </w:r>
    </w:p>
    <w:p w14:paraId="1F2F3184" w14:textId="77777777" w:rsidR="00675120" w:rsidRPr="00EF1D90" w:rsidRDefault="00675120" w:rsidP="00675120">
      <w:pPr>
        <w:tabs>
          <w:tab w:val="left" w:pos="360"/>
          <w:tab w:val="left" w:pos="3060"/>
          <w:tab w:val="left" w:pos="4320"/>
        </w:tabs>
        <w:rPr>
          <w:color w:val="000000"/>
          <w:sz w:val="20"/>
        </w:rPr>
      </w:pPr>
      <w:r>
        <w:rPr>
          <w:color w:val="000000"/>
          <w:sz w:val="20"/>
        </w:rPr>
        <w:tab/>
      </w:r>
      <w:r w:rsidRPr="00CE0947">
        <w:rPr>
          <w:color w:val="000000"/>
          <w:sz w:val="20"/>
        </w:rPr>
        <w:t xml:space="preserve">Dr. Li Feng </w:t>
      </w:r>
      <w:r w:rsidRPr="00CE0947">
        <w:rPr>
          <w:color w:val="000000"/>
          <w:sz w:val="20"/>
        </w:rPr>
        <w:tab/>
        <w:t>ECO 2314</w:t>
      </w:r>
      <w:r w:rsidRPr="00CE0947">
        <w:rPr>
          <w:color w:val="000000"/>
          <w:sz w:val="20"/>
        </w:rPr>
        <w:tab/>
      </w:r>
      <w:r w:rsidRPr="00EF1D90">
        <w:rPr>
          <w:color w:val="000000"/>
          <w:sz w:val="20"/>
        </w:rPr>
        <w:t>Principles of Microeconomics</w:t>
      </w:r>
    </w:p>
    <w:p w14:paraId="708B4CEC" w14:textId="66958F4E" w:rsidR="00675120" w:rsidRPr="00EF1D90" w:rsidRDefault="00675120" w:rsidP="00675120">
      <w:pPr>
        <w:tabs>
          <w:tab w:val="left" w:pos="360"/>
          <w:tab w:val="left" w:pos="3060"/>
          <w:tab w:val="left" w:pos="4320"/>
        </w:tabs>
        <w:rPr>
          <w:color w:val="000000"/>
          <w:sz w:val="20"/>
        </w:rPr>
      </w:pPr>
      <w:r w:rsidRPr="00CE0947">
        <w:rPr>
          <w:color w:val="000000"/>
          <w:sz w:val="20"/>
        </w:rPr>
        <w:tab/>
        <w:t xml:space="preserve">Dr. Xiao Meng </w:t>
      </w:r>
      <w:r w:rsidRPr="00CE0947">
        <w:rPr>
          <w:color w:val="000000"/>
          <w:sz w:val="20"/>
        </w:rPr>
        <w:tab/>
        <w:t>ECO 2315</w:t>
      </w:r>
      <w:r w:rsidRPr="00CE0947">
        <w:rPr>
          <w:color w:val="000000"/>
          <w:sz w:val="20"/>
        </w:rPr>
        <w:tab/>
      </w:r>
      <w:r w:rsidRPr="00EF1D90">
        <w:rPr>
          <w:color w:val="000000"/>
          <w:sz w:val="20"/>
        </w:rPr>
        <w:t>Principles of Macroeconomics</w:t>
      </w:r>
    </w:p>
    <w:p w14:paraId="2B12EDE0" w14:textId="77777777" w:rsidR="00675120" w:rsidRPr="00EF1D90" w:rsidRDefault="00675120" w:rsidP="00675120">
      <w:pPr>
        <w:tabs>
          <w:tab w:val="left" w:pos="360"/>
          <w:tab w:val="left" w:pos="3060"/>
          <w:tab w:val="left" w:pos="4320"/>
        </w:tabs>
        <w:rPr>
          <w:color w:val="000000"/>
          <w:sz w:val="20"/>
        </w:rPr>
      </w:pPr>
      <w:r w:rsidRPr="00CE0947">
        <w:rPr>
          <w:color w:val="000000"/>
          <w:sz w:val="20"/>
        </w:rPr>
        <w:tab/>
        <w:t>Mr. Daniel Guerrero</w:t>
      </w:r>
      <w:r w:rsidRPr="00CE0947">
        <w:rPr>
          <w:color w:val="000000"/>
          <w:sz w:val="20"/>
        </w:rPr>
        <w:tab/>
        <w:t>BA 2310</w:t>
      </w:r>
      <w:r w:rsidRPr="00EF1D90">
        <w:rPr>
          <w:color w:val="000000"/>
          <w:sz w:val="20"/>
        </w:rPr>
        <w:t xml:space="preserve"> </w:t>
      </w:r>
      <w:r>
        <w:rPr>
          <w:color w:val="000000"/>
          <w:sz w:val="20"/>
        </w:rPr>
        <w:tab/>
      </w:r>
      <w:r w:rsidRPr="00EF1D90">
        <w:rPr>
          <w:color w:val="000000"/>
          <w:sz w:val="20"/>
        </w:rPr>
        <w:t>Introduction to Business in a Global Environment</w:t>
      </w:r>
    </w:p>
    <w:p w14:paraId="103C72D5" w14:textId="77777777" w:rsidR="00675120" w:rsidRPr="00EF1D90" w:rsidRDefault="00675120" w:rsidP="00675120">
      <w:pPr>
        <w:tabs>
          <w:tab w:val="left" w:pos="360"/>
          <w:tab w:val="left" w:pos="3060"/>
          <w:tab w:val="left" w:pos="4320"/>
        </w:tabs>
        <w:rPr>
          <w:color w:val="000000"/>
          <w:sz w:val="20"/>
        </w:rPr>
      </w:pPr>
      <w:r w:rsidRPr="00CE0947">
        <w:rPr>
          <w:color w:val="000000"/>
          <w:sz w:val="20"/>
        </w:rPr>
        <w:tab/>
        <w:t>Dr. Francis Mendez</w:t>
      </w:r>
      <w:r w:rsidRPr="00CE0947">
        <w:rPr>
          <w:color w:val="000000"/>
          <w:sz w:val="20"/>
        </w:rPr>
        <w:tab/>
        <w:t xml:space="preserve">QMST 2333 </w:t>
      </w:r>
      <w:r w:rsidRPr="00CE0947">
        <w:rPr>
          <w:color w:val="000000"/>
          <w:sz w:val="20"/>
        </w:rPr>
        <w:tab/>
      </w:r>
      <w:r w:rsidRPr="00EF1D90">
        <w:rPr>
          <w:color w:val="000000"/>
          <w:sz w:val="20"/>
        </w:rPr>
        <w:t>Business Statistics</w:t>
      </w:r>
    </w:p>
    <w:p w14:paraId="7A0E21A7" w14:textId="77777777" w:rsidR="00675120" w:rsidRPr="00EF1D90" w:rsidRDefault="00675120" w:rsidP="00675120">
      <w:pPr>
        <w:tabs>
          <w:tab w:val="left" w:pos="360"/>
          <w:tab w:val="left" w:pos="3060"/>
          <w:tab w:val="left" w:pos="4320"/>
        </w:tabs>
        <w:rPr>
          <w:color w:val="000000"/>
          <w:sz w:val="20"/>
        </w:rPr>
      </w:pPr>
      <w:r w:rsidRPr="00CE0947">
        <w:rPr>
          <w:color w:val="000000"/>
          <w:sz w:val="20"/>
        </w:rPr>
        <w:tab/>
        <w:t>Dr. Don Sanders</w:t>
      </w:r>
      <w:r w:rsidRPr="00CE0947">
        <w:rPr>
          <w:color w:val="000000"/>
          <w:sz w:val="20"/>
        </w:rPr>
        <w:tab/>
        <w:t xml:space="preserve">BLAW 2361 </w:t>
      </w:r>
      <w:r w:rsidRPr="00CE0947">
        <w:rPr>
          <w:color w:val="000000"/>
          <w:sz w:val="20"/>
        </w:rPr>
        <w:tab/>
      </w:r>
      <w:r w:rsidRPr="00EF1D90">
        <w:rPr>
          <w:color w:val="000000"/>
          <w:sz w:val="20"/>
        </w:rPr>
        <w:t>Legal Environment of Business</w:t>
      </w:r>
    </w:p>
    <w:p w14:paraId="0B2E006D" w14:textId="77777777" w:rsidR="00675120" w:rsidRPr="00EF1D90" w:rsidRDefault="00675120" w:rsidP="00675120">
      <w:pPr>
        <w:tabs>
          <w:tab w:val="left" w:pos="360"/>
          <w:tab w:val="left" w:pos="3060"/>
          <w:tab w:val="left" w:pos="4320"/>
        </w:tabs>
        <w:rPr>
          <w:color w:val="000000"/>
          <w:sz w:val="20"/>
        </w:rPr>
      </w:pPr>
      <w:r>
        <w:rPr>
          <w:color w:val="000000"/>
          <w:sz w:val="20"/>
        </w:rPr>
        <w:tab/>
      </w:r>
      <w:r w:rsidRPr="00CE0947">
        <w:rPr>
          <w:color w:val="000000"/>
          <w:sz w:val="20"/>
        </w:rPr>
        <w:t>Ms. Elizabeth Ponder</w:t>
      </w:r>
      <w:r w:rsidRPr="00CE0947">
        <w:rPr>
          <w:color w:val="000000"/>
          <w:sz w:val="20"/>
        </w:rPr>
        <w:tab/>
        <w:t>ACC 2361</w:t>
      </w:r>
      <w:r w:rsidRPr="00EF1D90">
        <w:rPr>
          <w:color w:val="000000"/>
          <w:sz w:val="20"/>
        </w:rPr>
        <w:t xml:space="preserve"> </w:t>
      </w:r>
      <w:r>
        <w:rPr>
          <w:color w:val="000000"/>
          <w:sz w:val="20"/>
        </w:rPr>
        <w:tab/>
      </w:r>
      <w:r w:rsidRPr="00EF1D90">
        <w:rPr>
          <w:color w:val="000000"/>
          <w:sz w:val="20"/>
        </w:rPr>
        <w:t>Introduction to Financial Accounting</w:t>
      </w:r>
    </w:p>
    <w:p w14:paraId="7ED319B4" w14:textId="77777777" w:rsidR="00675120" w:rsidRPr="00EF1D90" w:rsidRDefault="00675120" w:rsidP="00675120">
      <w:pPr>
        <w:tabs>
          <w:tab w:val="left" w:pos="360"/>
          <w:tab w:val="left" w:pos="3060"/>
          <w:tab w:val="left" w:pos="4320"/>
        </w:tabs>
        <w:rPr>
          <w:color w:val="000000"/>
          <w:sz w:val="20"/>
        </w:rPr>
      </w:pPr>
      <w:r>
        <w:rPr>
          <w:color w:val="000000"/>
          <w:sz w:val="20"/>
        </w:rPr>
        <w:tab/>
      </w:r>
      <w:r w:rsidRPr="00CE0947">
        <w:rPr>
          <w:color w:val="000000"/>
          <w:sz w:val="20"/>
        </w:rPr>
        <w:t>Ms. Alex Hampshire</w:t>
      </w:r>
      <w:r w:rsidRPr="00CE0947">
        <w:rPr>
          <w:color w:val="000000"/>
          <w:sz w:val="20"/>
        </w:rPr>
        <w:tab/>
        <w:t xml:space="preserve">ACC 2362 </w:t>
      </w:r>
      <w:r w:rsidRPr="00CE0947">
        <w:rPr>
          <w:color w:val="000000"/>
          <w:sz w:val="20"/>
        </w:rPr>
        <w:tab/>
      </w:r>
      <w:r w:rsidRPr="00EF1D90">
        <w:rPr>
          <w:color w:val="000000"/>
          <w:sz w:val="20"/>
        </w:rPr>
        <w:t>Introduction to Managerial Accounting</w:t>
      </w:r>
    </w:p>
    <w:p w14:paraId="038E12DE" w14:textId="77777777" w:rsidR="00675120" w:rsidRPr="00EF1D90" w:rsidRDefault="00675120" w:rsidP="00675120">
      <w:pPr>
        <w:tabs>
          <w:tab w:val="left" w:pos="360"/>
          <w:tab w:val="left" w:pos="3060"/>
          <w:tab w:val="left" w:pos="4320"/>
        </w:tabs>
        <w:rPr>
          <w:color w:val="000000"/>
          <w:sz w:val="20"/>
        </w:rPr>
      </w:pPr>
      <w:r w:rsidRPr="00CE0947">
        <w:rPr>
          <w:color w:val="000000"/>
          <w:sz w:val="20"/>
        </w:rPr>
        <w:tab/>
        <w:t xml:space="preserve">Dr. Rob Konopaske </w:t>
      </w:r>
      <w:r w:rsidRPr="00CE0947">
        <w:rPr>
          <w:color w:val="000000"/>
          <w:sz w:val="20"/>
        </w:rPr>
        <w:tab/>
        <w:t>MGT 3303</w:t>
      </w:r>
      <w:r w:rsidRPr="00CE0947">
        <w:rPr>
          <w:color w:val="000000"/>
          <w:sz w:val="20"/>
        </w:rPr>
        <w:tab/>
      </w:r>
      <w:r w:rsidRPr="00EF1D90">
        <w:rPr>
          <w:color w:val="000000"/>
          <w:sz w:val="20"/>
        </w:rPr>
        <w:t>Management of Organizations</w:t>
      </w:r>
    </w:p>
    <w:p w14:paraId="7C768784" w14:textId="77777777" w:rsidR="00675120" w:rsidRPr="00EF1D90" w:rsidRDefault="00675120" w:rsidP="00675120">
      <w:pPr>
        <w:tabs>
          <w:tab w:val="left" w:pos="360"/>
          <w:tab w:val="left" w:pos="3060"/>
          <w:tab w:val="left" w:pos="4320"/>
        </w:tabs>
        <w:rPr>
          <w:color w:val="000000"/>
          <w:sz w:val="20"/>
        </w:rPr>
      </w:pPr>
      <w:r>
        <w:rPr>
          <w:color w:val="000000"/>
          <w:sz w:val="20"/>
        </w:rPr>
        <w:tab/>
      </w:r>
      <w:r w:rsidRPr="00CE0947">
        <w:rPr>
          <w:color w:val="000000"/>
          <w:sz w:val="20"/>
        </w:rPr>
        <w:t>Dr. Vance Lesseig (Chair)</w:t>
      </w:r>
      <w:r w:rsidRPr="00CE0947">
        <w:rPr>
          <w:color w:val="000000"/>
          <w:sz w:val="20"/>
        </w:rPr>
        <w:tab/>
        <w:t>FIN 3312</w:t>
      </w:r>
      <w:r w:rsidRPr="00CE0947">
        <w:rPr>
          <w:color w:val="000000"/>
          <w:sz w:val="20"/>
        </w:rPr>
        <w:tab/>
      </w:r>
      <w:r w:rsidRPr="00EF1D90">
        <w:rPr>
          <w:color w:val="000000"/>
          <w:sz w:val="20"/>
        </w:rPr>
        <w:t>Business Finance</w:t>
      </w:r>
    </w:p>
    <w:p w14:paraId="6A39CDFC" w14:textId="77777777" w:rsidR="00675120" w:rsidRPr="00EF1D90" w:rsidRDefault="00675120" w:rsidP="00675120">
      <w:pPr>
        <w:tabs>
          <w:tab w:val="left" w:pos="360"/>
          <w:tab w:val="left" w:pos="3060"/>
          <w:tab w:val="left" w:pos="4320"/>
        </w:tabs>
        <w:rPr>
          <w:color w:val="000000"/>
          <w:sz w:val="20"/>
        </w:rPr>
      </w:pPr>
      <w:r>
        <w:rPr>
          <w:color w:val="000000"/>
          <w:sz w:val="20"/>
        </w:rPr>
        <w:tab/>
      </w:r>
      <w:r w:rsidRPr="00CE0947">
        <w:rPr>
          <w:color w:val="000000"/>
          <w:sz w:val="20"/>
        </w:rPr>
        <w:t>Mr. Ken Murdock</w:t>
      </w:r>
      <w:r w:rsidRPr="00CE0947">
        <w:rPr>
          <w:color w:val="000000"/>
          <w:sz w:val="20"/>
        </w:rPr>
        <w:tab/>
        <w:t>MKT 3343</w:t>
      </w:r>
      <w:r w:rsidRPr="00CE0947">
        <w:rPr>
          <w:color w:val="000000"/>
          <w:sz w:val="20"/>
        </w:rPr>
        <w:tab/>
      </w:r>
      <w:r w:rsidRPr="00EF1D90">
        <w:rPr>
          <w:color w:val="000000"/>
          <w:sz w:val="20"/>
        </w:rPr>
        <w:t>Principles of Marketing</w:t>
      </w:r>
    </w:p>
    <w:p w14:paraId="46A02047" w14:textId="77777777" w:rsidR="00675120" w:rsidRPr="00EF1D90" w:rsidRDefault="00675120" w:rsidP="00675120">
      <w:pPr>
        <w:tabs>
          <w:tab w:val="left" w:pos="360"/>
          <w:tab w:val="left" w:pos="3060"/>
          <w:tab w:val="left" w:pos="4320"/>
        </w:tabs>
        <w:rPr>
          <w:color w:val="000000"/>
          <w:sz w:val="20"/>
        </w:rPr>
      </w:pPr>
      <w:r w:rsidRPr="00CE0947">
        <w:rPr>
          <w:color w:val="000000"/>
          <w:sz w:val="20"/>
        </w:rPr>
        <w:tab/>
        <w:t>Ms. Peggy Foreman</w:t>
      </w:r>
      <w:r w:rsidRPr="00CE0947">
        <w:rPr>
          <w:color w:val="000000"/>
          <w:sz w:val="20"/>
        </w:rPr>
        <w:tab/>
        <w:t>CIS 3380</w:t>
      </w:r>
      <w:r w:rsidRPr="00EF1D90">
        <w:rPr>
          <w:color w:val="000000"/>
          <w:sz w:val="20"/>
        </w:rPr>
        <w:t xml:space="preserve"> </w:t>
      </w:r>
      <w:r>
        <w:rPr>
          <w:color w:val="000000"/>
          <w:sz w:val="20"/>
        </w:rPr>
        <w:tab/>
      </w:r>
      <w:r w:rsidRPr="00EF1D90">
        <w:rPr>
          <w:color w:val="000000"/>
          <w:sz w:val="20"/>
        </w:rPr>
        <w:t>Enterprise Information Technology and Business Intelligence</w:t>
      </w:r>
    </w:p>
    <w:p w14:paraId="08031492" w14:textId="77777777" w:rsidR="00675120" w:rsidRPr="00EF1D90" w:rsidRDefault="00675120" w:rsidP="00675120">
      <w:pPr>
        <w:tabs>
          <w:tab w:val="left" w:pos="360"/>
          <w:tab w:val="left" w:pos="3060"/>
          <w:tab w:val="left" w:pos="4320"/>
        </w:tabs>
        <w:rPr>
          <w:color w:val="000000"/>
          <w:sz w:val="20"/>
        </w:rPr>
      </w:pPr>
      <w:r>
        <w:rPr>
          <w:color w:val="000000"/>
          <w:sz w:val="20"/>
        </w:rPr>
        <w:tab/>
      </w:r>
      <w:r w:rsidRPr="00CE0947">
        <w:rPr>
          <w:color w:val="000000"/>
          <w:sz w:val="20"/>
        </w:rPr>
        <w:t xml:space="preserve">Dr. Stephanie Solansky </w:t>
      </w:r>
      <w:r w:rsidRPr="00CE0947">
        <w:rPr>
          <w:color w:val="000000"/>
          <w:sz w:val="20"/>
        </w:rPr>
        <w:tab/>
        <w:t>MGT 3453</w:t>
      </w:r>
      <w:r w:rsidRPr="00CE0947">
        <w:rPr>
          <w:color w:val="000000"/>
          <w:sz w:val="20"/>
        </w:rPr>
        <w:tab/>
      </w:r>
      <w:r w:rsidRPr="00EF1D90">
        <w:rPr>
          <w:color w:val="000000"/>
          <w:sz w:val="20"/>
        </w:rPr>
        <w:t>Business Communication and Professional Development 1</w:t>
      </w:r>
    </w:p>
    <w:p w14:paraId="7938D12B" w14:textId="77777777" w:rsidR="00675120" w:rsidRPr="00EF1D90" w:rsidRDefault="00675120" w:rsidP="00675120">
      <w:pPr>
        <w:tabs>
          <w:tab w:val="left" w:pos="360"/>
          <w:tab w:val="left" w:pos="3060"/>
          <w:tab w:val="left" w:pos="4320"/>
        </w:tabs>
        <w:rPr>
          <w:color w:val="000000"/>
          <w:sz w:val="20"/>
        </w:rPr>
      </w:pPr>
      <w:r w:rsidRPr="00CE0947">
        <w:rPr>
          <w:color w:val="000000"/>
          <w:sz w:val="20"/>
        </w:rPr>
        <w:tab/>
        <w:t>Dr. Phillip Davis</w:t>
      </w:r>
      <w:r w:rsidRPr="00CE0947">
        <w:rPr>
          <w:color w:val="000000"/>
          <w:sz w:val="20"/>
        </w:rPr>
        <w:tab/>
        <w:t>MGT 4335</w:t>
      </w:r>
      <w:r w:rsidRPr="00CE0947">
        <w:rPr>
          <w:color w:val="000000"/>
          <w:sz w:val="20"/>
        </w:rPr>
        <w:tab/>
      </w:r>
      <w:r w:rsidRPr="00EF1D90">
        <w:rPr>
          <w:color w:val="000000"/>
          <w:sz w:val="20"/>
        </w:rPr>
        <w:t>Strategic Management and Business Policy</w:t>
      </w:r>
    </w:p>
    <w:p w14:paraId="13BD5E4D" w14:textId="77777777" w:rsidR="00675120" w:rsidRPr="00CE0947" w:rsidRDefault="00675120" w:rsidP="00675120">
      <w:pPr>
        <w:tabs>
          <w:tab w:val="left" w:pos="360"/>
          <w:tab w:val="left" w:pos="3060"/>
          <w:tab w:val="left" w:pos="4140"/>
        </w:tabs>
        <w:rPr>
          <w:color w:val="000000"/>
          <w:sz w:val="20"/>
        </w:rPr>
      </w:pPr>
      <w:r>
        <w:rPr>
          <w:color w:val="000000"/>
          <w:sz w:val="20"/>
        </w:rPr>
        <w:tab/>
      </w:r>
      <w:r w:rsidRPr="00CE0947">
        <w:rPr>
          <w:color w:val="000000"/>
          <w:sz w:val="20"/>
        </w:rPr>
        <w:t xml:space="preserve">Dr. David Wierschem, </w:t>
      </w:r>
      <w:r>
        <w:rPr>
          <w:color w:val="000000"/>
          <w:sz w:val="20"/>
        </w:rPr>
        <w:t>Associate Dean for Undergraduate Programs</w:t>
      </w:r>
      <w:r>
        <w:rPr>
          <w:color w:val="000000"/>
          <w:sz w:val="20"/>
        </w:rPr>
        <w:tab/>
      </w:r>
      <w:r w:rsidRPr="00CE0947">
        <w:rPr>
          <w:color w:val="000000"/>
          <w:sz w:val="20"/>
        </w:rPr>
        <w:t>ex-officio (non-voting)</w:t>
      </w:r>
    </w:p>
    <w:p w14:paraId="62D7773A" w14:textId="77777777" w:rsidR="00675120" w:rsidRPr="00EF1D90" w:rsidRDefault="00675120" w:rsidP="00675120">
      <w:pPr>
        <w:pStyle w:val="BodyText"/>
      </w:pPr>
    </w:p>
    <w:p w14:paraId="7F05E24E" w14:textId="77777777" w:rsidR="00675120" w:rsidRDefault="00675120" w:rsidP="00675120">
      <w:pPr>
        <w:spacing w:before="230"/>
        <w:ind w:left="1967" w:right="2426"/>
        <w:jc w:val="center"/>
        <w:rPr>
          <w:i/>
          <w:sz w:val="24"/>
        </w:rPr>
      </w:pPr>
      <w:r>
        <w:rPr>
          <w:i/>
          <w:sz w:val="24"/>
        </w:rPr>
        <w:t>Fall 2019</w:t>
      </w:r>
    </w:p>
    <w:p w14:paraId="1FC7BC4E" w14:textId="77777777" w:rsidR="008951C5" w:rsidRDefault="008951C5">
      <w:pPr>
        <w:jc w:val="center"/>
        <w:sectPr w:rsidR="008951C5">
          <w:type w:val="continuous"/>
          <w:pgSz w:w="12240" w:h="15840"/>
          <w:pgMar w:top="1500" w:right="1020" w:bottom="280" w:left="1680" w:header="720" w:footer="720" w:gutter="0"/>
          <w:cols w:space="720"/>
        </w:sectPr>
      </w:pPr>
    </w:p>
    <w:p w14:paraId="4C8FBA73" w14:textId="77777777" w:rsidR="008951C5" w:rsidRDefault="00DD4386">
      <w:pPr>
        <w:spacing w:before="77"/>
        <w:ind w:left="120"/>
        <w:rPr>
          <w:b/>
          <w:sz w:val="28"/>
        </w:rPr>
      </w:pPr>
      <w:r>
        <w:rPr>
          <w:b/>
          <w:sz w:val="28"/>
        </w:rPr>
        <w:lastRenderedPageBreak/>
        <w:t>Alumni Survey Comparative Results 20</w:t>
      </w:r>
      <w:r w:rsidR="00675120">
        <w:rPr>
          <w:b/>
          <w:sz w:val="28"/>
        </w:rPr>
        <w:t>14</w:t>
      </w:r>
      <w:r>
        <w:rPr>
          <w:b/>
          <w:sz w:val="28"/>
        </w:rPr>
        <w:t>-201</w:t>
      </w:r>
      <w:r w:rsidR="00675120">
        <w:rPr>
          <w:b/>
          <w:sz w:val="28"/>
        </w:rPr>
        <w:t>9</w:t>
      </w:r>
    </w:p>
    <w:p w14:paraId="40F0BDDF" w14:textId="77777777" w:rsidR="008951C5" w:rsidRDefault="008951C5">
      <w:pPr>
        <w:pStyle w:val="BodyText"/>
        <w:rPr>
          <w:b/>
          <w:sz w:val="30"/>
        </w:rPr>
      </w:pPr>
    </w:p>
    <w:p w14:paraId="6EB0E3A8" w14:textId="77777777" w:rsidR="008951C5" w:rsidRDefault="00DD4386">
      <w:pPr>
        <w:pStyle w:val="Heading2"/>
        <w:spacing w:before="206"/>
      </w:pPr>
      <w:r>
        <w:t>Background</w:t>
      </w:r>
    </w:p>
    <w:p w14:paraId="131AA775" w14:textId="77777777" w:rsidR="008951C5" w:rsidRDefault="008951C5">
      <w:pPr>
        <w:pStyle w:val="BodyText"/>
        <w:spacing w:before="7"/>
        <w:rPr>
          <w:b/>
          <w:i/>
          <w:sz w:val="23"/>
        </w:rPr>
      </w:pPr>
    </w:p>
    <w:p w14:paraId="0096FE10" w14:textId="77777777" w:rsidR="008951C5" w:rsidRDefault="00DD4386">
      <w:pPr>
        <w:pStyle w:val="BodyText"/>
        <w:ind w:left="119" w:right="830"/>
      </w:pPr>
      <w:r>
        <w:t xml:space="preserve">The Alumni Survey is </w:t>
      </w:r>
      <w:r w:rsidR="00675120">
        <w:t>administered three times per year</w:t>
      </w:r>
      <w:r>
        <w:t xml:space="preserve"> by the Associate Vice President for Institutional Effectiveness in the Division of Academic Affairs at Texas State University. The survey was developed as a common institutional instrument with Colleges and departments invited to contribute specific survey items relevant to their fields. The McCoy College of Business Administration and the Department of Accounting have contributed multiple items to be included on the survey over the previous years.</w:t>
      </w:r>
    </w:p>
    <w:p w14:paraId="3B9D5506" w14:textId="77777777" w:rsidR="008951C5" w:rsidRDefault="008951C5">
      <w:pPr>
        <w:pStyle w:val="BodyText"/>
      </w:pPr>
    </w:p>
    <w:p w14:paraId="1DD39D47" w14:textId="77777777" w:rsidR="008951C5" w:rsidRDefault="00DD4386">
      <w:pPr>
        <w:pStyle w:val="BodyText"/>
        <w:ind w:left="119" w:right="783"/>
      </w:pPr>
      <w:r>
        <w:t xml:space="preserve">According to the Office of Institutional Research, the target population </w:t>
      </w:r>
      <w:r w:rsidR="00675120">
        <w:t>who received bachelor’s degrees six months prior to the survey. August graduates are surveyed in February; December graduates are surveyed in June; and May graduates receive surveys in November.</w:t>
      </w:r>
    </w:p>
    <w:p w14:paraId="5A45606B" w14:textId="77777777" w:rsidR="008951C5" w:rsidRDefault="008951C5">
      <w:pPr>
        <w:pStyle w:val="BodyText"/>
      </w:pPr>
    </w:p>
    <w:p w14:paraId="3290C87B" w14:textId="77777777" w:rsidR="008951C5" w:rsidRDefault="00DD4386">
      <w:pPr>
        <w:pStyle w:val="BodyText"/>
        <w:ind w:left="120" w:right="809"/>
      </w:pPr>
      <w:r>
        <w:t xml:space="preserve">The McCoy College overall response rate </w:t>
      </w:r>
      <w:r w:rsidR="00956BD0">
        <w:t xml:space="preserve">is typically equal to or slightly </w:t>
      </w:r>
      <w:r w:rsidR="0091163F">
        <w:t>lower</w:t>
      </w:r>
      <w:r w:rsidR="00956BD0">
        <w:t xml:space="preserve"> than that of the </w:t>
      </w:r>
      <w:r>
        <w:t>overall University response rate.</w:t>
      </w:r>
    </w:p>
    <w:p w14:paraId="7767E7D4" w14:textId="77777777" w:rsidR="008C6AEC" w:rsidRDefault="008C6AEC">
      <w:pPr>
        <w:pStyle w:val="BodyText"/>
        <w:ind w:left="120" w:right="809"/>
      </w:pPr>
    </w:p>
    <w:p w14:paraId="6835A55A" w14:textId="77777777" w:rsidR="008951C5" w:rsidRDefault="008C6AEC">
      <w:pPr>
        <w:pStyle w:val="BodyText"/>
        <w:rPr>
          <w:sz w:val="26"/>
        </w:rPr>
      </w:pPr>
      <w:r w:rsidRPr="008C6AEC">
        <w:rPr>
          <w:noProof/>
        </w:rPr>
        <w:drawing>
          <wp:inline distT="0" distB="0" distL="0" distR="0" wp14:anchorId="7F5513D5" wp14:editId="7DE6C34B">
            <wp:extent cx="5563903" cy="4095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1296" cy="430692"/>
                    </a:xfrm>
                    <a:prstGeom prst="rect">
                      <a:avLst/>
                    </a:prstGeom>
                    <a:noFill/>
                    <a:ln>
                      <a:noFill/>
                    </a:ln>
                  </pic:spPr>
                </pic:pic>
              </a:graphicData>
            </a:graphic>
          </wp:inline>
        </w:drawing>
      </w:r>
    </w:p>
    <w:p w14:paraId="6D1558EA" w14:textId="77777777" w:rsidR="008951C5" w:rsidRDefault="008951C5">
      <w:pPr>
        <w:pStyle w:val="BodyText"/>
        <w:spacing w:before="5"/>
        <w:rPr>
          <w:sz w:val="22"/>
        </w:rPr>
      </w:pPr>
    </w:p>
    <w:p w14:paraId="67010670" w14:textId="77777777" w:rsidR="008951C5" w:rsidRDefault="00DD4386">
      <w:pPr>
        <w:pStyle w:val="Heading2"/>
      </w:pPr>
      <w:r>
        <w:t>Results:</w:t>
      </w:r>
    </w:p>
    <w:p w14:paraId="2D60D33A" w14:textId="77777777" w:rsidR="008951C5" w:rsidRDefault="008951C5">
      <w:pPr>
        <w:pStyle w:val="BodyText"/>
        <w:rPr>
          <w:b/>
          <w:i/>
        </w:rPr>
      </w:pPr>
    </w:p>
    <w:p w14:paraId="7694180E" w14:textId="77777777" w:rsidR="008951C5" w:rsidRDefault="00DD4386">
      <w:pPr>
        <w:pStyle w:val="ListParagraph"/>
        <w:numPr>
          <w:ilvl w:val="0"/>
          <w:numId w:val="3"/>
        </w:numPr>
        <w:tabs>
          <w:tab w:val="left" w:pos="839"/>
          <w:tab w:val="left" w:pos="840"/>
        </w:tabs>
        <w:rPr>
          <w:b/>
          <w:sz w:val="24"/>
        </w:rPr>
      </w:pPr>
      <w:r>
        <w:rPr>
          <w:b/>
          <w:sz w:val="24"/>
        </w:rPr>
        <w:t>College-Level Program Learning Goals.</w:t>
      </w:r>
    </w:p>
    <w:p w14:paraId="2A6BD5EF" w14:textId="77777777" w:rsidR="008951C5" w:rsidRDefault="008951C5">
      <w:pPr>
        <w:pStyle w:val="BodyText"/>
        <w:spacing w:before="7"/>
        <w:rPr>
          <w:b/>
          <w:sz w:val="23"/>
        </w:rPr>
      </w:pPr>
    </w:p>
    <w:p w14:paraId="05FB0D9E" w14:textId="12A7948E" w:rsidR="008951C5" w:rsidRDefault="00DD4386">
      <w:pPr>
        <w:pStyle w:val="BodyText"/>
        <w:ind w:left="119" w:right="787"/>
      </w:pPr>
      <w:r>
        <w:t xml:space="preserve">The following table shows the longitudinal comparison of alumni response to College- level learning goals and AACSB initiatives for the period of </w:t>
      </w:r>
      <w:r w:rsidR="00956BD0">
        <w:t xml:space="preserve">Fall </w:t>
      </w:r>
      <w:r>
        <w:t>20</w:t>
      </w:r>
      <w:r w:rsidR="00956BD0">
        <w:t>14</w:t>
      </w:r>
      <w:r>
        <w:t xml:space="preserve"> through </w:t>
      </w:r>
      <w:r w:rsidR="002636D4">
        <w:t xml:space="preserve">Fall </w:t>
      </w:r>
      <w:r>
        <w:t>201</w:t>
      </w:r>
      <w:r w:rsidR="00956BD0">
        <w:t>9</w:t>
      </w:r>
      <w:r>
        <w:t>. Each item on the table is mapped to specific program-level goals directly assessed within the McCoy College.</w:t>
      </w:r>
      <w:r w:rsidRPr="002636D4">
        <w:t xml:space="preserve"> </w:t>
      </w:r>
      <w:r>
        <w:t xml:space="preserve">The cells show the </w:t>
      </w:r>
      <w:r w:rsidR="002636D4">
        <w:t xml:space="preserve">percentage of students that selected “Very much” out of a </w:t>
      </w:r>
      <w:proofErr w:type="gramStart"/>
      <w:r w:rsidR="002636D4">
        <w:t>three level</w:t>
      </w:r>
      <w:proofErr w:type="gramEnd"/>
      <w:r w:rsidR="002636D4">
        <w:t xml:space="preserve"> scale for:</w:t>
      </w:r>
      <w:r>
        <w:t xml:space="preserve"> </w:t>
      </w:r>
      <w:r w:rsidR="002636D4" w:rsidRPr="002636D4">
        <w:rPr>
          <w:bCs/>
          <w:i/>
        </w:rPr>
        <w:t>To what extent did your education at Texas State affect your personal development in each of the following areas?</w:t>
      </w:r>
      <w:r w:rsidR="002636D4">
        <w:t xml:space="preserve"> </w:t>
      </w:r>
      <w:r>
        <w:t>The cell scaling used was developed by the University to allow for cross comparisons between various colleges and departments and is not considered an optimum scaling system by the Assurance of Learning</w:t>
      </w:r>
      <w:r>
        <w:rPr>
          <w:spacing w:val="-13"/>
        </w:rPr>
        <w:t xml:space="preserve"> </w:t>
      </w:r>
      <w:r>
        <w:t>Committee.</w:t>
      </w:r>
    </w:p>
    <w:p w14:paraId="0B460712" w14:textId="77777777" w:rsidR="008951C5" w:rsidRDefault="008951C5">
      <w:pPr>
        <w:sectPr w:rsidR="008951C5">
          <w:pgSz w:w="12240" w:h="15840"/>
          <w:pgMar w:top="1360" w:right="1020" w:bottom="280" w:left="1680" w:header="720" w:footer="720" w:gutter="0"/>
          <w:cols w:space="720"/>
        </w:sectPr>
      </w:pPr>
    </w:p>
    <w:p w14:paraId="1889F883" w14:textId="77777777" w:rsidR="008951C5" w:rsidRDefault="008951C5" w:rsidP="00531489">
      <w:pPr>
        <w:rPr>
          <w:sz w:val="10"/>
        </w:rPr>
      </w:pPr>
    </w:p>
    <w:p w14:paraId="000F6B32" w14:textId="168C9238" w:rsidR="00531489" w:rsidRDefault="00026038" w:rsidP="00531489">
      <w:pPr>
        <w:rPr>
          <w:sz w:val="10"/>
        </w:rPr>
      </w:pPr>
      <w:r>
        <w:rPr>
          <w:noProof/>
        </w:rPr>
        <w:t>n</w:t>
      </w:r>
      <w:r w:rsidR="008C6AEC" w:rsidRPr="008C6AEC">
        <w:rPr>
          <w:noProof/>
        </w:rPr>
        <w:drawing>
          <wp:inline distT="0" distB="0" distL="0" distR="0" wp14:anchorId="18DF0A43" wp14:editId="3F99631D">
            <wp:extent cx="6057900" cy="359953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3599535"/>
                    </a:xfrm>
                    <a:prstGeom prst="rect">
                      <a:avLst/>
                    </a:prstGeom>
                    <a:noFill/>
                    <a:ln>
                      <a:noFill/>
                    </a:ln>
                  </pic:spPr>
                </pic:pic>
              </a:graphicData>
            </a:graphic>
          </wp:inline>
        </w:drawing>
      </w:r>
    </w:p>
    <w:p w14:paraId="6A901A14" w14:textId="77777777" w:rsidR="008C6AEC" w:rsidRDefault="008C6AEC" w:rsidP="00531489">
      <w:pPr>
        <w:rPr>
          <w:sz w:val="10"/>
        </w:rPr>
      </w:pPr>
    </w:p>
    <w:p w14:paraId="354564F5" w14:textId="77777777" w:rsidR="008951C5" w:rsidRDefault="00DD4386">
      <w:pPr>
        <w:pStyle w:val="Heading1"/>
        <w:numPr>
          <w:ilvl w:val="0"/>
          <w:numId w:val="3"/>
        </w:numPr>
        <w:tabs>
          <w:tab w:val="left" w:pos="839"/>
          <w:tab w:val="left" w:pos="840"/>
        </w:tabs>
        <w:spacing w:before="90"/>
      </w:pPr>
      <w:r>
        <w:t>Assurance of Learning Committee Comments.</w:t>
      </w:r>
    </w:p>
    <w:p w14:paraId="423EDD80" w14:textId="77777777" w:rsidR="008951C5" w:rsidRDefault="008951C5">
      <w:pPr>
        <w:pStyle w:val="BodyText"/>
        <w:spacing w:before="7"/>
        <w:rPr>
          <w:b/>
          <w:sz w:val="23"/>
        </w:rPr>
      </w:pPr>
    </w:p>
    <w:p w14:paraId="00C450D2" w14:textId="77777777" w:rsidR="008951C5" w:rsidRDefault="00DD4386">
      <w:pPr>
        <w:pStyle w:val="BodyText"/>
        <w:ind w:left="119" w:right="883"/>
      </w:pPr>
      <w:r>
        <w:t>The AOL committee observations and/or comments on various aspects and results of the Alumni survey appear below. The observations/comments are separated into general survey administration, program learning goals, and “other” survey items.</w:t>
      </w:r>
    </w:p>
    <w:p w14:paraId="065D2930" w14:textId="77777777" w:rsidR="008951C5" w:rsidRDefault="008951C5">
      <w:pPr>
        <w:pStyle w:val="BodyText"/>
        <w:spacing w:before="5"/>
      </w:pPr>
    </w:p>
    <w:p w14:paraId="3F01BFF3" w14:textId="77777777" w:rsidR="008951C5" w:rsidRDefault="00DD4386">
      <w:pPr>
        <w:pStyle w:val="Heading2"/>
        <w:ind w:left="119"/>
      </w:pPr>
      <w:r>
        <w:t>General Survey Administration.</w:t>
      </w:r>
    </w:p>
    <w:p w14:paraId="412DA461" w14:textId="77777777" w:rsidR="008951C5" w:rsidRDefault="008951C5">
      <w:pPr>
        <w:pStyle w:val="BodyText"/>
        <w:spacing w:before="7"/>
        <w:rPr>
          <w:b/>
          <w:i/>
          <w:sz w:val="23"/>
        </w:rPr>
      </w:pPr>
    </w:p>
    <w:p w14:paraId="0F07E253" w14:textId="77777777" w:rsidR="008951C5" w:rsidRDefault="00DD4386">
      <w:pPr>
        <w:pStyle w:val="ListParagraph"/>
        <w:numPr>
          <w:ilvl w:val="1"/>
          <w:numId w:val="3"/>
        </w:numPr>
        <w:tabs>
          <w:tab w:val="left" w:pos="840"/>
        </w:tabs>
        <w:ind w:right="902"/>
        <w:rPr>
          <w:sz w:val="24"/>
        </w:rPr>
      </w:pPr>
      <w:r>
        <w:rPr>
          <w:sz w:val="24"/>
        </w:rPr>
        <w:t>The committee still has concerns about the low response rate. Even though the survey provides only corroborative evidence for accomplishment of student learning goals, the Office of Institutional Research should attempt to improve</w:t>
      </w:r>
      <w:r>
        <w:rPr>
          <w:spacing w:val="-21"/>
          <w:sz w:val="24"/>
        </w:rPr>
        <w:t xml:space="preserve"> </w:t>
      </w:r>
      <w:r>
        <w:rPr>
          <w:sz w:val="24"/>
        </w:rPr>
        <w:t>the response</w:t>
      </w:r>
      <w:r>
        <w:rPr>
          <w:spacing w:val="-2"/>
          <w:sz w:val="24"/>
        </w:rPr>
        <w:t xml:space="preserve"> </w:t>
      </w:r>
      <w:r>
        <w:rPr>
          <w:sz w:val="24"/>
        </w:rPr>
        <w:t>rate.</w:t>
      </w:r>
    </w:p>
    <w:p w14:paraId="3C824FC3" w14:textId="77777777" w:rsidR="008951C5" w:rsidRDefault="008951C5">
      <w:pPr>
        <w:pStyle w:val="BodyText"/>
      </w:pPr>
    </w:p>
    <w:p w14:paraId="6E3ABBDC" w14:textId="77777777" w:rsidR="008951C5" w:rsidRDefault="00DD4386">
      <w:pPr>
        <w:pStyle w:val="ListParagraph"/>
        <w:numPr>
          <w:ilvl w:val="1"/>
          <w:numId w:val="3"/>
        </w:numPr>
        <w:tabs>
          <w:tab w:val="left" w:pos="840"/>
        </w:tabs>
        <w:ind w:right="791"/>
        <w:rPr>
          <w:sz w:val="24"/>
        </w:rPr>
      </w:pPr>
      <w:r>
        <w:rPr>
          <w:sz w:val="24"/>
        </w:rPr>
        <w:t xml:space="preserve">There is committee concern with the timing of the survey. Contacting alumni </w:t>
      </w:r>
      <w:r w:rsidR="0091163F">
        <w:rPr>
          <w:sz w:val="24"/>
        </w:rPr>
        <w:t xml:space="preserve">six </w:t>
      </w:r>
      <w:r>
        <w:rPr>
          <w:sz w:val="24"/>
        </w:rPr>
        <w:t>month</w:t>
      </w:r>
      <w:r w:rsidR="0091163F">
        <w:rPr>
          <w:sz w:val="24"/>
        </w:rPr>
        <w:t>s</w:t>
      </w:r>
      <w:r>
        <w:rPr>
          <w:sz w:val="24"/>
        </w:rPr>
        <w:t xml:space="preserve"> after graduation may not yield data much different from the Graduating Senior Survey, given to students during their final semester. The committee believes that a better target would be to contact alumni approximately three years after graduation. This would give alumni more distance from their academic experience, more acclimation time for job and career, and provide</w:t>
      </w:r>
      <w:r>
        <w:rPr>
          <w:spacing w:val="-18"/>
          <w:sz w:val="24"/>
        </w:rPr>
        <w:t xml:space="preserve"> </w:t>
      </w:r>
      <w:r>
        <w:rPr>
          <w:sz w:val="24"/>
        </w:rPr>
        <w:t>better assessment data of program learning</w:t>
      </w:r>
      <w:r>
        <w:rPr>
          <w:spacing w:val="-3"/>
          <w:sz w:val="24"/>
        </w:rPr>
        <w:t xml:space="preserve"> </w:t>
      </w:r>
      <w:r>
        <w:rPr>
          <w:sz w:val="24"/>
        </w:rPr>
        <w:t>goals.</w:t>
      </w:r>
    </w:p>
    <w:p w14:paraId="5E45E6D3" w14:textId="77777777" w:rsidR="008951C5" w:rsidRDefault="008951C5">
      <w:pPr>
        <w:pStyle w:val="BodyText"/>
      </w:pPr>
    </w:p>
    <w:p w14:paraId="3AB508E4" w14:textId="77777777" w:rsidR="008951C5" w:rsidRDefault="00DD4386">
      <w:pPr>
        <w:pStyle w:val="ListParagraph"/>
        <w:numPr>
          <w:ilvl w:val="1"/>
          <w:numId w:val="3"/>
        </w:numPr>
        <w:tabs>
          <w:tab w:val="left" w:pos="840"/>
        </w:tabs>
        <w:ind w:right="1032"/>
        <w:rPr>
          <w:sz w:val="24"/>
        </w:rPr>
      </w:pPr>
      <w:r>
        <w:rPr>
          <w:sz w:val="24"/>
        </w:rPr>
        <w:t>There is also committee concern about the length of the survey. The committee believes the response rate is negatively impacted by the length of the</w:t>
      </w:r>
      <w:r>
        <w:rPr>
          <w:spacing w:val="-19"/>
          <w:sz w:val="24"/>
        </w:rPr>
        <w:t xml:space="preserve"> </w:t>
      </w:r>
      <w:r>
        <w:rPr>
          <w:sz w:val="24"/>
        </w:rPr>
        <w:t>survey.</w:t>
      </w:r>
    </w:p>
    <w:p w14:paraId="4E22DD4E" w14:textId="77777777" w:rsidR="008951C5" w:rsidRDefault="008951C5">
      <w:pPr>
        <w:pStyle w:val="BodyText"/>
        <w:rPr>
          <w:sz w:val="26"/>
        </w:rPr>
      </w:pPr>
    </w:p>
    <w:p w14:paraId="2A90E84E" w14:textId="77777777" w:rsidR="008951C5" w:rsidRDefault="008951C5">
      <w:pPr>
        <w:pStyle w:val="BodyText"/>
        <w:spacing w:before="5"/>
        <w:rPr>
          <w:sz w:val="22"/>
        </w:rPr>
      </w:pPr>
    </w:p>
    <w:p w14:paraId="142CD28D" w14:textId="77777777" w:rsidR="008951C5" w:rsidRDefault="00DD4386">
      <w:pPr>
        <w:pStyle w:val="Heading2"/>
        <w:ind w:left="119"/>
      </w:pPr>
      <w:r>
        <w:t>Program Learning Goals.</w:t>
      </w:r>
    </w:p>
    <w:p w14:paraId="16963960" w14:textId="77777777" w:rsidR="008951C5" w:rsidRDefault="008951C5">
      <w:pPr>
        <w:pStyle w:val="BodyText"/>
        <w:spacing w:before="7"/>
        <w:rPr>
          <w:b/>
          <w:i/>
          <w:sz w:val="23"/>
        </w:rPr>
      </w:pPr>
    </w:p>
    <w:p w14:paraId="1C23DCA9" w14:textId="0B319BFA" w:rsidR="008951C5" w:rsidRPr="00A00A97" w:rsidRDefault="00DD4386">
      <w:pPr>
        <w:pStyle w:val="ListParagraph"/>
        <w:numPr>
          <w:ilvl w:val="0"/>
          <w:numId w:val="2"/>
        </w:numPr>
        <w:tabs>
          <w:tab w:val="left" w:pos="912"/>
        </w:tabs>
        <w:ind w:right="856"/>
        <w:rPr>
          <w:sz w:val="24"/>
        </w:rPr>
      </w:pPr>
      <w:r w:rsidRPr="00A00A97">
        <w:rPr>
          <w:sz w:val="24"/>
        </w:rPr>
        <w:t xml:space="preserve">Program Goal 1—Effective writing: The perceived satisfaction rate for </w:t>
      </w:r>
      <w:r w:rsidR="00A57B2A" w:rsidRPr="00A00A97">
        <w:rPr>
          <w:sz w:val="24"/>
        </w:rPr>
        <w:t xml:space="preserve">the </w:t>
      </w:r>
      <w:r w:rsidR="00A57B2A" w:rsidRPr="00A00A97">
        <w:rPr>
          <w:sz w:val="24"/>
        </w:rPr>
        <w:lastRenderedPageBreak/>
        <w:t xml:space="preserve">periods 2014-2019 in </w:t>
      </w:r>
      <w:r w:rsidRPr="00A00A97">
        <w:rPr>
          <w:sz w:val="24"/>
        </w:rPr>
        <w:t xml:space="preserve">effective writing </w:t>
      </w:r>
      <w:r w:rsidR="00E86D64" w:rsidRPr="00A00A97">
        <w:rPr>
          <w:sz w:val="24"/>
        </w:rPr>
        <w:t xml:space="preserve">varied </w:t>
      </w:r>
      <w:r w:rsidR="00A57B2A" w:rsidRPr="00A00A97">
        <w:rPr>
          <w:sz w:val="24"/>
        </w:rPr>
        <w:t>between</w:t>
      </w:r>
      <w:r w:rsidR="00CA3713" w:rsidRPr="00A00A97">
        <w:rPr>
          <w:sz w:val="24"/>
        </w:rPr>
        <w:t xml:space="preserve"> 71% and 29%</w:t>
      </w:r>
      <w:r w:rsidR="009709FF" w:rsidRPr="00A00A97">
        <w:rPr>
          <w:sz w:val="24"/>
        </w:rPr>
        <w:t xml:space="preserve">, </w:t>
      </w:r>
      <w:r w:rsidR="00A57B2A" w:rsidRPr="00A00A97">
        <w:rPr>
          <w:sz w:val="24"/>
        </w:rPr>
        <w:t>with the lowest rating occurring</w:t>
      </w:r>
      <w:r w:rsidR="00CA3713" w:rsidRPr="00A00A97">
        <w:rPr>
          <w:sz w:val="24"/>
        </w:rPr>
        <w:t xml:space="preserve"> during the most recent reporting period, summer 2019</w:t>
      </w:r>
      <w:r w:rsidRPr="00A00A97">
        <w:rPr>
          <w:sz w:val="24"/>
        </w:rPr>
        <w:t xml:space="preserve">. </w:t>
      </w:r>
      <w:r w:rsidR="00CA3713" w:rsidRPr="00A00A97">
        <w:rPr>
          <w:sz w:val="24"/>
        </w:rPr>
        <w:t xml:space="preserve">To increase the satisfaction rate in this area, it is the committee’s </w:t>
      </w:r>
      <w:r w:rsidR="004B75ED" w:rsidRPr="00A00A97">
        <w:rPr>
          <w:sz w:val="24"/>
        </w:rPr>
        <w:t>recommendation</w:t>
      </w:r>
      <w:r w:rsidR="00CA3713" w:rsidRPr="00A00A97">
        <w:rPr>
          <w:sz w:val="24"/>
        </w:rPr>
        <w:t xml:space="preserve"> to add more writing assignments throughout the </w:t>
      </w:r>
      <w:r w:rsidR="00466CD1" w:rsidRPr="00A00A97">
        <w:rPr>
          <w:sz w:val="24"/>
        </w:rPr>
        <w:t>core courses</w:t>
      </w:r>
      <w:r w:rsidR="00CA3713" w:rsidRPr="00A00A97">
        <w:rPr>
          <w:sz w:val="24"/>
        </w:rPr>
        <w:t>, giving students more practice in this area.</w:t>
      </w:r>
    </w:p>
    <w:p w14:paraId="26D50F7F" w14:textId="77777777" w:rsidR="008951C5" w:rsidRPr="00A00A97" w:rsidRDefault="008951C5">
      <w:pPr>
        <w:pStyle w:val="BodyText"/>
      </w:pPr>
    </w:p>
    <w:p w14:paraId="56C03548" w14:textId="4F7896A8" w:rsidR="008951C5" w:rsidRPr="00A00A97" w:rsidRDefault="00DD4386">
      <w:pPr>
        <w:pStyle w:val="ListParagraph"/>
        <w:numPr>
          <w:ilvl w:val="0"/>
          <w:numId w:val="2"/>
        </w:numPr>
        <w:tabs>
          <w:tab w:val="left" w:pos="912"/>
        </w:tabs>
        <w:ind w:right="922"/>
        <w:rPr>
          <w:sz w:val="24"/>
        </w:rPr>
      </w:pPr>
      <w:r w:rsidRPr="00A00A97">
        <w:rPr>
          <w:sz w:val="24"/>
        </w:rPr>
        <w:t xml:space="preserve">Program Goal 2—Critical and Logical Thinking: </w:t>
      </w:r>
      <w:r w:rsidR="00466CD1" w:rsidRPr="00A00A97">
        <w:rPr>
          <w:sz w:val="24"/>
        </w:rPr>
        <w:t xml:space="preserve">The </w:t>
      </w:r>
      <w:r w:rsidRPr="00A00A97">
        <w:rPr>
          <w:sz w:val="24"/>
        </w:rPr>
        <w:t xml:space="preserve">perceived overall satisfaction </w:t>
      </w:r>
      <w:r w:rsidR="009709FF" w:rsidRPr="00A00A97">
        <w:rPr>
          <w:sz w:val="24"/>
        </w:rPr>
        <w:t xml:space="preserve">rate varied </w:t>
      </w:r>
      <w:r w:rsidR="00466CD1" w:rsidRPr="00A00A97">
        <w:rPr>
          <w:sz w:val="24"/>
        </w:rPr>
        <w:t xml:space="preserve">between 52% and 100% during the 2014-2019 reporting period, with the lowest results </w:t>
      </w:r>
      <w:r w:rsidR="00A57B2A" w:rsidRPr="00A00A97">
        <w:rPr>
          <w:sz w:val="24"/>
        </w:rPr>
        <w:t xml:space="preserve">also </w:t>
      </w:r>
      <w:r w:rsidR="00466CD1" w:rsidRPr="00A00A97">
        <w:rPr>
          <w:sz w:val="24"/>
        </w:rPr>
        <w:t>coming during the most recent two years</w:t>
      </w:r>
      <w:r w:rsidRPr="00A00A97">
        <w:rPr>
          <w:sz w:val="24"/>
        </w:rPr>
        <w:t xml:space="preserve">. </w:t>
      </w:r>
      <w:r w:rsidR="00466CD1" w:rsidRPr="00A00A97">
        <w:rPr>
          <w:sz w:val="24"/>
        </w:rPr>
        <w:t xml:space="preserve">This program goal continues to be an important assessment </w:t>
      </w:r>
      <w:r w:rsidR="009709FF" w:rsidRPr="00A00A97">
        <w:rPr>
          <w:sz w:val="24"/>
        </w:rPr>
        <w:t xml:space="preserve">metric </w:t>
      </w:r>
      <w:r w:rsidR="00466CD1" w:rsidRPr="00A00A97">
        <w:rPr>
          <w:sz w:val="24"/>
        </w:rPr>
        <w:t>throughout the</w:t>
      </w:r>
      <w:r w:rsidR="00481801" w:rsidRPr="00A00A97">
        <w:rPr>
          <w:sz w:val="24"/>
        </w:rPr>
        <w:t xml:space="preserve"> core</w:t>
      </w:r>
      <w:r w:rsidR="00466CD1" w:rsidRPr="00A00A97">
        <w:rPr>
          <w:sz w:val="24"/>
        </w:rPr>
        <w:t xml:space="preserve"> courses</w:t>
      </w:r>
      <w:r w:rsidR="002926F7" w:rsidRPr="00A00A97">
        <w:rPr>
          <w:sz w:val="24"/>
        </w:rPr>
        <w:t xml:space="preserve">.  </w:t>
      </w:r>
      <w:r w:rsidR="009709FF" w:rsidRPr="00A00A97">
        <w:rPr>
          <w:sz w:val="24"/>
        </w:rPr>
        <w:t>Since i</w:t>
      </w:r>
      <w:r w:rsidR="002926F7" w:rsidRPr="00A00A97">
        <w:rPr>
          <w:sz w:val="24"/>
        </w:rPr>
        <w:t xml:space="preserve">t is </w:t>
      </w:r>
      <w:r w:rsidR="009709FF" w:rsidRPr="00A00A97">
        <w:rPr>
          <w:sz w:val="24"/>
        </w:rPr>
        <w:t xml:space="preserve">already heavily included, it is </w:t>
      </w:r>
      <w:r w:rsidR="002926F7" w:rsidRPr="00A00A97">
        <w:rPr>
          <w:sz w:val="24"/>
        </w:rPr>
        <w:t xml:space="preserve">suggested </w:t>
      </w:r>
      <w:r w:rsidR="009709FF" w:rsidRPr="00A00A97">
        <w:rPr>
          <w:sz w:val="24"/>
        </w:rPr>
        <w:t>that faculty</w:t>
      </w:r>
      <w:r w:rsidR="002926F7" w:rsidRPr="00A00A97">
        <w:rPr>
          <w:sz w:val="24"/>
        </w:rPr>
        <w:t xml:space="preserve"> include this verbiage </w:t>
      </w:r>
      <w:r w:rsidR="009709FF" w:rsidRPr="00A00A97">
        <w:rPr>
          <w:sz w:val="24"/>
        </w:rPr>
        <w:t>in the</w:t>
      </w:r>
      <w:r w:rsidR="00A57B2A" w:rsidRPr="00A00A97">
        <w:rPr>
          <w:sz w:val="24"/>
        </w:rPr>
        <w:t>ir</w:t>
      </w:r>
      <w:r w:rsidR="009709FF" w:rsidRPr="00A00A97">
        <w:rPr>
          <w:sz w:val="24"/>
        </w:rPr>
        <w:t xml:space="preserve"> course</w:t>
      </w:r>
      <w:r w:rsidR="00CC4C74" w:rsidRPr="00A00A97">
        <w:rPr>
          <w:sz w:val="24"/>
        </w:rPr>
        <w:t xml:space="preserve"> material and lecture</w:t>
      </w:r>
      <w:r w:rsidR="00A57B2A" w:rsidRPr="00A00A97">
        <w:rPr>
          <w:sz w:val="24"/>
        </w:rPr>
        <w:t xml:space="preserve"> as it is being covered</w:t>
      </w:r>
      <w:r w:rsidR="002926F7" w:rsidRPr="00A00A97">
        <w:rPr>
          <w:sz w:val="24"/>
        </w:rPr>
        <w:t>.</w:t>
      </w:r>
    </w:p>
    <w:p w14:paraId="26C8E333" w14:textId="77777777" w:rsidR="008951C5" w:rsidRPr="00A00A97" w:rsidRDefault="008951C5">
      <w:pPr>
        <w:pStyle w:val="BodyText"/>
      </w:pPr>
    </w:p>
    <w:p w14:paraId="03C0DF6B" w14:textId="471A5E58" w:rsidR="008951C5" w:rsidRPr="00A00A97" w:rsidRDefault="00DD4386">
      <w:pPr>
        <w:pStyle w:val="ListParagraph"/>
        <w:numPr>
          <w:ilvl w:val="0"/>
          <w:numId w:val="2"/>
        </w:numPr>
        <w:tabs>
          <w:tab w:val="left" w:pos="912"/>
        </w:tabs>
        <w:ind w:right="882"/>
        <w:rPr>
          <w:sz w:val="24"/>
        </w:rPr>
      </w:pPr>
      <w:r w:rsidRPr="00A00A97">
        <w:rPr>
          <w:sz w:val="24"/>
        </w:rPr>
        <w:t xml:space="preserve">Program Goal 4—Global Perspectives/Diversity/Culture: This program goal </w:t>
      </w:r>
      <w:r w:rsidR="00D36C0B" w:rsidRPr="00A00A97">
        <w:rPr>
          <w:sz w:val="24"/>
        </w:rPr>
        <w:t xml:space="preserve">stayed between </w:t>
      </w:r>
      <w:r w:rsidR="007B669D" w:rsidRPr="00A00A97">
        <w:rPr>
          <w:sz w:val="24"/>
        </w:rPr>
        <w:t xml:space="preserve">28% and 62% in its </w:t>
      </w:r>
      <w:r w:rsidRPr="00A00A97">
        <w:rPr>
          <w:sz w:val="24"/>
        </w:rPr>
        <w:t xml:space="preserve">perceived satisfaction </w:t>
      </w:r>
      <w:r w:rsidR="007B669D" w:rsidRPr="00A00A97">
        <w:rPr>
          <w:sz w:val="24"/>
        </w:rPr>
        <w:t xml:space="preserve">rate, with the exception of the summer of 2018 which saw </w:t>
      </w:r>
      <w:r w:rsidR="007435A4" w:rsidRPr="00A00A97">
        <w:rPr>
          <w:sz w:val="24"/>
        </w:rPr>
        <w:t xml:space="preserve">higher </w:t>
      </w:r>
      <w:r w:rsidR="007B669D" w:rsidRPr="00A00A97">
        <w:rPr>
          <w:sz w:val="24"/>
        </w:rPr>
        <w:t xml:space="preserve">ratings of 83% and 100%.  </w:t>
      </w:r>
      <w:r w:rsidR="00960AE2" w:rsidRPr="00A00A97">
        <w:rPr>
          <w:sz w:val="24"/>
        </w:rPr>
        <w:t>An increased focus ha</w:t>
      </w:r>
      <w:r w:rsidR="002926F7" w:rsidRPr="00A00A97">
        <w:rPr>
          <w:sz w:val="24"/>
        </w:rPr>
        <w:t>s</w:t>
      </w:r>
      <w:r w:rsidR="00960AE2" w:rsidRPr="00A00A97">
        <w:rPr>
          <w:sz w:val="24"/>
        </w:rPr>
        <w:t xml:space="preserve"> been placed on this learning </w:t>
      </w:r>
      <w:r w:rsidR="005D3DBE" w:rsidRPr="00A00A97">
        <w:rPr>
          <w:sz w:val="24"/>
        </w:rPr>
        <w:t>goal</w:t>
      </w:r>
      <w:r w:rsidR="002926F7" w:rsidRPr="00A00A97">
        <w:rPr>
          <w:sz w:val="24"/>
        </w:rPr>
        <w:t xml:space="preserve"> during the most recent years and it has been the committee’s recommendation that </w:t>
      </w:r>
      <w:r w:rsidR="007435A4" w:rsidRPr="00A00A97">
        <w:rPr>
          <w:sz w:val="24"/>
        </w:rPr>
        <w:t xml:space="preserve">more coverage in this area be included </w:t>
      </w:r>
      <w:r w:rsidR="002926F7" w:rsidRPr="00A00A97">
        <w:rPr>
          <w:sz w:val="24"/>
        </w:rPr>
        <w:t>in the core courses to increase student’s exposure to global issues and perspectives.</w:t>
      </w:r>
    </w:p>
    <w:p w14:paraId="1947AEB7" w14:textId="77777777" w:rsidR="008951C5" w:rsidRDefault="008951C5">
      <w:pPr>
        <w:pStyle w:val="BodyText"/>
        <w:spacing w:before="7"/>
        <w:rPr>
          <w:sz w:val="10"/>
        </w:rPr>
      </w:pPr>
    </w:p>
    <w:p w14:paraId="6E0667B6" w14:textId="77777777" w:rsidR="008951C5" w:rsidRDefault="00DD4386">
      <w:pPr>
        <w:pStyle w:val="Heading2"/>
        <w:spacing w:before="90"/>
      </w:pPr>
      <w:r>
        <w:t>Other Survey Comments/Observations.</w:t>
      </w:r>
    </w:p>
    <w:p w14:paraId="06C5AB08" w14:textId="77777777" w:rsidR="008951C5" w:rsidRDefault="008951C5">
      <w:pPr>
        <w:pStyle w:val="BodyText"/>
        <w:spacing w:before="7"/>
        <w:rPr>
          <w:b/>
          <w:i/>
          <w:sz w:val="23"/>
        </w:rPr>
      </w:pPr>
    </w:p>
    <w:p w14:paraId="683EF366" w14:textId="77777777" w:rsidR="008C6AEC" w:rsidRDefault="008C6AEC">
      <w:pPr>
        <w:pStyle w:val="BodyText"/>
        <w:spacing w:before="7"/>
        <w:rPr>
          <w:b/>
          <w:i/>
          <w:sz w:val="23"/>
        </w:rPr>
      </w:pPr>
      <w:r w:rsidRPr="008C6AEC">
        <w:rPr>
          <w:noProof/>
        </w:rPr>
        <w:drawing>
          <wp:inline distT="0" distB="0" distL="0" distR="0" wp14:anchorId="7A7C20E7" wp14:editId="0707482A">
            <wp:extent cx="6057900" cy="277880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2778808"/>
                    </a:xfrm>
                    <a:prstGeom prst="rect">
                      <a:avLst/>
                    </a:prstGeom>
                    <a:noFill/>
                    <a:ln>
                      <a:noFill/>
                    </a:ln>
                  </pic:spPr>
                </pic:pic>
              </a:graphicData>
            </a:graphic>
          </wp:inline>
        </w:drawing>
      </w:r>
    </w:p>
    <w:p w14:paraId="520C7150" w14:textId="77777777" w:rsidR="008C6AEC" w:rsidRDefault="008C6AEC">
      <w:pPr>
        <w:pStyle w:val="BodyText"/>
        <w:spacing w:before="7"/>
        <w:rPr>
          <w:b/>
          <w:i/>
          <w:sz w:val="23"/>
        </w:rPr>
      </w:pPr>
    </w:p>
    <w:p w14:paraId="4263DB0F" w14:textId="09870C56" w:rsidR="008951C5" w:rsidRPr="00A00A97" w:rsidRDefault="00DD4386">
      <w:pPr>
        <w:pStyle w:val="ListParagraph"/>
        <w:numPr>
          <w:ilvl w:val="0"/>
          <w:numId w:val="1"/>
        </w:numPr>
        <w:tabs>
          <w:tab w:val="left" w:pos="840"/>
        </w:tabs>
        <w:ind w:right="803"/>
        <w:rPr>
          <w:sz w:val="24"/>
        </w:rPr>
      </w:pPr>
      <w:r w:rsidRPr="00A00A97">
        <w:rPr>
          <w:sz w:val="24"/>
        </w:rPr>
        <w:t xml:space="preserve">McCoy College graduates </w:t>
      </w:r>
      <w:r w:rsidR="00577E6F" w:rsidRPr="00A00A97">
        <w:rPr>
          <w:sz w:val="24"/>
        </w:rPr>
        <w:t xml:space="preserve">continued to </w:t>
      </w:r>
      <w:r w:rsidRPr="00A00A97">
        <w:rPr>
          <w:sz w:val="24"/>
        </w:rPr>
        <w:t xml:space="preserve">exceed the general university population in </w:t>
      </w:r>
      <w:r w:rsidR="00C20DCE" w:rsidRPr="00A00A97">
        <w:rPr>
          <w:sz w:val="24"/>
        </w:rPr>
        <w:t xml:space="preserve">the majority of the reporting periods for those </w:t>
      </w:r>
      <w:r w:rsidR="00F02C22" w:rsidRPr="00A00A97">
        <w:rPr>
          <w:sz w:val="24"/>
        </w:rPr>
        <w:t>with full-time employment</w:t>
      </w:r>
      <w:r w:rsidR="00C20DCE" w:rsidRPr="00A00A97">
        <w:rPr>
          <w:sz w:val="24"/>
        </w:rPr>
        <w:t xml:space="preserve">, and </w:t>
      </w:r>
      <w:r w:rsidR="00FC4EE9" w:rsidRPr="00A00A97">
        <w:rPr>
          <w:sz w:val="24"/>
        </w:rPr>
        <w:t xml:space="preserve">had less students </w:t>
      </w:r>
      <w:r w:rsidR="00C20DCE" w:rsidRPr="00A00A97">
        <w:rPr>
          <w:sz w:val="24"/>
        </w:rPr>
        <w:t xml:space="preserve">seeking employment.  Given the results, it appears that most McCoy graduates are </w:t>
      </w:r>
      <w:r w:rsidR="00FC4EE9" w:rsidRPr="00A00A97">
        <w:rPr>
          <w:sz w:val="24"/>
        </w:rPr>
        <w:t>finding full-time employment</w:t>
      </w:r>
      <w:r w:rsidR="00C20DCE" w:rsidRPr="00A00A97">
        <w:rPr>
          <w:sz w:val="24"/>
        </w:rPr>
        <w:t xml:space="preserve"> post-graduation which may explain why fewer pursue graduate education when compared to the general university population.  Overall, McCoy graduates rated the appropriateness of the subject matter, quality of instruction, and challenge of the course material anywhere between 73%-100</w:t>
      </w:r>
      <w:r w:rsidR="00F13FC1" w:rsidRPr="00A00A97">
        <w:rPr>
          <w:sz w:val="24"/>
        </w:rPr>
        <w:t>%</w:t>
      </w:r>
      <w:r w:rsidR="00FB3D91" w:rsidRPr="00A00A97">
        <w:rPr>
          <w:sz w:val="24"/>
        </w:rPr>
        <w:t>,</w:t>
      </w:r>
      <w:r w:rsidR="00F13FC1" w:rsidRPr="00A00A97">
        <w:rPr>
          <w:sz w:val="24"/>
        </w:rPr>
        <w:t xml:space="preserve"> with the exception of the most recent reporting period of summer 2019, which showed its lowest perceived satisfaction rating in these three areas.</w:t>
      </w:r>
      <w:r w:rsidRPr="00A00A97">
        <w:rPr>
          <w:sz w:val="24"/>
        </w:rPr>
        <w:t xml:space="preserve"> </w:t>
      </w:r>
      <w:r w:rsidR="00F13FC1" w:rsidRPr="00A00A97">
        <w:rPr>
          <w:sz w:val="24"/>
        </w:rPr>
        <w:t xml:space="preserve">The majority of </w:t>
      </w:r>
      <w:r w:rsidRPr="00A00A97">
        <w:rPr>
          <w:sz w:val="24"/>
        </w:rPr>
        <w:t xml:space="preserve">McCoy graduates rated their educational </w:t>
      </w:r>
      <w:r w:rsidRPr="00A00A97">
        <w:rPr>
          <w:sz w:val="24"/>
        </w:rPr>
        <w:lastRenderedPageBreak/>
        <w:t>experience as very satisfied or satisfie</w:t>
      </w:r>
      <w:r w:rsidR="00F13FC1" w:rsidRPr="00A00A97">
        <w:rPr>
          <w:sz w:val="24"/>
        </w:rPr>
        <w:t xml:space="preserve">d, with the lowest rating also coming </w:t>
      </w:r>
      <w:r w:rsidR="004079E9" w:rsidRPr="00A00A97">
        <w:rPr>
          <w:sz w:val="24"/>
        </w:rPr>
        <w:t>during</w:t>
      </w:r>
      <w:r w:rsidR="00F13FC1" w:rsidRPr="00A00A97">
        <w:rPr>
          <w:sz w:val="24"/>
        </w:rPr>
        <w:t xml:space="preserve"> the most recent reporting period of summer 2019 at 77%.  </w:t>
      </w:r>
      <w:r w:rsidRPr="00A00A97">
        <w:rPr>
          <w:sz w:val="24"/>
        </w:rPr>
        <w:t xml:space="preserve">McCoy graduates </w:t>
      </w:r>
      <w:r w:rsidR="00F13FC1" w:rsidRPr="00A00A97">
        <w:rPr>
          <w:sz w:val="24"/>
        </w:rPr>
        <w:t>continue to have</w:t>
      </w:r>
      <w:r w:rsidRPr="00A00A97">
        <w:rPr>
          <w:sz w:val="24"/>
        </w:rPr>
        <w:t xml:space="preserve"> higher perceived satisfaction </w:t>
      </w:r>
      <w:r w:rsidR="00FC4EE9" w:rsidRPr="00A00A97">
        <w:rPr>
          <w:sz w:val="24"/>
        </w:rPr>
        <w:t xml:space="preserve">ratings </w:t>
      </w:r>
      <w:r w:rsidRPr="00A00A97">
        <w:rPr>
          <w:sz w:val="24"/>
        </w:rPr>
        <w:t xml:space="preserve">on most general </w:t>
      </w:r>
      <w:r w:rsidR="00176793" w:rsidRPr="00A00A97">
        <w:rPr>
          <w:sz w:val="24"/>
        </w:rPr>
        <w:t xml:space="preserve">survey </w:t>
      </w:r>
      <w:r w:rsidRPr="00A00A97">
        <w:rPr>
          <w:sz w:val="24"/>
        </w:rPr>
        <w:t xml:space="preserve">questions </w:t>
      </w:r>
      <w:r w:rsidR="00176793" w:rsidRPr="00A00A97">
        <w:rPr>
          <w:sz w:val="24"/>
        </w:rPr>
        <w:t xml:space="preserve">when </w:t>
      </w:r>
      <w:r w:rsidRPr="00A00A97">
        <w:rPr>
          <w:sz w:val="24"/>
        </w:rPr>
        <w:t>compared with the general university alumni</w:t>
      </w:r>
      <w:r w:rsidRPr="00A00A97">
        <w:rPr>
          <w:spacing w:val="-1"/>
          <w:sz w:val="24"/>
        </w:rPr>
        <w:t xml:space="preserve"> </w:t>
      </w:r>
      <w:r w:rsidRPr="00A00A97">
        <w:rPr>
          <w:sz w:val="24"/>
        </w:rPr>
        <w:t>population</w:t>
      </w:r>
      <w:r w:rsidR="00D23F47" w:rsidRPr="00A00A97">
        <w:rPr>
          <w:sz w:val="24"/>
        </w:rPr>
        <w:t>.</w:t>
      </w:r>
      <w:r w:rsidR="00F13FC1" w:rsidRPr="00A00A97">
        <w:rPr>
          <w:sz w:val="24"/>
        </w:rPr>
        <w:t xml:space="preserve"> </w:t>
      </w:r>
      <w:r w:rsidR="00D23F47" w:rsidRPr="00A00A97">
        <w:rPr>
          <w:sz w:val="24"/>
        </w:rPr>
        <w:t>H</w:t>
      </w:r>
      <w:r w:rsidR="00F13FC1" w:rsidRPr="00A00A97">
        <w:rPr>
          <w:sz w:val="24"/>
        </w:rPr>
        <w:t xml:space="preserve">owever, </w:t>
      </w:r>
      <w:r w:rsidR="00D23F47" w:rsidRPr="00A00A97">
        <w:rPr>
          <w:sz w:val="24"/>
        </w:rPr>
        <w:t>because</w:t>
      </w:r>
      <w:r w:rsidR="00F13FC1" w:rsidRPr="00A00A97">
        <w:rPr>
          <w:sz w:val="24"/>
        </w:rPr>
        <w:t xml:space="preserve"> the recent reporting period show</w:t>
      </w:r>
      <w:r w:rsidR="00D23F47" w:rsidRPr="00A00A97">
        <w:rPr>
          <w:sz w:val="24"/>
        </w:rPr>
        <w:t>ed</w:t>
      </w:r>
      <w:r w:rsidR="00F13FC1" w:rsidRPr="00A00A97">
        <w:rPr>
          <w:sz w:val="24"/>
        </w:rPr>
        <w:t xml:space="preserve"> the lowest ratings</w:t>
      </w:r>
      <w:r w:rsidR="00176793" w:rsidRPr="00A00A97">
        <w:rPr>
          <w:sz w:val="24"/>
        </w:rPr>
        <w:t xml:space="preserve"> for</w:t>
      </w:r>
      <w:r w:rsidR="00D23F47" w:rsidRPr="00A00A97">
        <w:rPr>
          <w:sz w:val="24"/>
        </w:rPr>
        <w:t xml:space="preserve"> most of the general questions</w:t>
      </w:r>
      <w:r w:rsidR="00F13FC1" w:rsidRPr="00A00A97">
        <w:rPr>
          <w:sz w:val="24"/>
        </w:rPr>
        <w:t>, it will be important to analyze the results on future periods to ensure this does not become a trend.</w:t>
      </w:r>
    </w:p>
    <w:p w14:paraId="0BD7B5DB" w14:textId="77777777" w:rsidR="008951C5" w:rsidRDefault="008951C5">
      <w:pPr>
        <w:pStyle w:val="BodyText"/>
      </w:pPr>
    </w:p>
    <w:p w14:paraId="52652F2F" w14:textId="77777777" w:rsidR="008951C5" w:rsidRDefault="008951C5">
      <w:pPr>
        <w:pStyle w:val="BodyText"/>
        <w:rPr>
          <w:sz w:val="26"/>
        </w:rPr>
      </w:pPr>
    </w:p>
    <w:p w14:paraId="0ED009E6" w14:textId="77777777" w:rsidR="008951C5" w:rsidRDefault="00DD4386">
      <w:pPr>
        <w:pStyle w:val="BodyText"/>
        <w:spacing w:before="230"/>
        <w:ind w:left="119" w:right="823"/>
      </w:pPr>
      <w:r>
        <w:t>General Note. It should be remembered that perceptual survey instruments provide corroborative evidence of student learning and should not be considered the most important technique for assessment. The principle tool for assessment of student learning outcomes is direct, course embedded assessments performed by teaching faculty in the classroom according to established assessment principles and guidelines.  Surveys such as the Alumni survey only provide perceptual evidence for corroboration of direct classroom assessment of student learning</w:t>
      </w:r>
      <w:r>
        <w:rPr>
          <w:spacing w:val="-3"/>
        </w:rPr>
        <w:t xml:space="preserve"> </w:t>
      </w:r>
      <w:r>
        <w:t>outcomes.</w:t>
      </w:r>
    </w:p>
    <w:sectPr w:rsidR="008951C5">
      <w:pgSz w:w="12240" w:h="15840"/>
      <w:pgMar w:top="1500" w:right="10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554E4"/>
    <w:multiLevelType w:val="hybridMultilevel"/>
    <w:tmpl w:val="0ACC7894"/>
    <w:lvl w:ilvl="0" w:tplc="55EEE67E">
      <w:start w:val="1"/>
      <w:numFmt w:val="upperLetter"/>
      <w:lvlText w:val="%1."/>
      <w:lvlJc w:val="left"/>
      <w:pPr>
        <w:ind w:left="840" w:hanging="360"/>
        <w:jc w:val="left"/>
      </w:pPr>
      <w:rPr>
        <w:rFonts w:ascii="Times New Roman" w:eastAsia="Times New Roman" w:hAnsi="Times New Roman" w:cs="Times New Roman" w:hint="default"/>
        <w:spacing w:val="-1"/>
        <w:w w:val="99"/>
        <w:sz w:val="24"/>
        <w:szCs w:val="24"/>
      </w:rPr>
    </w:lvl>
    <w:lvl w:ilvl="1" w:tplc="FCCA845A">
      <w:numFmt w:val="bullet"/>
      <w:lvlText w:val="•"/>
      <w:lvlJc w:val="left"/>
      <w:pPr>
        <w:ind w:left="1710" w:hanging="360"/>
      </w:pPr>
      <w:rPr>
        <w:rFonts w:hint="default"/>
      </w:rPr>
    </w:lvl>
    <w:lvl w:ilvl="2" w:tplc="1868CE9E">
      <w:numFmt w:val="bullet"/>
      <w:lvlText w:val="•"/>
      <w:lvlJc w:val="left"/>
      <w:pPr>
        <w:ind w:left="2580" w:hanging="360"/>
      </w:pPr>
      <w:rPr>
        <w:rFonts w:hint="default"/>
      </w:rPr>
    </w:lvl>
    <w:lvl w:ilvl="3" w:tplc="2D2A1506">
      <w:numFmt w:val="bullet"/>
      <w:lvlText w:val="•"/>
      <w:lvlJc w:val="left"/>
      <w:pPr>
        <w:ind w:left="3450" w:hanging="360"/>
      </w:pPr>
      <w:rPr>
        <w:rFonts w:hint="default"/>
      </w:rPr>
    </w:lvl>
    <w:lvl w:ilvl="4" w:tplc="F1A26E8C">
      <w:numFmt w:val="bullet"/>
      <w:lvlText w:val="•"/>
      <w:lvlJc w:val="left"/>
      <w:pPr>
        <w:ind w:left="4320" w:hanging="360"/>
      </w:pPr>
      <w:rPr>
        <w:rFonts w:hint="default"/>
      </w:rPr>
    </w:lvl>
    <w:lvl w:ilvl="5" w:tplc="703E8AB4">
      <w:numFmt w:val="bullet"/>
      <w:lvlText w:val="•"/>
      <w:lvlJc w:val="left"/>
      <w:pPr>
        <w:ind w:left="5190" w:hanging="360"/>
      </w:pPr>
      <w:rPr>
        <w:rFonts w:hint="default"/>
      </w:rPr>
    </w:lvl>
    <w:lvl w:ilvl="6" w:tplc="8B0E2B8A">
      <w:numFmt w:val="bullet"/>
      <w:lvlText w:val="•"/>
      <w:lvlJc w:val="left"/>
      <w:pPr>
        <w:ind w:left="6060" w:hanging="360"/>
      </w:pPr>
      <w:rPr>
        <w:rFonts w:hint="default"/>
      </w:rPr>
    </w:lvl>
    <w:lvl w:ilvl="7" w:tplc="D9DEA5BC">
      <w:numFmt w:val="bullet"/>
      <w:lvlText w:val="•"/>
      <w:lvlJc w:val="left"/>
      <w:pPr>
        <w:ind w:left="6930" w:hanging="360"/>
      </w:pPr>
      <w:rPr>
        <w:rFonts w:hint="default"/>
      </w:rPr>
    </w:lvl>
    <w:lvl w:ilvl="8" w:tplc="CF663050">
      <w:numFmt w:val="bullet"/>
      <w:lvlText w:val="•"/>
      <w:lvlJc w:val="left"/>
      <w:pPr>
        <w:ind w:left="7800" w:hanging="360"/>
      </w:pPr>
      <w:rPr>
        <w:rFonts w:hint="default"/>
      </w:rPr>
    </w:lvl>
  </w:abstractNum>
  <w:abstractNum w:abstractNumId="1" w15:restartNumberingAfterBreak="0">
    <w:nsid w:val="326C18EC"/>
    <w:multiLevelType w:val="hybridMultilevel"/>
    <w:tmpl w:val="7EDE9E3C"/>
    <w:lvl w:ilvl="0" w:tplc="0F129C3C">
      <w:start w:val="1"/>
      <w:numFmt w:val="decimal"/>
      <w:lvlText w:val="%1."/>
      <w:lvlJc w:val="left"/>
      <w:pPr>
        <w:ind w:left="840" w:hanging="720"/>
        <w:jc w:val="left"/>
      </w:pPr>
      <w:rPr>
        <w:rFonts w:ascii="Times New Roman" w:eastAsia="Times New Roman" w:hAnsi="Times New Roman" w:cs="Times New Roman" w:hint="default"/>
        <w:b/>
        <w:bCs/>
        <w:spacing w:val="-2"/>
        <w:w w:val="99"/>
        <w:sz w:val="24"/>
        <w:szCs w:val="24"/>
      </w:rPr>
    </w:lvl>
    <w:lvl w:ilvl="1" w:tplc="2766C502">
      <w:start w:val="1"/>
      <w:numFmt w:val="upperLetter"/>
      <w:lvlText w:val="%2."/>
      <w:lvlJc w:val="left"/>
      <w:pPr>
        <w:ind w:left="840" w:hanging="360"/>
        <w:jc w:val="left"/>
      </w:pPr>
      <w:rPr>
        <w:rFonts w:ascii="Times New Roman" w:eastAsia="Times New Roman" w:hAnsi="Times New Roman" w:cs="Times New Roman" w:hint="default"/>
        <w:spacing w:val="-1"/>
        <w:w w:val="99"/>
        <w:sz w:val="24"/>
        <w:szCs w:val="24"/>
      </w:rPr>
    </w:lvl>
    <w:lvl w:ilvl="2" w:tplc="96361CF4">
      <w:numFmt w:val="bullet"/>
      <w:lvlText w:val="•"/>
      <w:lvlJc w:val="left"/>
      <w:pPr>
        <w:ind w:left="2580" w:hanging="360"/>
      </w:pPr>
      <w:rPr>
        <w:rFonts w:hint="default"/>
      </w:rPr>
    </w:lvl>
    <w:lvl w:ilvl="3" w:tplc="1166CAC0">
      <w:numFmt w:val="bullet"/>
      <w:lvlText w:val="•"/>
      <w:lvlJc w:val="left"/>
      <w:pPr>
        <w:ind w:left="3450" w:hanging="360"/>
      </w:pPr>
      <w:rPr>
        <w:rFonts w:hint="default"/>
      </w:rPr>
    </w:lvl>
    <w:lvl w:ilvl="4" w:tplc="DA0C7D0E">
      <w:numFmt w:val="bullet"/>
      <w:lvlText w:val="•"/>
      <w:lvlJc w:val="left"/>
      <w:pPr>
        <w:ind w:left="4320" w:hanging="360"/>
      </w:pPr>
      <w:rPr>
        <w:rFonts w:hint="default"/>
      </w:rPr>
    </w:lvl>
    <w:lvl w:ilvl="5" w:tplc="0B36803E">
      <w:numFmt w:val="bullet"/>
      <w:lvlText w:val="•"/>
      <w:lvlJc w:val="left"/>
      <w:pPr>
        <w:ind w:left="5190" w:hanging="360"/>
      </w:pPr>
      <w:rPr>
        <w:rFonts w:hint="default"/>
      </w:rPr>
    </w:lvl>
    <w:lvl w:ilvl="6" w:tplc="6478D672">
      <w:numFmt w:val="bullet"/>
      <w:lvlText w:val="•"/>
      <w:lvlJc w:val="left"/>
      <w:pPr>
        <w:ind w:left="6060" w:hanging="360"/>
      </w:pPr>
      <w:rPr>
        <w:rFonts w:hint="default"/>
      </w:rPr>
    </w:lvl>
    <w:lvl w:ilvl="7" w:tplc="6F405E9E">
      <w:numFmt w:val="bullet"/>
      <w:lvlText w:val="•"/>
      <w:lvlJc w:val="left"/>
      <w:pPr>
        <w:ind w:left="6930" w:hanging="360"/>
      </w:pPr>
      <w:rPr>
        <w:rFonts w:hint="default"/>
      </w:rPr>
    </w:lvl>
    <w:lvl w:ilvl="8" w:tplc="46FA6B42">
      <w:numFmt w:val="bullet"/>
      <w:lvlText w:val="•"/>
      <w:lvlJc w:val="left"/>
      <w:pPr>
        <w:ind w:left="7800" w:hanging="360"/>
      </w:pPr>
      <w:rPr>
        <w:rFonts w:hint="default"/>
      </w:rPr>
    </w:lvl>
  </w:abstractNum>
  <w:abstractNum w:abstractNumId="2" w15:restartNumberingAfterBreak="0">
    <w:nsid w:val="6F6424D9"/>
    <w:multiLevelType w:val="hybridMultilevel"/>
    <w:tmpl w:val="9A8C7AFE"/>
    <w:lvl w:ilvl="0" w:tplc="F1969ADC">
      <w:start w:val="1"/>
      <w:numFmt w:val="upperLetter"/>
      <w:lvlText w:val="%1."/>
      <w:lvlJc w:val="left"/>
      <w:pPr>
        <w:ind w:left="912" w:hanging="360"/>
        <w:jc w:val="left"/>
      </w:pPr>
      <w:rPr>
        <w:rFonts w:ascii="Times New Roman" w:eastAsia="Times New Roman" w:hAnsi="Times New Roman" w:cs="Times New Roman" w:hint="default"/>
        <w:spacing w:val="-1"/>
        <w:w w:val="99"/>
        <w:sz w:val="24"/>
        <w:szCs w:val="24"/>
      </w:rPr>
    </w:lvl>
    <w:lvl w:ilvl="1" w:tplc="4FEA1ED0">
      <w:numFmt w:val="bullet"/>
      <w:lvlText w:val="•"/>
      <w:lvlJc w:val="left"/>
      <w:pPr>
        <w:ind w:left="1782" w:hanging="360"/>
      </w:pPr>
      <w:rPr>
        <w:rFonts w:hint="default"/>
      </w:rPr>
    </w:lvl>
    <w:lvl w:ilvl="2" w:tplc="691A7AD2">
      <w:numFmt w:val="bullet"/>
      <w:lvlText w:val="•"/>
      <w:lvlJc w:val="left"/>
      <w:pPr>
        <w:ind w:left="2644" w:hanging="360"/>
      </w:pPr>
      <w:rPr>
        <w:rFonts w:hint="default"/>
      </w:rPr>
    </w:lvl>
    <w:lvl w:ilvl="3" w:tplc="3D263148">
      <w:numFmt w:val="bullet"/>
      <w:lvlText w:val="•"/>
      <w:lvlJc w:val="left"/>
      <w:pPr>
        <w:ind w:left="3506" w:hanging="360"/>
      </w:pPr>
      <w:rPr>
        <w:rFonts w:hint="default"/>
      </w:rPr>
    </w:lvl>
    <w:lvl w:ilvl="4" w:tplc="E5B87984">
      <w:numFmt w:val="bullet"/>
      <w:lvlText w:val="•"/>
      <w:lvlJc w:val="left"/>
      <w:pPr>
        <w:ind w:left="4368" w:hanging="360"/>
      </w:pPr>
      <w:rPr>
        <w:rFonts w:hint="default"/>
      </w:rPr>
    </w:lvl>
    <w:lvl w:ilvl="5" w:tplc="383A97B8">
      <w:numFmt w:val="bullet"/>
      <w:lvlText w:val="•"/>
      <w:lvlJc w:val="left"/>
      <w:pPr>
        <w:ind w:left="5230" w:hanging="360"/>
      </w:pPr>
      <w:rPr>
        <w:rFonts w:hint="default"/>
      </w:rPr>
    </w:lvl>
    <w:lvl w:ilvl="6" w:tplc="D67289B2">
      <w:numFmt w:val="bullet"/>
      <w:lvlText w:val="•"/>
      <w:lvlJc w:val="left"/>
      <w:pPr>
        <w:ind w:left="6092" w:hanging="360"/>
      </w:pPr>
      <w:rPr>
        <w:rFonts w:hint="default"/>
      </w:rPr>
    </w:lvl>
    <w:lvl w:ilvl="7" w:tplc="D94A92A4">
      <w:numFmt w:val="bullet"/>
      <w:lvlText w:val="•"/>
      <w:lvlJc w:val="left"/>
      <w:pPr>
        <w:ind w:left="6954" w:hanging="360"/>
      </w:pPr>
      <w:rPr>
        <w:rFonts w:hint="default"/>
      </w:rPr>
    </w:lvl>
    <w:lvl w:ilvl="8" w:tplc="4650B8BA">
      <w:numFmt w:val="bullet"/>
      <w:lvlText w:val="•"/>
      <w:lvlJc w:val="left"/>
      <w:pPr>
        <w:ind w:left="7816"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1C5"/>
    <w:rsid w:val="00026038"/>
    <w:rsid w:val="00176793"/>
    <w:rsid w:val="002636D4"/>
    <w:rsid w:val="002926F7"/>
    <w:rsid w:val="004079E9"/>
    <w:rsid w:val="004659D0"/>
    <w:rsid w:val="00466CD1"/>
    <w:rsid w:val="00481801"/>
    <w:rsid w:val="004B75ED"/>
    <w:rsid w:val="00531489"/>
    <w:rsid w:val="00577E6F"/>
    <w:rsid w:val="005D3DBE"/>
    <w:rsid w:val="00675120"/>
    <w:rsid w:val="007435A4"/>
    <w:rsid w:val="007B669D"/>
    <w:rsid w:val="008951C5"/>
    <w:rsid w:val="008C6AEC"/>
    <w:rsid w:val="0091163F"/>
    <w:rsid w:val="00956BD0"/>
    <w:rsid w:val="00960AE2"/>
    <w:rsid w:val="009709FF"/>
    <w:rsid w:val="00A00A97"/>
    <w:rsid w:val="00A12AAA"/>
    <w:rsid w:val="00A57B2A"/>
    <w:rsid w:val="00AC5899"/>
    <w:rsid w:val="00B67799"/>
    <w:rsid w:val="00C20DCE"/>
    <w:rsid w:val="00CA3713"/>
    <w:rsid w:val="00CC4C74"/>
    <w:rsid w:val="00D23F47"/>
    <w:rsid w:val="00D36C0B"/>
    <w:rsid w:val="00DD4386"/>
    <w:rsid w:val="00E04269"/>
    <w:rsid w:val="00E86D64"/>
    <w:rsid w:val="00F02C22"/>
    <w:rsid w:val="00F13FC1"/>
    <w:rsid w:val="00FB3D91"/>
    <w:rsid w:val="00FC4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836E"/>
  <w15:docId w15:val="{64A52280-0580-46DB-9EAA-7A981F2D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40" w:hanging="720"/>
      <w:outlineLvl w:val="0"/>
    </w:pPr>
    <w:rPr>
      <w:b/>
      <w:bCs/>
      <w:sz w:val="24"/>
      <w:szCs w:val="24"/>
    </w:rPr>
  </w:style>
  <w:style w:type="paragraph" w:styleId="Heading2">
    <w:name w:val="heading 2"/>
    <w:basedOn w:val="Normal"/>
    <w:uiPriority w:val="1"/>
    <w:qFormat/>
    <w:pPr>
      <w:ind w:left="1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53" w:line="201" w:lineRule="exact"/>
      <w:ind w:left="53"/>
      <w:jc w:val="center"/>
    </w:pPr>
    <w:rPr>
      <w:rFonts w:ascii="Arial" w:eastAsia="Arial" w:hAnsi="Arial" w:cs="Arial"/>
    </w:rPr>
  </w:style>
  <w:style w:type="character" w:customStyle="1" w:styleId="BodyTextChar">
    <w:name w:val="Body Text Char"/>
    <w:basedOn w:val="DefaultParagraphFont"/>
    <w:link w:val="BodyText"/>
    <w:uiPriority w:val="1"/>
    <w:rsid w:val="00675120"/>
    <w:rPr>
      <w:rFonts w:ascii="Times New Roman" w:eastAsia="Times New Roman" w:hAnsi="Times New Roman" w:cs="Times New Roman"/>
      <w:sz w:val="24"/>
      <w:szCs w:val="24"/>
    </w:rPr>
  </w:style>
  <w:style w:type="character" w:styleId="Strong">
    <w:name w:val="Strong"/>
    <w:basedOn w:val="DefaultParagraphFont"/>
    <w:uiPriority w:val="22"/>
    <w:qFormat/>
    <w:rsid w:val="002636D4"/>
    <w:rPr>
      <w:b/>
      <w:bCs/>
    </w:rPr>
  </w:style>
  <w:style w:type="character" w:styleId="CommentReference">
    <w:name w:val="annotation reference"/>
    <w:basedOn w:val="DefaultParagraphFont"/>
    <w:uiPriority w:val="99"/>
    <w:semiHidden/>
    <w:unhideWhenUsed/>
    <w:rsid w:val="00A12AAA"/>
    <w:rPr>
      <w:sz w:val="16"/>
      <w:szCs w:val="16"/>
    </w:rPr>
  </w:style>
  <w:style w:type="paragraph" w:styleId="CommentText">
    <w:name w:val="annotation text"/>
    <w:basedOn w:val="Normal"/>
    <w:link w:val="CommentTextChar"/>
    <w:uiPriority w:val="99"/>
    <w:semiHidden/>
    <w:unhideWhenUsed/>
    <w:rsid w:val="00A12AAA"/>
    <w:rPr>
      <w:sz w:val="20"/>
      <w:szCs w:val="20"/>
    </w:rPr>
  </w:style>
  <w:style w:type="character" w:customStyle="1" w:styleId="CommentTextChar">
    <w:name w:val="Comment Text Char"/>
    <w:basedOn w:val="DefaultParagraphFont"/>
    <w:link w:val="CommentText"/>
    <w:uiPriority w:val="99"/>
    <w:semiHidden/>
    <w:rsid w:val="00A12A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2AAA"/>
    <w:rPr>
      <w:b/>
      <w:bCs/>
    </w:rPr>
  </w:style>
  <w:style w:type="character" w:customStyle="1" w:styleId="CommentSubjectChar">
    <w:name w:val="Comment Subject Char"/>
    <w:basedOn w:val="CommentTextChar"/>
    <w:link w:val="CommentSubject"/>
    <w:uiPriority w:val="99"/>
    <w:semiHidden/>
    <w:rsid w:val="00A12AA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2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AA"/>
    <w:rPr>
      <w:rFonts w:ascii="Segoe UI" w:eastAsia="Times New Roman" w:hAnsi="Segoe UI" w:cs="Segoe UI"/>
      <w:sz w:val="18"/>
      <w:szCs w:val="18"/>
    </w:rPr>
  </w:style>
  <w:style w:type="paragraph" w:styleId="Revision">
    <w:name w:val="Revision"/>
    <w:hidden/>
    <w:uiPriority w:val="99"/>
    <w:semiHidden/>
    <w:rsid w:val="00A12AAA"/>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GUIDE TO UNDERGRADUATE PROGRAM ASSESSMENT</vt:lpstr>
    </vt:vector>
  </TitlesOfParts>
  <Company>Texas State University</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UNDERGRADUATE PROGRAM ASSESSMENT</dc:title>
  <dc:creator>Michael Keeffe</dc:creator>
  <cp:lastModifiedBy>Lane, Letitia L</cp:lastModifiedBy>
  <cp:revision>2</cp:revision>
  <dcterms:created xsi:type="dcterms:W3CDTF">2020-09-17T17:53:00Z</dcterms:created>
  <dcterms:modified xsi:type="dcterms:W3CDTF">2020-09-17T17:53:00Z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2013-03-25T00:00:00Z</vt:filetime>
  </property>
  <property fmtid="{D5CDD505-2E9C-101B-9397-08002B2CF9AE}" pid="3" name="Creator">
    <vt:lpwstr>Acrobat PDFMaker 10.1 for Word</vt:lpwstr>
  </property>
  <property fmtid="{D5CDD505-2E9C-101B-9397-08002B2CF9AE}" pid="4" name="LastSaved">
    <vt:filetime>2020-06-19T00:00:00Z</vt:filetime>
  </property>
</Properties>
</file>