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DF35" w14:textId="77777777" w:rsidR="00196AA3" w:rsidRDefault="00196AA3" w:rsidP="00196AA3"/>
    <w:p w14:paraId="7D2BEA0A" w14:textId="77777777" w:rsidR="00196AA3" w:rsidRDefault="00196AA3" w:rsidP="00196AA3"/>
    <w:p w14:paraId="4D06BD92" w14:textId="77777777" w:rsidR="00196AA3" w:rsidRDefault="00196AA3" w:rsidP="00196AA3">
      <w:pPr>
        <w:jc w:val="center"/>
      </w:pPr>
      <w:r>
        <w:rPr>
          <w:noProof/>
          <w:lang w:eastAsia="en-US"/>
        </w:rPr>
        <w:drawing>
          <wp:inline distT="0" distB="0" distL="0" distR="0" wp14:anchorId="113DDD8B" wp14:editId="0D68CB48">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5"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14:paraId="16A36ED2" w14:textId="77777777" w:rsidR="00196AA3" w:rsidRDefault="00196AA3" w:rsidP="00196AA3"/>
    <w:p w14:paraId="16DF2D88" w14:textId="77777777" w:rsidR="00196AA3" w:rsidRPr="000E2793" w:rsidRDefault="00196AA3" w:rsidP="00196AA3">
      <w:pPr>
        <w:rPr>
          <w:rFonts w:ascii="Arial Black" w:hAnsi="Arial Black"/>
        </w:rPr>
      </w:pPr>
    </w:p>
    <w:p w14:paraId="0AE27993" w14:textId="77777777" w:rsidR="00196AA3" w:rsidRDefault="00196AA3" w:rsidP="00196AA3">
      <w:pPr>
        <w:jc w:val="center"/>
        <w:rPr>
          <w:rFonts w:ascii="Arial" w:hAnsi="Arial" w:cs="Arial"/>
          <w:b/>
          <w:sz w:val="40"/>
          <w:szCs w:val="40"/>
        </w:rPr>
      </w:pPr>
      <w:r>
        <w:rPr>
          <w:rFonts w:ascii="Arial" w:hAnsi="Arial" w:cs="Arial"/>
          <w:b/>
          <w:sz w:val="40"/>
          <w:szCs w:val="40"/>
        </w:rPr>
        <w:t>DIRECT ASSESSMENT RESULTS</w:t>
      </w:r>
      <w:r w:rsidRPr="000E2793">
        <w:rPr>
          <w:rFonts w:ascii="Arial" w:hAnsi="Arial" w:cs="Arial"/>
          <w:b/>
          <w:sz w:val="40"/>
          <w:szCs w:val="40"/>
        </w:rPr>
        <w:t xml:space="preserve"> </w:t>
      </w:r>
    </w:p>
    <w:p w14:paraId="2D5EB49A" w14:textId="77777777" w:rsidR="00196AA3" w:rsidRPr="000E2793" w:rsidRDefault="00196AA3" w:rsidP="00196AA3">
      <w:pPr>
        <w:jc w:val="center"/>
        <w:rPr>
          <w:rFonts w:ascii="Arial" w:hAnsi="Arial" w:cs="Arial"/>
          <w:b/>
          <w:sz w:val="40"/>
          <w:szCs w:val="40"/>
        </w:rPr>
      </w:pPr>
    </w:p>
    <w:p w14:paraId="25433444" w14:textId="77777777" w:rsidR="00196AA3" w:rsidRDefault="00196AA3" w:rsidP="00196AA3">
      <w:pPr>
        <w:jc w:val="center"/>
        <w:rPr>
          <w:rFonts w:ascii="Arial" w:hAnsi="Arial" w:cs="Arial"/>
          <w:b/>
          <w:sz w:val="40"/>
          <w:szCs w:val="40"/>
        </w:rPr>
      </w:pPr>
      <w:r>
        <w:rPr>
          <w:rFonts w:ascii="Arial" w:hAnsi="Arial" w:cs="Arial"/>
          <w:b/>
          <w:sz w:val="40"/>
          <w:szCs w:val="40"/>
        </w:rPr>
        <w:t>Goal 4:  ETHICAL BEHAVIOR</w:t>
      </w:r>
    </w:p>
    <w:p w14:paraId="1E38D0A6" w14:textId="77777777" w:rsidR="00196AA3" w:rsidRDefault="00196AA3" w:rsidP="00196AA3">
      <w:pPr>
        <w:jc w:val="center"/>
        <w:rPr>
          <w:rFonts w:ascii="Arial" w:hAnsi="Arial" w:cs="Arial"/>
          <w:b/>
          <w:sz w:val="40"/>
          <w:szCs w:val="40"/>
        </w:rPr>
      </w:pPr>
    </w:p>
    <w:p w14:paraId="04A92FC6" w14:textId="77777777" w:rsidR="00196AA3" w:rsidRPr="000E2793" w:rsidRDefault="00196AA3" w:rsidP="00196AA3">
      <w:pPr>
        <w:jc w:val="center"/>
        <w:rPr>
          <w:rFonts w:ascii="Arial" w:hAnsi="Arial" w:cs="Arial"/>
          <w:b/>
          <w:sz w:val="40"/>
          <w:szCs w:val="40"/>
        </w:rPr>
      </w:pPr>
      <w:r>
        <w:rPr>
          <w:rFonts w:ascii="Arial" w:hAnsi="Arial" w:cs="Arial"/>
          <w:b/>
          <w:sz w:val="40"/>
          <w:szCs w:val="40"/>
        </w:rPr>
        <w:t>Goal 6:  CULTURE/DIVERSITY/GLOBALIZATION</w:t>
      </w:r>
    </w:p>
    <w:p w14:paraId="699A6CA2" w14:textId="77777777" w:rsidR="00196AA3" w:rsidRDefault="00196AA3" w:rsidP="00196AA3"/>
    <w:p w14:paraId="64467B69" w14:textId="77777777" w:rsidR="00196AA3" w:rsidRDefault="00196AA3" w:rsidP="00196AA3"/>
    <w:p w14:paraId="7EF94EF2" w14:textId="77777777" w:rsidR="00196AA3" w:rsidRDefault="00196AA3" w:rsidP="00196AA3">
      <w:pPr>
        <w:jc w:val="center"/>
      </w:pPr>
      <w:r>
        <w:t>Prepared by the McCoy College Assurance of Learning Committee:</w:t>
      </w:r>
    </w:p>
    <w:p w14:paraId="3D569805" w14:textId="77777777" w:rsidR="00196AA3" w:rsidRDefault="00196AA3" w:rsidP="00196AA3">
      <w:pPr>
        <w:jc w:val="center"/>
      </w:pPr>
    </w:p>
    <w:p w14:paraId="728B6ED1" w14:textId="77777777" w:rsidR="00727881" w:rsidRPr="00727881" w:rsidRDefault="00727881" w:rsidP="00727881">
      <w:pPr>
        <w:widowControl w:val="0"/>
        <w:autoSpaceDE w:val="0"/>
        <w:autoSpaceDN w:val="0"/>
        <w:rPr>
          <w:rFonts w:eastAsia="Times New Roman"/>
          <w:sz w:val="20"/>
          <w:szCs w:val="20"/>
          <w:lang w:eastAsia="en-US"/>
        </w:rPr>
      </w:pPr>
      <w:r w:rsidRPr="00727881">
        <w:rPr>
          <w:rFonts w:eastAsia="Times New Roman"/>
          <w:sz w:val="20"/>
          <w:szCs w:val="20"/>
          <w:lang w:eastAsia="en-US"/>
        </w:rPr>
        <w:t>Course Coordinator</w:t>
      </w:r>
      <w:r w:rsidRPr="00727881">
        <w:rPr>
          <w:rFonts w:eastAsia="Times New Roman"/>
          <w:sz w:val="20"/>
          <w:szCs w:val="20"/>
          <w:lang w:eastAsia="en-US"/>
        </w:rPr>
        <w:tab/>
      </w:r>
      <w:r w:rsidRPr="00727881">
        <w:rPr>
          <w:rFonts w:eastAsia="Times New Roman"/>
          <w:sz w:val="20"/>
          <w:szCs w:val="20"/>
          <w:lang w:eastAsia="en-US"/>
        </w:rPr>
        <w:tab/>
      </w:r>
      <w:r w:rsidRPr="00727881">
        <w:rPr>
          <w:rFonts w:eastAsia="Times New Roman"/>
          <w:sz w:val="20"/>
          <w:szCs w:val="20"/>
          <w:lang w:eastAsia="en-US"/>
        </w:rPr>
        <w:tab/>
      </w:r>
      <w:r w:rsidRPr="00727881">
        <w:rPr>
          <w:rFonts w:eastAsia="Times New Roman"/>
          <w:sz w:val="20"/>
          <w:szCs w:val="20"/>
          <w:lang w:eastAsia="en-US"/>
        </w:rPr>
        <w:tab/>
        <w:t>Core Course</w:t>
      </w:r>
    </w:p>
    <w:p w14:paraId="6A273BD6" w14:textId="77777777" w:rsidR="00727881" w:rsidRPr="00727881" w:rsidRDefault="00727881" w:rsidP="00727881">
      <w:pPr>
        <w:widowControl w:val="0"/>
        <w:autoSpaceDE w:val="0"/>
        <w:autoSpaceDN w:val="0"/>
        <w:rPr>
          <w:rFonts w:eastAsia="Times New Roman"/>
          <w:sz w:val="20"/>
          <w:szCs w:val="20"/>
          <w:lang w:eastAsia="en-US"/>
        </w:rPr>
      </w:pPr>
    </w:p>
    <w:p w14:paraId="7E2F80F1"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Ms. Jennifer Krou</w:t>
      </w:r>
      <w:r w:rsidRPr="00727881">
        <w:rPr>
          <w:rFonts w:eastAsia="Times New Roman"/>
          <w:sz w:val="22"/>
          <w:szCs w:val="22"/>
          <w:lang w:eastAsia="en-US"/>
        </w:rPr>
        <w:tab/>
      </w:r>
      <w:r w:rsidRPr="00727881">
        <w:rPr>
          <w:rFonts w:eastAsia="Times New Roman"/>
          <w:sz w:val="22"/>
          <w:szCs w:val="22"/>
          <w:lang w:eastAsia="en-US"/>
        </w:rPr>
        <w:tab/>
        <w:t>CIS 1323</w:t>
      </w:r>
      <w:r w:rsidRPr="00727881">
        <w:rPr>
          <w:rFonts w:eastAsia="Times New Roman"/>
          <w:sz w:val="22"/>
          <w:szCs w:val="22"/>
          <w:lang w:eastAsia="en-US"/>
        </w:rPr>
        <w:tab/>
        <w:t>Introduction to Microcomputer Applications</w:t>
      </w:r>
    </w:p>
    <w:p w14:paraId="7F729595"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 xml:space="preserve">Dr. Dean Showalter </w:t>
      </w:r>
      <w:r w:rsidRPr="00727881">
        <w:rPr>
          <w:rFonts w:eastAsia="Times New Roman"/>
          <w:sz w:val="22"/>
          <w:szCs w:val="22"/>
          <w:lang w:eastAsia="en-US"/>
        </w:rPr>
        <w:tab/>
      </w:r>
      <w:r w:rsidRPr="00727881">
        <w:rPr>
          <w:rFonts w:eastAsia="Times New Roman"/>
          <w:sz w:val="22"/>
          <w:szCs w:val="22"/>
          <w:lang w:eastAsia="en-US"/>
        </w:rPr>
        <w:tab/>
        <w:t>ECO 2314</w:t>
      </w:r>
      <w:r w:rsidRPr="00727881">
        <w:rPr>
          <w:rFonts w:eastAsia="Times New Roman"/>
          <w:sz w:val="22"/>
          <w:szCs w:val="22"/>
          <w:lang w:eastAsia="en-US"/>
        </w:rPr>
        <w:tab/>
        <w:t>Principles of Microeconomics</w:t>
      </w:r>
    </w:p>
    <w:p w14:paraId="69E17507"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 xml:space="preserve">Dr. Xiao Meng </w:t>
      </w:r>
      <w:r w:rsidRPr="00727881">
        <w:rPr>
          <w:rFonts w:eastAsia="Times New Roman"/>
          <w:sz w:val="22"/>
          <w:szCs w:val="22"/>
          <w:lang w:eastAsia="en-US"/>
        </w:rPr>
        <w:tab/>
      </w:r>
      <w:r w:rsidRPr="00727881">
        <w:rPr>
          <w:rFonts w:eastAsia="Times New Roman"/>
          <w:sz w:val="22"/>
          <w:szCs w:val="22"/>
          <w:lang w:eastAsia="en-US"/>
        </w:rPr>
        <w:tab/>
        <w:t>ECO 2315</w:t>
      </w:r>
      <w:r w:rsidRPr="00727881">
        <w:rPr>
          <w:rFonts w:eastAsia="Times New Roman"/>
          <w:sz w:val="22"/>
          <w:szCs w:val="22"/>
          <w:lang w:eastAsia="en-US"/>
        </w:rPr>
        <w:tab/>
        <w:t>Principles of Macroeconomics</w:t>
      </w:r>
    </w:p>
    <w:p w14:paraId="09539026"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Mr. Rob Konopaske</w:t>
      </w:r>
      <w:r w:rsidRPr="00727881">
        <w:rPr>
          <w:rFonts w:eastAsia="Times New Roman"/>
          <w:sz w:val="22"/>
          <w:szCs w:val="22"/>
          <w:lang w:eastAsia="en-US"/>
        </w:rPr>
        <w:tab/>
      </w:r>
      <w:r w:rsidRPr="00727881">
        <w:rPr>
          <w:rFonts w:eastAsia="Times New Roman"/>
          <w:sz w:val="22"/>
          <w:szCs w:val="22"/>
          <w:lang w:eastAsia="en-US"/>
        </w:rPr>
        <w:tab/>
        <w:t xml:space="preserve">BA 2310 </w:t>
      </w:r>
      <w:r w:rsidRPr="00727881">
        <w:rPr>
          <w:rFonts w:eastAsia="Times New Roman"/>
          <w:sz w:val="22"/>
          <w:szCs w:val="22"/>
          <w:lang w:eastAsia="en-US"/>
        </w:rPr>
        <w:tab/>
        <w:t>Introduction to Business in a Global Environment</w:t>
      </w:r>
    </w:p>
    <w:p w14:paraId="65CDA5EB"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Dr. Francis Mendez</w:t>
      </w:r>
      <w:r w:rsidRPr="00727881">
        <w:rPr>
          <w:rFonts w:eastAsia="Times New Roman"/>
          <w:sz w:val="22"/>
          <w:szCs w:val="22"/>
          <w:lang w:eastAsia="en-US"/>
        </w:rPr>
        <w:tab/>
      </w:r>
      <w:r w:rsidRPr="00727881">
        <w:rPr>
          <w:rFonts w:eastAsia="Times New Roman"/>
          <w:sz w:val="22"/>
          <w:szCs w:val="22"/>
          <w:lang w:eastAsia="en-US"/>
        </w:rPr>
        <w:tab/>
        <w:t xml:space="preserve">QMST 2333 </w:t>
      </w:r>
      <w:r w:rsidRPr="00727881">
        <w:rPr>
          <w:rFonts w:eastAsia="Times New Roman"/>
          <w:sz w:val="22"/>
          <w:szCs w:val="22"/>
          <w:lang w:eastAsia="en-US"/>
        </w:rPr>
        <w:tab/>
        <w:t>Business Statistics</w:t>
      </w:r>
    </w:p>
    <w:p w14:paraId="1D631758"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Dr. Jeff Todd</w:t>
      </w:r>
      <w:r w:rsidRPr="00727881">
        <w:rPr>
          <w:rFonts w:eastAsia="Times New Roman"/>
          <w:sz w:val="22"/>
          <w:szCs w:val="22"/>
          <w:lang w:eastAsia="en-US"/>
        </w:rPr>
        <w:tab/>
      </w:r>
      <w:r w:rsidRPr="00727881">
        <w:rPr>
          <w:rFonts w:eastAsia="Times New Roman"/>
          <w:sz w:val="22"/>
          <w:szCs w:val="22"/>
          <w:lang w:eastAsia="en-US"/>
        </w:rPr>
        <w:tab/>
        <w:t xml:space="preserve">BLAW 2361 </w:t>
      </w:r>
      <w:r w:rsidRPr="00727881">
        <w:rPr>
          <w:rFonts w:eastAsia="Times New Roman"/>
          <w:sz w:val="22"/>
          <w:szCs w:val="22"/>
          <w:lang w:eastAsia="en-US"/>
        </w:rPr>
        <w:tab/>
        <w:t>Legal Environment of Business</w:t>
      </w:r>
    </w:p>
    <w:p w14:paraId="7D833ED1"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Ms. Elizabeth Ponder</w:t>
      </w:r>
      <w:r w:rsidRPr="00727881">
        <w:rPr>
          <w:rFonts w:eastAsia="Times New Roman"/>
          <w:sz w:val="22"/>
          <w:szCs w:val="22"/>
          <w:lang w:eastAsia="en-US"/>
        </w:rPr>
        <w:tab/>
      </w:r>
      <w:r w:rsidRPr="00727881">
        <w:rPr>
          <w:rFonts w:eastAsia="Times New Roman"/>
          <w:sz w:val="22"/>
          <w:szCs w:val="22"/>
          <w:lang w:eastAsia="en-US"/>
        </w:rPr>
        <w:tab/>
        <w:t xml:space="preserve">ACC 2361 </w:t>
      </w:r>
      <w:r w:rsidRPr="00727881">
        <w:rPr>
          <w:rFonts w:eastAsia="Times New Roman"/>
          <w:sz w:val="22"/>
          <w:szCs w:val="22"/>
          <w:lang w:eastAsia="en-US"/>
        </w:rPr>
        <w:tab/>
        <w:t>Introduction to Financial Accounting</w:t>
      </w:r>
    </w:p>
    <w:p w14:paraId="2F0DCC71"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Ms. Alex Hampshire</w:t>
      </w:r>
      <w:r w:rsidRPr="00727881">
        <w:rPr>
          <w:rFonts w:eastAsia="Times New Roman"/>
          <w:sz w:val="22"/>
          <w:szCs w:val="22"/>
          <w:lang w:eastAsia="en-US"/>
        </w:rPr>
        <w:tab/>
      </w:r>
      <w:r w:rsidRPr="00727881">
        <w:rPr>
          <w:rFonts w:eastAsia="Times New Roman"/>
          <w:sz w:val="22"/>
          <w:szCs w:val="22"/>
          <w:lang w:eastAsia="en-US"/>
        </w:rPr>
        <w:tab/>
        <w:t xml:space="preserve">ACC 2362 </w:t>
      </w:r>
      <w:r w:rsidRPr="00727881">
        <w:rPr>
          <w:rFonts w:eastAsia="Times New Roman"/>
          <w:sz w:val="22"/>
          <w:szCs w:val="22"/>
          <w:lang w:eastAsia="en-US"/>
        </w:rPr>
        <w:tab/>
        <w:t>Introduction to Managerial Accounting</w:t>
      </w:r>
    </w:p>
    <w:p w14:paraId="3F68CFE9"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 xml:space="preserve">Dr. Rob Konopaske </w:t>
      </w:r>
      <w:r w:rsidRPr="00727881">
        <w:rPr>
          <w:rFonts w:eastAsia="Times New Roman"/>
          <w:sz w:val="22"/>
          <w:szCs w:val="22"/>
          <w:lang w:eastAsia="en-US"/>
        </w:rPr>
        <w:tab/>
      </w:r>
      <w:r w:rsidRPr="00727881">
        <w:rPr>
          <w:rFonts w:eastAsia="Times New Roman"/>
          <w:sz w:val="22"/>
          <w:szCs w:val="22"/>
          <w:lang w:eastAsia="en-US"/>
        </w:rPr>
        <w:tab/>
        <w:t>MGT 3303</w:t>
      </w:r>
      <w:r w:rsidRPr="00727881">
        <w:rPr>
          <w:rFonts w:eastAsia="Times New Roman"/>
          <w:sz w:val="22"/>
          <w:szCs w:val="22"/>
          <w:lang w:eastAsia="en-US"/>
        </w:rPr>
        <w:tab/>
        <w:t>Management of Organizations</w:t>
      </w:r>
    </w:p>
    <w:p w14:paraId="32FCF4B6"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 xml:space="preserve">Dr. Vance Lesseig </w:t>
      </w:r>
      <w:r w:rsidRPr="00727881">
        <w:rPr>
          <w:rFonts w:eastAsia="Times New Roman"/>
          <w:sz w:val="22"/>
          <w:szCs w:val="22"/>
          <w:lang w:eastAsia="en-US"/>
        </w:rPr>
        <w:tab/>
      </w:r>
      <w:r w:rsidRPr="00727881">
        <w:rPr>
          <w:rFonts w:eastAsia="Times New Roman"/>
          <w:sz w:val="22"/>
          <w:szCs w:val="22"/>
          <w:lang w:eastAsia="en-US"/>
        </w:rPr>
        <w:tab/>
        <w:t>FIN 3312</w:t>
      </w:r>
      <w:r w:rsidRPr="00727881">
        <w:rPr>
          <w:rFonts w:eastAsia="Times New Roman"/>
          <w:sz w:val="22"/>
          <w:szCs w:val="22"/>
          <w:lang w:eastAsia="en-US"/>
        </w:rPr>
        <w:tab/>
        <w:t>Business Finance</w:t>
      </w:r>
    </w:p>
    <w:p w14:paraId="2D44C681"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Mr. Ken Murdock</w:t>
      </w:r>
      <w:r w:rsidRPr="00727881">
        <w:rPr>
          <w:rFonts w:eastAsia="Times New Roman"/>
          <w:sz w:val="22"/>
          <w:szCs w:val="22"/>
          <w:lang w:eastAsia="en-US"/>
        </w:rPr>
        <w:tab/>
      </w:r>
      <w:r w:rsidRPr="00727881">
        <w:rPr>
          <w:rFonts w:eastAsia="Times New Roman"/>
          <w:sz w:val="22"/>
          <w:szCs w:val="22"/>
          <w:lang w:eastAsia="en-US"/>
        </w:rPr>
        <w:tab/>
        <w:t>MKT 3343</w:t>
      </w:r>
      <w:r w:rsidRPr="00727881">
        <w:rPr>
          <w:rFonts w:eastAsia="Times New Roman"/>
          <w:sz w:val="22"/>
          <w:szCs w:val="22"/>
          <w:lang w:eastAsia="en-US"/>
        </w:rPr>
        <w:tab/>
        <w:t>Principles of Marketing</w:t>
      </w:r>
    </w:p>
    <w:p w14:paraId="42801B47"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Ms. Dave Angelo</w:t>
      </w:r>
      <w:r w:rsidRPr="00727881">
        <w:rPr>
          <w:rFonts w:eastAsia="Times New Roman"/>
          <w:sz w:val="22"/>
          <w:szCs w:val="22"/>
          <w:lang w:eastAsia="en-US"/>
        </w:rPr>
        <w:tab/>
      </w:r>
      <w:r w:rsidRPr="00727881">
        <w:rPr>
          <w:rFonts w:eastAsia="Times New Roman"/>
          <w:sz w:val="22"/>
          <w:szCs w:val="22"/>
          <w:lang w:eastAsia="en-US"/>
        </w:rPr>
        <w:tab/>
        <w:t xml:space="preserve">CIS 3380 </w:t>
      </w:r>
      <w:r w:rsidRPr="00727881">
        <w:rPr>
          <w:rFonts w:eastAsia="Times New Roman"/>
          <w:sz w:val="22"/>
          <w:szCs w:val="22"/>
          <w:lang w:eastAsia="en-US"/>
        </w:rPr>
        <w:tab/>
        <w:t>Enterprise Information Technology and Bus. Intelligence</w:t>
      </w:r>
    </w:p>
    <w:p w14:paraId="47A35985"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 xml:space="preserve">Dr. Stephanie Solansky </w:t>
      </w:r>
      <w:r w:rsidRPr="00727881">
        <w:rPr>
          <w:rFonts w:eastAsia="Times New Roman"/>
          <w:sz w:val="22"/>
          <w:szCs w:val="22"/>
          <w:lang w:eastAsia="en-US"/>
        </w:rPr>
        <w:tab/>
      </w:r>
      <w:r w:rsidRPr="00727881">
        <w:rPr>
          <w:rFonts w:eastAsia="Times New Roman"/>
          <w:sz w:val="22"/>
          <w:szCs w:val="22"/>
          <w:lang w:eastAsia="en-US"/>
        </w:rPr>
        <w:tab/>
        <w:t>MGT 3453</w:t>
      </w:r>
      <w:r w:rsidRPr="00727881">
        <w:rPr>
          <w:rFonts w:eastAsia="Times New Roman"/>
          <w:sz w:val="22"/>
          <w:szCs w:val="22"/>
          <w:lang w:eastAsia="en-US"/>
        </w:rPr>
        <w:tab/>
        <w:t>Business Communication and Professional Development 1</w:t>
      </w:r>
    </w:p>
    <w:p w14:paraId="60AE1E47" w14:textId="77777777" w:rsidR="00727881" w:rsidRPr="00727881" w:rsidRDefault="00727881" w:rsidP="00727881">
      <w:pPr>
        <w:widowControl w:val="0"/>
        <w:tabs>
          <w:tab w:val="left" w:pos="2250"/>
          <w:tab w:val="left" w:pos="2430"/>
          <w:tab w:val="left" w:pos="3960"/>
        </w:tabs>
        <w:autoSpaceDE w:val="0"/>
        <w:autoSpaceDN w:val="0"/>
        <w:rPr>
          <w:rFonts w:eastAsia="Times New Roman"/>
          <w:sz w:val="22"/>
          <w:szCs w:val="22"/>
          <w:lang w:eastAsia="en-US"/>
        </w:rPr>
      </w:pPr>
      <w:r w:rsidRPr="00727881">
        <w:rPr>
          <w:rFonts w:eastAsia="Times New Roman"/>
          <w:sz w:val="22"/>
          <w:szCs w:val="22"/>
          <w:lang w:eastAsia="en-US"/>
        </w:rPr>
        <w:t>Dr. Phillip Davis</w:t>
      </w:r>
      <w:r w:rsidRPr="00727881">
        <w:rPr>
          <w:rFonts w:eastAsia="Times New Roman"/>
          <w:sz w:val="22"/>
          <w:szCs w:val="22"/>
          <w:lang w:eastAsia="en-US"/>
        </w:rPr>
        <w:tab/>
      </w:r>
      <w:r w:rsidRPr="00727881">
        <w:rPr>
          <w:rFonts w:eastAsia="Times New Roman"/>
          <w:sz w:val="22"/>
          <w:szCs w:val="22"/>
          <w:lang w:eastAsia="en-US"/>
        </w:rPr>
        <w:tab/>
        <w:t>MGT 4335</w:t>
      </w:r>
      <w:r w:rsidRPr="00727881">
        <w:rPr>
          <w:rFonts w:eastAsia="Times New Roman"/>
          <w:sz w:val="22"/>
          <w:szCs w:val="22"/>
          <w:lang w:eastAsia="en-US"/>
        </w:rPr>
        <w:tab/>
        <w:t>Strategic Management and Business Policy</w:t>
      </w:r>
    </w:p>
    <w:p w14:paraId="1B98FCF5" w14:textId="77777777" w:rsidR="00727881" w:rsidRDefault="00727881" w:rsidP="00196AA3">
      <w:pPr>
        <w:jc w:val="center"/>
      </w:pPr>
    </w:p>
    <w:p w14:paraId="7A0A8ABB" w14:textId="5B183B40" w:rsidR="00196AA3" w:rsidRDefault="00196AA3" w:rsidP="00727881">
      <w:r>
        <w:t xml:space="preserve">Dr. </w:t>
      </w:r>
      <w:r w:rsidR="00727881">
        <w:t>Taewon Suh</w:t>
      </w:r>
      <w:r>
        <w:t>,</w:t>
      </w:r>
      <w:r w:rsidR="00727881">
        <w:t xml:space="preserve"> Dept. of Finance and Economics, Chair</w:t>
      </w:r>
      <w:r w:rsidR="00727881">
        <w:tab/>
      </w:r>
      <w:r w:rsidR="00727881">
        <w:tab/>
      </w:r>
      <w:r w:rsidR="00727881">
        <w:tab/>
      </w:r>
      <w:r>
        <w:t>Ex</w:t>
      </w:r>
      <w:r w:rsidR="00727881">
        <w:t>-o</w:t>
      </w:r>
      <w:r>
        <w:t>fficio</w:t>
      </w:r>
    </w:p>
    <w:p w14:paraId="01792CC9" w14:textId="3A1BEFC8" w:rsidR="00196AA3" w:rsidRDefault="00196AA3" w:rsidP="00727881">
      <w:r>
        <w:t>Dr. David Wierschem, Associate Dean</w:t>
      </w:r>
      <w:r w:rsidR="00727881">
        <w:t xml:space="preserve"> for Undergraduate Programs</w:t>
      </w:r>
      <w:r w:rsidR="00727881">
        <w:tab/>
      </w:r>
      <w:r>
        <w:t>Ex-officio</w:t>
      </w:r>
    </w:p>
    <w:p w14:paraId="20B7D072" w14:textId="77777777" w:rsidR="00196AA3" w:rsidRDefault="00196AA3" w:rsidP="00196AA3"/>
    <w:p w14:paraId="46C46C72" w14:textId="77777777" w:rsidR="00196AA3" w:rsidRDefault="00196AA3" w:rsidP="00196AA3"/>
    <w:p w14:paraId="78813E3F" w14:textId="77777777" w:rsidR="00196AA3" w:rsidRPr="003F1354" w:rsidRDefault="00196AA3" w:rsidP="00196AA3">
      <w:pPr>
        <w:jc w:val="center"/>
        <w:rPr>
          <w:i/>
        </w:rPr>
      </w:pPr>
      <w:r w:rsidRPr="003F1354">
        <w:rPr>
          <w:i/>
        </w:rPr>
        <w:t xml:space="preserve">Document </w:t>
      </w:r>
      <w:r>
        <w:rPr>
          <w:i/>
        </w:rPr>
        <w:t>Submitted:  Fall 2020</w:t>
      </w:r>
    </w:p>
    <w:p w14:paraId="4B3FE354" w14:textId="794B9F87" w:rsidR="00052EEC" w:rsidRPr="00196AA3" w:rsidRDefault="00196AA3">
      <w:pPr>
        <w:rPr>
          <w:b/>
          <w:bCs/>
          <w:i/>
          <w:iCs/>
          <w:sz w:val="28"/>
          <w:szCs w:val="28"/>
        </w:rPr>
      </w:pPr>
      <w:r w:rsidRPr="00196AA3">
        <w:rPr>
          <w:b/>
          <w:bCs/>
          <w:i/>
          <w:iCs/>
          <w:sz w:val="28"/>
          <w:szCs w:val="28"/>
        </w:rPr>
        <w:lastRenderedPageBreak/>
        <w:t>BBA Program Level Goal 4:</w:t>
      </w:r>
    </w:p>
    <w:p w14:paraId="6533EAC3" w14:textId="13C22A43" w:rsidR="00196AA3" w:rsidRDefault="00196AA3"/>
    <w:p w14:paraId="1ADC03A4" w14:textId="016D5956" w:rsidR="00196AA3" w:rsidRPr="00196AA3" w:rsidRDefault="00196AA3">
      <w:pPr>
        <w:rPr>
          <w:b/>
          <w:bCs/>
          <w:sz w:val="28"/>
          <w:szCs w:val="28"/>
          <w:u w:val="single"/>
        </w:rPr>
      </w:pPr>
      <w:r w:rsidRPr="00196AA3">
        <w:rPr>
          <w:b/>
          <w:bCs/>
          <w:sz w:val="28"/>
          <w:szCs w:val="28"/>
          <w:u w:val="single"/>
        </w:rPr>
        <w:t>Program Goal 4 states:</w:t>
      </w:r>
    </w:p>
    <w:p w14:paraId="3B453978" w14:textId="119621E3" w:rsidR="00196AA3" w:rsidRPr="00196AA3" w:rsidRDefault="00196AA3" w:rsidP="00196AA3">
      <w:pPr>
        <w:jc w:val="both"/>
        <w:rPr>
          <w:b/>
          <w:bCs/>
          <w:sz w:val="28"/>
          <w:szCs w:val="28"/>
        </w:rPr>
      </w:pPr>
      <w:r w:rsidRPr="00196AA3">
        <w:rPr>
          <w:b/>
          <w:bCs/>
          <w:sz w:val="28"/>
          <w:szCs w:val="28"/>
        </w:rPr>
        <w:t>“Understand ethical behavior in personal and business interactions.”</w:t>
      </w:r>
    </w:p>
    <w:p w14:paraId="69BA8722" w14:textId="77777777" w:rsidR="00196AA3" w:rsidRPr="004D0F67" w:rsidRDefault="00196AA3" w:rsidP="00196AA3">
      <w:pPr>
        <w:jc w:val="both"/>
        <w:rPr>
          <w:b/>
        </w:rPr>
      </w:pPr>
    </w:p>
    <w:p w14:paraId="33DF1BB0" w14:textId="77777777" w:rsidR="00196AA3" w:rsidRPr="004D0F67" w:rsidRDefault="00196AA3" w:rsidP="00196AA3">
      <w:pPr>
        <w:jc w:val="both"/>
      </w:pPr>
      <w:r w:rsidRPr="004D0F67">
        <w:t>Graduates should understand ethical concepts, recognize ethical dilemmas, and employ ethical reasoning in assessing how those dilemmas should be resolved.</w:t>
      </w:r>
    </w:p>
    <w:p w14:paraId="5B08EF3D" w14:textId="0D4962BC" w:rsidR="00196AA3" w:rsidRDefault="00196AA3"/>
    <w:p w14:paraId="7261C4B6" w14:textId="07E9E83D" w:rsidR="00196AA3" w:rsidRPr="0043323D" w:rsidRDefault="00196AA3" w:rsidP="00196AA3">
      <w:pPr>
        <w:rPr>
          <w:b/>
          <w:bCs/>
          <w:i/>
          <w:iCs/>
          <w:sz w:val="28"/>
          <w:szCs w:val="28"/>
        </w:rPr>
      </w:pPr>
      <w:r w:rsidRPr="0043323D">
        <w:rPr>
          <w:b/>
          <w:bCs/>
          <w:i/>
          <w:iCs/>
          <w:sz w:val="28"/>
          <w:szCs w:val="28"/>
        </w:rPr>
        <w:t xml:space="preserve">BBA Program Level Goal </w:t>
      </w:r>
      <w:r>
        <w:rPr>
          <w:b/>
          <w:bCs/>
          <w:i/>
          <w:iCs/>
          <w:sz w:val="28"/>
          <w:szCs w:val="28"/>
        </w:rPr>
        <w:t>6</w:t>
      </w:r>
      <w:r w:rsidRPr="0043323D">
        <w:rPr>
          <w:b/>
          <w:bCs/>
          <w:i/>
          <w:iCs/>
          <w:sz w:val="28"/>
          <w:szCs w:val="28"/>
        </w:rPr>
        <w:t>:</w:t>
      </w:r>
    </w:p>
    <w:p w14:paraId="2BC4765A" w14:textId="77777777" w:rsidR="00196AA3" w:rsidRDefault="00196AA3" w:rsidP="00196AA3">
      <w:pPr>
        <w:rPr>
          <w:sz w:val="28"/>
          <w:szCs w:val="28"/>
        </w:rPr>
      </w:pPr>
    </w:p>
    <w:p w14:paraId="2AFD1477" w14:textId="31E73F9E" w:rsidR="00196AA3" w:rsidRDefault="00196AA3" w:rsidP="00196AA3">
      <w:pPr>
        <w:rPr>
          <w:b/>
          <w:bCs/>
          <w:sz w:val="28"/>
          <w:szCs w:val="28"/>
        </w:rPr>
      </w:pPr>
      <w:r w:rsidRPr="00B56F9C">
        <w:rPr>
          <w:b/>
          <w:bCs/>
          <w:sz w:val="28"/>
          <w:szCs w:val="28"/>
          <w:u w:val="single"/>
        </w:rPr>
        <w:t xml:space="preserve">Program Goal </w:t>
      </w:r>
      <w:r>
        <w:rPr>
          <w:b/>
          <w:bCs/>
          <w:sz w:val="28"/>
          <w:szCs w:val="28"/>
          <w:u w:val="single"/>
        </w:rPr>
        <w:t>6</w:t>
      </w:r>
      <w:r w:rsidRPr="00B56F9C">
        <w:rPr>
          <w:b/>
          <w:bCs/>
          <w:sz w:val="28"/>
          <w:szCs w:val="28"/>
          <w:u w:val="single"/>
        </w:rPr>
        <w:t xml:space="preserve"> states</w:t>
      </w:r>
      <w:r w:rsidRPr="0043323D">
        <w:rPr>
          <w:b/>
          <w:bCs/>
          <w:sz w:val="28"/>
          <w:szCs w:val="28"/>
        </w:rPr>
        <w:t>:</w:t>
      </w:r>
    </w:p>
    <w:p w14:paraId="3AED351D" w14:textId="00EABBFD" w:rsidR="00196AA3" w:rsidRPr="00196AA3" w:rsidRDefault="00196AA3" w:rsidP="00196AA3">
      <w:pPr>
        <w:jc w:val="both"/>
        <w:rPr>
          <w:b/>
          <w:sz w:val="28"/>
          <w:szCs w:val="28"/>
        </w:rPr>
      </w:pPr>
      <w:r w:rsidRPr="00196AA3">
        <w:rPr>
          <w:b/>
          <w:sz w:val="28"/>
          <w:szCs w:val="28"/>
        </w:rPr>
        <w:t>“Comprehend the importance of pluralism and cross-cultural diversity.”</w:t>
      </w:r>
    </w:p>
    <w:p w14:paraId="49B83784" w14:textId="3CE3EC87" w:rsidR="00196AA3" w:rsidRDefault="00196AA3"/>
    <w:p w14:paraId="5EAF523C" w14:textId="77777777" w:rsidR="00196AA3" w:rsidRPr="004D0F67" w:rsidRDefault="00196AA3" w:rsidP="00196AA3">
      <w:pPr>
        <w:jc w:val="both"/>
      </w:pPr>
      <w:r w:rsidRPr="004D0F67">
        <w:t>Graduates should appreciate the benefits of cultural, ethnic, religious, and other background differences that individuals and groups bring to an organization.  They should understand the impact of globalization and pluralism in their personal and professional relationships.</w:t>
      </w:r>
    </w:p>
    <w:p w14:paraId="0EF5C8B8" w14:textId="06F2B9EB" w:rsidR="00196AA3" w:rsidRDefault="00196AA3"/>
    <w:p w14:paraId="28D311FD" w14:textId="4465D16E" w:rsidR="00196AA3" w:rsidRDefault="00196AA3"/>
    <w:p w14:paraId="380F97DD" w14:textId="77777777" w:rsidR="00196AA3" w:rsidRPr="00FF5156" w:rsidRDefault="00196AA3" w:rsidP="00196AA3">
      <w:pPr>
        <w:rPr>
          <w:b/>
          <w:i/>
        </w:rPr>
      </w:pPr>
      <w:r w:rsidRPr="00FF5156">
        <w:rPr>
          <w:b/>
          <w:i/>
        </w:rPr>
        <w:t>Method</w:t>
      </w:r>
      <w:r>
        <w:rPr>
          <w:b/>
          <w:i/>
        </w:rPr>
        <w:t>ology</w:t>
      </w:r>
      <w:r w:rsidRPr="00FF5156">
        <w:rPr>
          <w:b/>
          <w:i/>
        </w:rPr>
        <w:t>:</w:t>
      </w:r>
    </w:p>
    <w:p w14:paraId="4941CA6F" w14:textId="77777777" w:rsidR="00196AA3" w:rsidRPr="00FF5156" w:rsidRDefault="00196AA3" w:rsidP="00196AA3"/>
    <w:p w14:paraId="7BFFD34C" w14:textId="77777777" w:rsidR="00196AA3" w:rsidRPr="00FF5156" w:rsidRDefault="00196AA3" w:rsidP="00196AA3">
      <w:r w:rsidRPr="00FF5156">
        <w:t xml:space="preserve">The BBA Course Alignment Grid identifies core courses that both cover and assess critical thinking skills and informational technology skills.  Faculty in each of these core course-teaching groups participated in this assessment. Faculty were asked to assess students’ performance on college learning goals using course specific criteria and report results in the format of Exceeds Expectations, Meets Expectations, or Does Not Meet Expectations.  Working with faculty teaching core course sections, each core course coordinator chose their course’s common method of direct, course-embedded assessment, </w:t>
      </w:r>
      <w:r>
        <w:t xml:space="preserve">which </w:t>
      </w:r>
      <w:r w:rsidRPr="00FF5156">
        <w:t>includ</w:t>
      </w:r>
      <w:r>
        <w:t>ed</w:t>
      </w:r>
      <w:r w:rsidRPr="00FF5156">
        <w:t xml:space="preserve"> multiple methodologies ranging from common test questions and assignments to written assessment rubrics.  Methods</w:t>
      </w:r>
      <w:r>
        <w:t>, by course, are discussed below and</w:t>
      </w:r>
      <w:r w:rsidRPr="00FF5156">
        <w:t xml:space="preserve"> are indicated on the composite table after course numbers.</w:t>
      </w:r>
    </w:p>
    <w:p w14:paraId="11203D7C" w14:textId="3334614D" w:rsidR="00196AA3" w:rsidRDefault="00196AA3"/>
    <w:p w14:paraId="2C42BD62" w14:textId="0B541812" w:rsidR="00244607" w:rsidRPr="00FF5156" w:rsidRDefault="00244607" w:rsidP="00244607">
      <w:r>
        <w:t xml:space="preserve">The rest of this document is laid out as follows:  Summary Results are presented in part I, discussion of results and future plans for Goal 4 appear in part II, discussion and plans for goal 6 are part III, and methods by course and goal represent part IV. </w:t>
      </w:r>
    </w:p>
    <w:p w14:paraId="69AB900B" w14:textId="342C0FA1" w:rsidR="00244607" w:rsidRDefault="00244607"/>
    <w:p w14:paraId="196069F5" w14:textId="22CDA702" w:rsidR="00244607" w:rsidRDefault="00244607"/>
    <w:p w14:paraId="468CCABF" w14:textId="224AE51E" w:rsidR="00244607" w:rsidRDefault="00244607">
      <w:r>
        <w:br w:type="page"/>
      </w:r>
    </w:p>
    <w:p w14:paraId="1CD4ABC2" w14:textId="77777777" w:rsidR="00244607" w:rsidRDefault="00244607" w:rsidP="00244607">
      <w:pPr>
        <w:pStyle w:val="ListParagraph"/>
        <w:numPr>
          <w:ilvl w:val="0"/>
          <w:numId w:val="1"/>
        </w:numPr>
        <w:ind w:left="720"/>
      </w:pPr>
      <w:r w:rsidRPr="00093FC7">
        <w:rPr>
          <w:b/>
          <w:bCs/>
          <w:i/>
          <w:iCs/>
          <w:sz w:val="28"/>
          <w:szCs w:val="28"/>
        </w:rPr>
        <w:lastRenderedPageBreak/>
        <w:t>Summary Results</w:t>
      </w:r>
      <w:r w:rsidRPr="00093FC7">
        <w:rPr>
          <w:b/>
          <w:bCs/>
          <w:i/>
          <w:iCs/>
        </w:rPr>
        <w:t>:</w:t>
      </w:r>
    </w:p>
    <w:p w14:paraId="25CE015A" w14:textId="0CAD62F8" w:rsidR="00244607" w:rsidRDefault="00244607" w:rsidP="00244607">
      <w:r>
        <w:t xml:space="preserve">The following Tables display the overall results across courses for Goals </w:t>
      </w:r>
      <w:r w:rsidR="00981F10">
        <w:t>4</w:t>
      </w:r>
      <w:r>
        <w:t xml:space="preserve"> and </w:t>
      </w:r>
      <w:r w:rsidR="00981F10">
        <w:t>6</w:t>
      </w:r>
      <w:r>
        <w:t>, with historical results showing the percentage of students that met or exceeded expectations.</w:t>
      </w:r>
    </w:p>
    <w:p w14:paraId="2E4480AC" w14:textId="6DB833AF" w:rsidR="00244607" w:rsidRDefault="00244607"/>
    <w:p w14:paraId="4EA3C3FF" w14:textId="356D8FF3" w:rsidR="00981F10" w:rsidRDefault="00981F10"/>
    <w:p w14:paraId="47383804" w14:textId="77777777" w:rsidR="00981F10" w:rsidRDefault="00981F10"/>
    <w:p w14:paraId="38B34122" w14:textId="77777777" w:rsidR="00981F10" w:rsidRDefault="00981F10" w:rsidP="00981F10"/>
    <w:tbl>
      <w:tblPr>
        <w:tblW w:w="10100" w:type="dxa"/>
        <w:tblLook w:val="04A0" w:firstRow="1" w:lastRow="0" w:firstColumn="1" w:lastColumn="0" w:noHBand="0" w:noVBand="1"/>
      </w:tblPr>
      <w:tblGrid>
        <w:gridCol w:w="2283"/>
        <w:gridCol w:w="1122"/>
        <w:gridCol w:w="1240"/>
        <w:gridCol w:w="1240"/>
        <w:gridCol w:w="1240"/>
        <w:gridCol w:w="1240"/>
        <w:gridCol w:w="875"/>
        <w:gridCol w:w="875"/>
      </w:tblGrid>
      <w:tr w:rsidR="00981F10" w:rsidRPr="00F23B03" w14:paraId="690F3EA7" w14:textId="77777777" w:rsidTr="004D30AC">
        <w:trPr>
          <w:trHeight w:val="420"/>
        </w:trPr>
        <w:tc>
          <w:tcPr>
            <w:tcW w:w="9240" w:type="dxa"/>
            <w:gridSpan w:val="7"/>
            <w:tcBorders>
              <w:top w:val="nil"/>
              <w:left w:val="nil"/>
              <w:bottom w:val="nil"/>
              <w:right w:val="nil"/>
            </w:tcBorders>
            <w:shd w:val="clear" w:color="auto" w:fill="auto"/>
            <w:noWrap/>
            <w:vAlign w:val="bottom"/>
            <w:hideMark/>
          </w:tcPr>
          <w:p w14:paraId="4FD684B3" w14:textId="77777777" w:rsidR="00981F10" w:rsidRPr="00F23B03" w:rsidRDefault="00981F10" w:rsidP="004D30AC">
            <w:pPr>
              <w:jc w:val="center"/>
              <w:rPr>
                <w:rFonts w:ascii="Calibri" w:eastAsia="Times New Roman" w:hAnsi="Calibri" w:cs="Calibri"/>
                <w:b/>
                <w:bCs/>
                <w:color w:val="000000"/>
                <w:sz w:val="32"/>
                <w:szCs w:val="32"/>
                <w:lang w:eastAsia="en-US"/>
              </w:rPr>
            </w:pPr>
            <w:r w:rsidRPr="00F23B03">
              <w:rPr>
                <w:rFonts w:ascii="Calibri" w:eastAsia="Times New Roman" w:hAnsi="Calibri" w:cs="Calibri"/>
                <w:b/>
                <w:bCs/>
                <w:color w:val="000000"/>
                <w:sz w:val="32"/>
                <w:szCs w:val="32"/>
                <w:lang w:eastAsia="en-US"/>
              </w:rPr>
              <w:t>Results for Goal 4 by Campus and Term</w:t>
            </w:r>
          </w:p>
        </w:tc>
        <w:tc>
          <w:tcPr>
            <w:tcW w:w="860" w:type="dxa"/>
            <w:tcBorders>
              <w:top w:val="nil"/>
              <w:left w:val="nil"/>
              <w:bottom w:val="nil"/>
              <w:right w:val="nil"/>
            </w:tcBorders>
            <w:shd w:val="clear" w:color="auto" w:fill="auto"/>
            <w:noWrap/>
            <w:vAlign w:val="bottom"/>
            <w:hideMark/>
          </w:tcPr>
          <w:p w14:paraId="73ADAE93" w14:textId="77777777" w:rsidR="00981F10" w:rsidRPr="00F23B03" w:rsidRDefault="00981F10" w:rsidP="004D30AC">
            <w:pPr>
              <w:jc w:val="center"/>
              <w:rPr>
                <w:rFonts w:ascii="Calibri" w:eastAsia="Times New Roman" w:hAnsi="Calibri" w:cs="Calibri"/>
                <w:b/>
                <w:bCs/>
                <w:color w:val="000000"/>
                <w:sz w:val="32"/>
                <w:szCs w:val="32"/>
                <w:lang w:eastAsia="en-US"/>
              </w:rPr>
            </w:pPr>
          </w:p>
        </w:tc>
      </w:tr>
      <w:tr w:rsidR="00981F10" w:rsidRPr="00F23B03" w14:paraId="02FC84C2" w14:textId="77777777" w:rsidTr="004D30AC">
        <w:trPr>
          <w:trHeight w:val="285"/>
        </w:trPr>
        <w:tc>
          <w:tcPr>
            <w:tcW w:w="2420" w:type="dxa"/>
            <w:tcBorders>
              <w:top w:val="nil"/>
              <w:left w:val="nil"/>
              <w:bottom w:val="nil"/>
              <w:right w:val="nil"/>
            </w:tcBorders>
            <w:shd w:val="clear" w:color="auto" w:fill="auto"/>
            <w:vAlign w:val="bottom"/>
            <w:hideMark/>
          </w:tcPr>
          <w:p w14:paraId="08E37340"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San Marcos</w:t>
            </w:r>
          </w:p>
        </w:tc>
        <w:tc>
          <w:tcPr>
            <w:tcW w:w="1000" w:type="dxa"/>
            <w:tcBorders>
              <w:top w:val="nil"/>
              <w:left w:val="nil"/>
              <w:bottom w:val="nil"/>
              <w:right w:val="nil"/>
            </w:tcBorders>
            <w:shd w:val="clear" w:color="auto" w:fill="auto"/>
            <w:noWrap/>
            <w:vAlign w:val="bottom"/>
            <w:hideMark/>
          </w:tcPr>
          <w:p w14:paraId="18C904EA" w14:textId="77777777" w:rsidR="00981F10" w:rsidRPr="00F23B03" w:rsidRDefault="00981F10" w:rsidP="004D30AC">
            <w:pPr>
              <w:rPr>
                <w:rFonts w:ascii="Calibri" w:eastAsia="Times New Roman" w:hAnsi="Calibri" w:cs="Calibri"/>
                <w:b/>
                <w:bCs/>
                <w:color w:val="000000"/>
                <w:sz w:val="22"/>
                <w:szCs w:val="22"/>
                <w:lang w:eastAsia="en-US"/>
              </w:rPr>
            </w:pPr>
          </w:p>
        </w:tc>
        <w:tc>
          <w:tcPr>
            <w:tcW w:w="1240" w:type="dxa"/>
            <w:tcBorders>
              <w:top w:val="nil"/>
              <w:left w:val="nil"/>
              <w:bottom w:val="nil"/>
              <w:right w:val="nil"/>
            </w:tcBorders>
            <w:shd w:val="clear" w:color="auto" w:fill="auto"/>
            <w:noWrap/>
            <w:vAlign w:val="bottom"/>
            <w:hideMark/>
          </w:tcPr>
          <w:p w14:paraId="72CE545B"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70870E9B"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084851B7"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59738144"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3F32F8DA"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2181934C" w14:textId="77777777" w:rsidR="00981F10" w:rsidRPr="00F23B03" w:rsidRDefault="00981F10" w:rsidP="004D30AC">
            <w:pPr>
              <w:rPr>
                <w:rFonts w:eastAsia="Times New Roman"/>
                <w:sz w:val="20"/>
                <w:szCs w:val="20"/>
                <w:lang w:eastAsia="en-US"/>
              </w:rPr>
            </w:pPr>
          </w:p>
        </w:tc>
      </w:tr>
      <w:tr w:rsidR="00981F10" w:rsidRPr="00F23B03" w14:paraId="01037B27" w14:textId="77777777" w:rsidTr="004D30AC">
        <w:trPr>
          <w:trHeight w:val="285"/>
        </w:trPr>
        <w:tc>
          <w:tcPr>
            <w:tcW w:w="2420" w:type="dxa"/>
            <w:tcBorders>
              <w:top w:val="single" w:sz="8" w:space="0" w:color="auto"/>
              <w:left w:val="single" w:sz="8" w:space="0" w:color="auto"/>
              <w:bottom w:val="nil"/>
              <w:right w:val="nil"/>
            </w:tcBorders>
            <w:shd w:val="clear" w:color="auto" w:fill="auto"/>
            <w:vAlign w:val="bottom"/>
            <w:hideMark/>
          </w:tcPr>
          <w:p w14:paraId="2C7DB828"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single" w:sz="8" w:space="0" w:color="auto"/>
              <w:left w:val="nil"/>
              <w:bottom w:val="nil"/>
              <w:right w:val="nil"/>
            </w:tcBorders>
            <w:shd w:val="clear" w:color="auto" w:fill="auto"/>
            <w:vAlign w:val="bottom"/>
            <w:hideMark/>
          </w:tcPr>
          <w:p w14:paraId="6E0E9A6B"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auto"/>
              <w:left w:val="nil"/>
              <w:bottom w:val="nil"/>
              <w:right w:val="nil"/>
            </w:tcBorders>
            <w:shd w:val="clear" w:color="auto" w:fill="auto"/>
            <w:vAlign w:val="bottom"/>
            <w:hideMark/>
          </w:tcPr>
          <w:p w14:paraId="4146DB1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auto"/>
              <w:left w:val="nil"/>
              <w:bottom w:val="nil"/>
              <w:right w:val="nil"/>
            </w:tcBorders>
            <w:shd w:val="clear" w:color="auto" w:fill="auto"/>
            <w:vAlign w:val="bottom"/>
            <w:hideMark/>
          </w:tcPr>
          <w:p w14:paraId="564F70C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auto"/>
              <w:left w:val="nil"/>
              <w:bottom w:val="nil"/>
              <w:right w:val="nil"/>
            </w:tcBorders>
            <w:shd w:val="clear" w:color="auto" w:fill="auto"/>
            <w:vAlign w:val="bottom"/>
            <w:hideMark/>
          </w:tcPr>
          <w:p w14:paraId="40A7167B"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auto"/>
              <w:left w:val="nil"/>
              <w:bottom w:val="nil"/>
              <w:right w:val="nil"/>
            </w:tcBorders>
            <w:shd w:val="clear" w:color="auto" w:fill="auto"/>
            <w:vAlign w:val="bottom"/>
            <w:hideMark/>
          </w:tcPr>
          <w:p w14:paraId="65163463"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single" w:sz="8" w:space="0" w:color="auto"/>
              <w:left w:val="single" w:sz="8" w:space="0" w:color="auto"/>
              <w:bottom w:val="nil"/>
              <w:right w:val="single" w:sz="8" w:space="0" w:color="auto"/>
            </w:tcBorders>
            <w:shd w:val="clear" w:color="auto" w:fill="auto"/>
            <w:noWrap/>
            <w:vAlign w:val="bottom"/>
            <w:hideMark/>
          </w:tcPr>
          <w:p w14:paraId="1FE4B3A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single" w:sz="8" w:space="0" w:color="auto"/>
              <w:left w:val="nil"/>
              <w:bottom w:val="nil"/>
              <w:right w:val="single" w:sz="8" w:space="0" w:color="auto"/>
            </w:tcBorders>
            <w:shd w:val="clear" w:color="auto" w:fill="auto"/>
            <w:vAlign w:val="bottom"/>
            <w:hideMark/>
          </w:tcPr>
          <w:p w14:paraId="23CCC08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58CD71C0" w14:textId="77777777" w:rsidTr="004D30AC">
        <w:trPr>
          <w:trHeight w:val="285"/>
        </w:trPr>
        <w:tc>
          <w:tcPr>
            <w:tcW w:w="2420" w:type="dxa"/>
            <w:tcBorders>
              <w:top w:val="nil"/>
              <w:left w:val="single" w:sz="8" w:space="0" w:color="000000"/>
              <w:bottom w:val="single" w:sz="8" w:space="0" w:color="000000"/>
              <w:right w:val="single" w:sz="4" w:space="0" w:color="000000"/>
            </w:tcBorders>
            <w:shd w:val="clear" w:color="auto" w:fill="auto"/>
            <w:vAlign w:val="bottom"/>
            <w:hideMark/>
          </w:tcPr>
          <w:p w14:paraId="7D9834CC"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Course and Term</w:t>
            </w:r>
          </w:p>
        </w:tc>
        <w:tc>
          <w:tcPr>
            <w:tcW w:w="1000" w:type="dxa"/>
            <w:tcBorders>
              <w:top w:val="nil"/>
              <w:left w:val="nil"/>
              <w:bottom w:val="single" w:sz="8" w:space="0" w:color="000000"/>
              <w:right w:val="single" w:sz="4" w:space="0" w:color="000000"/>
            </w:tcBorders>
            <w:shd w:val="clear" w:color="auto" w:fill="auto"/>
            <w:vAlign w:val="bottom"/>
            <w:hideMark/>
          </w:tcPr>
          <w:p w14:paraId="532E67B3"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Students Evaluated</w:t>
            </w:r>
          </w:p>
        </w:tc>
        <w:tc>
          <w:tcPr>
            <w:tcW w:w="1240" w:type="dxa"/>
            <w:tcBorders>
              <w:top w:val="nil"/>
              <w:left w:val="nil"/>
              <w:bottom w:val="single" w:sz="8" w:space="0" w:color="000000"/>
              <w:right w:val="single" w:sz="4" w:space="0" w:color="000000"/>
            </w:tcBorders>
            <w:shd w:val="clear" w:color="auto" w:fill="auto"/>
            <w:vAlign w:val="bottom"/>
            <w:hideMark/>
          </w:tcPr>
          <w:p w14:paraId="364D317E"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Failing to Meet</w:t>
            </w:r>
          </w:p>
        </w:tc>
        <w:tc>
          <w:tcPr>
            <w:tcW w:w="1240" w:type="dxa"/>
            <w:tcBorders>
              <w:top w:val="nil"/>
              <w:left w:val="nil"/>
              <w:bottom w:val="single" w:sz="8" w:space="0" w:color="000000"/>
              <w:right w:val="single" w:sz="4" w:space="0" w:color="000000"/>
            </w:tcBorders>
            <w:shd w:val="clear" w:color="auto" w:fill="auto"/>
            <w:vAlign w:val="bottom"/>
            <w:hideMark/>
          </w:tcPr>
          <w:p w14:paraId="4A708517"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Meeting</w:t>
            </w:r>
          </w:p>
        </w:tc>
        <w:tc>
          <w:tcPr>
            <w:tcW w:w="1240" w:type="dxa"/>
            <w:tcBorders>
              <w:top w:val="nil"/>
              <w:left w:val="nil"/>
              <w:bottom w:val="single" w:sz="8" w:space="0" w:color="000000"/>
              <w:right w:val="single" w:sz="4" w:space="0" w:color="000000"/>
            </w:tcBorders>
            <w:shd w:val="clear" w:color="auto" w:fill="auto"/>
            <w:vAlign w:val="bottom"/>
            <w:hideMark/>
          </w:tcPr>
          <w:p w14:paraId="59AEA6C9"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Exceeding</w:t>
            </w:r>
          </w:p>
        </w:tc>
        <w:tc>
          <w:tcPr>
            <w:tcW w:w="1240" w:type="dxa"/>
            <w:tcBorders>
              <w:top w:val="nil"/>
              <w:left w:val="nil"/>
              <w:bottom w:val="single" w:sz="8" w:space="0" w:color="000000"/>
              <w:right w:val="nil"/>
            </w:tcBorders>
            <w:shd w:val="clear" w:color="auto" w:fill="auto"/>
            <w:vAlign w:val="bottom"/>
            <w:hideMark/>
          </w:tcPr>
          <w:p w14:paraId="1C414849"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Meeting or Exceeding</w:t>
            </w:r>
          </w:p>
        </w:tc>
        <w:tc>
          <w:tcPr>
            <w:tcW w:w="860" w:type="dxa"/>
            <w:tcBorders>
              <w:top w:val="nil"/>
              <w:left w:val="single" w:sz="8" w:space="0" w:color="auto"/>
              <w:bottom w:val="single" w:sz="8" w:space="0" w:color="auto"/>
              <w:right w:val="single" w:sz="8" w:space="0" w:color="auto"/>
            </w:tcBorders>
            <w:shd w:val="clear" w:color="auto" w:fill="auto"/>
            <w:vAlign w:val="bottom"/>
            <w:hideMark/>
          </w:tcPr>
          <w:p w14:paraId="0F7ED524" w14:textId="77777777" w:rsidR="00981F10" w:rsidRPr="00F23B03" w:rsidRDefault="00981F10" w:rsidP="004D30AC">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2016-17</w:t>
            </w:r>
          </w:p>
        </w:tc>
        <w:tc>
          <w:tcPr>
            <w:tcW w:w="860" w:type="dxa"/>
            <w:tcBorders>
              <w:top w:val="nil"/>
              <w:left w:val="nil"/>
              <w:bottom w:val="single" w:sz="8" w:space="0" w:color="000000"/>
              <w:right w:val="single" w:sz="8" w:space="0" w:color="auto"/>
            </w:tcBorders>
            <w:shd w:val="clear" w:color="auto" w:fill="auto"/>
            <w:vAlign w:val="bottom"/>
            <w:hideMark/>
          </w:tcPr>
          <w:p w14:paraId="0FC37789" w14:textId="77777777" w:rsidR="00981F10" w:rsidRPr="00F23B03" w:rsidRDefault="00981F10" w:rsidP="004D30AC">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2013-14</w:t>
            </w:r>
          </w:p>
        </w:tc>
      </w:tr>
      <w:tr w:rsidR="00981F10" w:rsidRPr="00F23B03" w14:paraId="6C178CE9" w14:textId="77777777" w:rsidTr="004D30AC">
        <w:trPr>
          <w:trHeight w:val="285"/>
        </w:trPr>
        <w:tc>
          <w:tcPr>
            <w:tcW w:w="2420" w:type="dxa"/>
            <w:tcBorders>
              <w:top w:val="nil"/>
              <w:left w:val="single" w:sz="8" w:space="0" w:color="auto"/>
              <w:bottom w:val="nil"/>
              <w:right w:val="single" w:sz="4" w:space="0" w:color="000000"/>
            </w:tcBorders>
            <w:shd w:val="clear" w:color="auto" w:fill="auto"/>
            <w:vAlign w:val="bottom"/>
            <w:hideMark/>
          </w:tcPr>
          <w:p w14:paraId="5C91A851"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nil"/>
              <w:right w:val="single" w:sz="4" w:space="0" w:color="000000"/>
            </w:tcBorders>
            <w:shd w:val="clear" w:color="auto" w:fill="auto"/>
            <w:noWrap/>
            <w:vAlign w:val="bottom"/>
            <w:hideMark/>
          </w:tcPr>
          <w:p w14:paraId="5AF315E6"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000000"/>
            </w:tcBorders>
            <w:shd w:val="clear" w:color="auto" w:fill="auto"/>
            <w:noWrap/>
            <w:vAlign w:val="bottom"/>
            <w:hideMark/>
          </w:tcPr>
          <w:p w14:paraId="3A9BF6AA"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000000"/>
            </w:tcBorders>
            <w:shd w:val="clear" w:color="auto" w:fill="auto"/>
            <w:noWrap/>
            <w:vAlign w:val="bottom"/>
            <w:hideMark/>
          </w:tcPr>
          <w:p w14:paraId="0C52B6FF"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000000"/>
            </w:tcBorders>
            <w:shd w:val="clear" w:color="auto" w:fill="auto"/>
            <w:noWrap/>
            <w:vAlign w:val="bottom"/>
            <w:hideMark/>
          </w:tcPr>
          <w:p w14:paraId="5C4302F1"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nil"/>
            </w:tcBorders>
            <w:shd w:val="clear" w:color="auto" w:fill="auto"/>
            <w:noWrap/>
            <w:vAlign w:val="bottom"/>
            <w:hideMark/>
          </w:tcPr>
          <w:p w14:paraId="11D4BB22" w14:textId="77777777" w:rsidR="00981F10" w:rsidRPr="00F23B03" w:rsidRDefault="00981F10" w:rsidP="004D30AC">
            <w:pPr>
              <w:rPr>
                <w:rFonts w:ascii="Calibri" w:eastAsia="Times New Roman" w:hAnsi="Calibri" w:cs="Calibri"/>
                <w:color w:val="000000"/>
                <w:sz w:val="22"/>
                <w:szCs w:val="22"/>
                <w:lang w:eastAsia="en-US"/>
              </w:rPr>
            </w:pPr>
          </w:p>
        </w:tc>
        <w:tc>
          <w:tcPr>
            <w:tcW w:w="860" w:type="dxa"/>
            <w:tcBorders>
              <w:top w:val="nil"/>
              <w:left w:val="single" w:sz="8" w:space="0" w:color="auto"/>
              <w:bottom w:val="nil"/>
              <w:right w:val="single" w:sz="8" w:space="0" w:color="auto"/>
            </w:tcBorders>
            <w:shd w:val="clear" w:color="auto" w:fill="auto"/>
            <w:noWrap/>
            <w:vAlign w:val="bottom"/>
            <w:hideMark/>
          </w:tcPr>
          <w:p w14:paraId="291BCA30"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nil"/>
              <w:right w:val="single" w:sz="8" w:space="0" w:color="auto"/>
            </w:tcBorders>
            <w:shd w:val="clear" w:color="auto" w:fill="auto"/>
            <w:noWrap/>
            <w:vAlign w:val="bottom"/>
            <w:hideMark/>
          </w:tcPr>
          <w:p w14:paraId="2A286E2D"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4B925AF4" w14:textId="77777777" w:rsidTr="004D30AC">
        <w:trPr>
          <w:trHeight w:val="285"/>
        </w:trPr>
        <w:tc>
          <w:tcPr>
            <w:tcW w:w="2420" w:type="dxa"/>
            <w:tcBorders>
              <w:top w:val="nil"/>
              <w:left w:val="single" w:sz="8" w:space="0" w:color="auto"/>
              <w:bottom w:val="nil"/>
              <w:right w:val="single" w:sz="4" w:space="0" w:color="000000"/>
            </w:tcBorders>
            <w:shd w:val="clear" w:color="D8D8D8" w:fill="D8D8D8"/>
            <w:vAlign w:val="bottom"/>
            <w:hideMark/>
          </w:tcPr>
          <w:p w14:paraId="5E85BB4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4335</w:t>
            </w:r>
            <w:r w:rsidRPr="00F23B03">
              <w:rPr>
                <w:rFonts w:ascii="Calibri" w:eastAsia="Times New Roman" w:hAnsi="Calibri" w:cs="Calibri"/>
                <w:color w:val="000000"/>
                <w:sz w:val="22"/>
                <w:szCs w:val="22"/>
                <w:lang w:eastAsia="en-US"/>
              </w:rPr>
              <w:t xml:space="preserve"> - Fall Results</w:t>
            </w:r>
          </w:p>
        </w:tc>
        <w:tc>
          <w:tcPr>
            <w:tcW w:w="1000" w:type="dxa"/>
            <w:tcBorders>
              <w:top w:val="nil"/>
              <w:left w:val="nil"/>
              <w:bottom w:val="nil"/>
              <w:right w:val="single" w:sz="4" w:space="0" w:color="000000"/>
            </w:tcBorders>
            <w:shd w:val="clear" w:color="D8D8D8" w:fill="D8D8D8"/>
            <w:noWrap/>
            <w:vAlign w:val="bottom"/>
            <w:hideMark/>
          </w:tcPr>
          <w:p w14:paraId="4B6F987F"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444</w:t>
            </w:r>
          </w:p>
        </w:tc>
        <w:tc>
          <w:tcPr>
            <w:tcW w:w="1240" w:type="dxa"/>
            <w:tcBorders>
              <w:top w:val="nil"/>
              <w:left w:val="nil"/>
              <w:bottom w:val="nil"/>
              <w:right w:val="single" w:sz="4" w:space="0" w:color="000000"/>
            </w:tcBorders>
            <w:shd w:val="clear" w:color="D8D8D8" w:fill="D8D8D8"/>
            <w:noWrap/>
            <w:vAlign w:val="bottom"/>
            <w:hideMark/>
          </w:tcPr>
          <w:p w14:paraId="133A0EF7"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6.76%</w:t>
            </w:r>
          </w:p>
        </w:tc>
        <w:tc>
          <w:tcPr>
            <w:tcW w:w="1240" w:type="dxa"/>
            <w:tcBorders>
              <w:top w:val="nil"/>
              <w:left w:val="nil"/>
              <w:bottom w:val="nil"/>
              <w:right w:val="single" w:sz="4" w:space="0" w:color="000000"/>
            </w:tcBorders>
            <w:shd w:val="clear" w:color="D8D8D8" w:fill="D8D8D8"/>
            <w:noWrap/>
            <w:vAlign w:val="bottom"/>
            <w:hideMark/>
          </w:tcPr>
          <w:p w14:paraId="355CD081"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45.95%</w:t>
            </w:r>
          </w:p>
        </w:tc>
        <w:tc>
          <w:tcPr>
            <w:tcW w:w="1240" w:type="dxa"/>
            <w:tcBorders>
              <w:top w:val="nil"/>
              <w:left w:val="nil"/>
              <w:bottom w:val="nil"/>
              <w:right w:val="single" w:sz="4" w:space="0" w:color="000000"/>
            </w:tcBorders>
            <w:shd w:val="clear" w:color="D8D8D8" w:fill="D8D8D8"/>
            <w:noWrap/>
            <w:vAlign w:val="bottom"/>
            <w:hideMark/>
          </w:tcPr>
          <w:p w14:paraId="44B7B63C"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47.30%</w:t>
            </w:r>
          </w:p>
        </w:tc>
        <w:tc>
          <w:tcPr>
            <w:tcW w:w="1240" w:type="dxa"/>
            <w:tcBorders>
              <w:top w:val="nil"/>
              <w:left w:val="nil"/>
              <w:bottom w:val="nil"/>
              <w:right w:val="nil"/>
            </w:tcBorders>
            <w:shd w:val="clear" w:color="D8D8D8" w:fill="D8D8D8"/>
            <w:noWrap/>
            <w:vAlign w:val="bottom"/>
            <w:hideMark/>
          </w:tcPr>
          <w:p w14:paraId="56D6FFAD"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93.24%</w:t>
            </w:r>
          </w:p>
        </w:tc>
        <w:tc>
          <w:tcPr>
            <w:tcW w:w="860" w:type="dxa"/>
            <w:tcBorders>
              <w:top w:val="nil"/>
              <w:left w:val="single" w:sz="8" w:space="0" w:color="auto"/>
              <w:bottom w:val="nil"/>
              <w:right w:val="single" w:sz="8" w:space="0" w:color="auto"/>
            </w:tcBorders>
            <w:shd w:val="clear" w:color="000000" w:fill="D9D9D9"/>
            <w:noWrap/>
            <w:vAlign w:val="bottom"/>
            <w:hideMark/>
          </w:tcPr>
          <w:p w14:paraId="111B6E8F"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84.87%</w:t>
            </w:r>
          </w:p>
        </w:tc>
        <w:tc>
          <w:tcPr>
            <w:tcW w:w="860" w:type="dxa"/>
            <w:tcBorders>
              <w:top w:val="nil"/>
              <w:left w:val="nil"/>
              <w:bottom w:val="nil"/>
              <w:right w:val="single" w:sz="8" w:space="0" w:color="auto"/>
            </w:tcBorders>
            <w:shd w:val="clear" w:color="DADADA" w:fill="DADADA"/>
            <w:noWrap/>
            <w:vAlign w:val="bottom"/>
            <w:hideMark/>
          </w:tcPr>
          <w:p w14:paraId="646D2E34"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94.80%</w:t>
            </w:r>
          </w:p>
        </w:tc>
      </w:tr>
      <w:tr w:rsidR="00981F10" w:rsidRPr="00F23B03" w14:paraId="7B500F68" w14:textId="77777777" w:rsidTr="004D30AC">
        <w:trPr>
          <w:trHeight w:val="285"/>
        </w:trPr>
        <w:tc>
          <w:tcPr>
            <w:tcW w:w="2420" w:type="dxa"/>
            <w:tcBorders>
              <w:top w:val="nil"/>
              <w:left w:val="single" w:sz="8" w:space="0" w:color="auto"/>
              <w:bottom w:val="single" w:sz="8" w:space="0" w:color="000000"/>
              <w:right w:val="single" w:sz="4" w:space="0" w:color="000000"/>
            </w:tcBorders>
            <w:shd w:val="clear" w:color="auto" w:fill="auto"/>
            <w:vAlign w:val="bottom"/>
            <w:hideMark/>
          </w:tcPr>
          <w:p w14:paraId="48B82938"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single" w:sz="8" w:space="0" w:color="000000"/>
              <w:right w:val="single" w:sz="4" w:space="0" w:color="000000"/>
            </w:tcBorders>
            <w:shd w:val="clear" w:color="auto" w:fill="auto"/>
            <w:noWrap/>
            <w:vAlign w:val="bottom"/>
            <w:hideMark/>
          </w:tcPr>
          <w:p w14:paraId="5C12165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000000"/>
              <w:right w:val="single" w:sz="4" w:space="0" w:color="000000"/>
            </w:tcBorders>
            <w:shd w:val="clear" w:color="auto" w:fill="auto"/>
            <w:noWrap/>
            <w:vAlign w:val="bottom"/>
            <w:hideMark/>
          </w:tcPr>
          <w:p w14:paraId="3CF109D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000000"/>
              <w:right w:val="single" w:sz="4" w:space="0" w:color="000000"/>
            </w:tcBorders>
            <w:shd w:val="clear" w:color="auto" w:fill="auto"/>
            <w:noWrap/>
            <w:vAlign w:val="bottom"/>
            <w:hideMark/>
          </w:tcPr>
          <w:p w14:paraId="0614247A"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000000"/>
              <w:right w:val="single" w:sz="4" w:space="0" w:color="000000"/>
            </w:tcBorders>
            <w:shd w:val="clear" w:color="auto" w:fill="auto"/>
            <w:noWrap/>
            <w:vAlign w:val="bottom"/>
            <w:hideMark/>
          </w:tcPr>
          <w:p w14:paraId="4DC810D8"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000000"/>
              <w:right w:val="nil"/>
            </w:tcBorders>
            <w:shd w:val="clear" w:color="auto" w:fill="auto"/>
            <w:noWrap/>
            <w:vAlign w:val="bottom"/>
            <w:hideMark/>
          </w:tcPr>
          <w:p w14:paraId="0F3B14F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14:paraId="68A05A83"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single" w:sz="8" w:space="0" w:color="000000"/>
              <w:right w:val="single" w:sz="8" w:space="0" w:color="auto"/>
            </w:tcBorders>
            <w:shd w:val="clear" w:color="auto" w:fill="auto"/>
            <w:noWrap/>
            <w:vAlign w:val="bottom"/>
            <w:hideMark/>
          </w:tcPr>
          <w:p w14:paraId="6ABD4D6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344FCCA7" w14:textId="77777777" w:rsidTr="004D30AC">
        <w:trPr>
          <w:trHeight w:val="285"/>
        </w:trPr>
        <w:tc>
          <w:tcPr>
            <w:tcW w:w="2420" w:type="dxa"/>
            <w:tcBorders>
              <w:top w:val="nil"/>
              <w:left w:val="single" w:sz="8" w:space="0" w:color="auto"/>
              <w:bottom w:val="nil"/>
              <w:right w:val="single" w:sz="4" w:space="0" w:color="000000"/>
            </w:tcBorders>
            <w:shd w:val="clear" w:color="D8D8D8" w:fill="D8D8D8"/>
            <w:vAlign w:val="bottom"/>
            <w:hideMark/>
          </w:tcPr>
          <w:p w14:paraId="496C0D8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4335</w:t>
            </w:r>
            <w:r w:rsidRPr="00F23B03">
              <w:rPr>
                <w:rFonts w:ascii="Calibri" w:eastAsia="Times New Roman" w:hAnsi="Calibri" w:cs="Calibri"/>
                <w:color w:val="000000"/>
                <w:sz w:val="22"/>
                <w:szCs w:val="22"/>
                <w:lang w:eastAsia="en-US"/>
              </w:rPr>
              <w:t xml:space="preserve"> - Spring Results</w:t>
            </w:r>
          </w:p>
        </w:tc>
        <w:tc>
          <w:tcPr>
            <w:tcW w:w="1000" w:type="dxa"/>
            <w:tcBorders>
              <w:top w:val="nil"/>
              <w:left w:val="nil"/>
              <w:bottom w:val="nil"/>
              <w:right w:val="single" w:sz="4" w:space="0" w:color="000000"/>
            </w:tcBorders>
            <w:shd w:val="clear" w:color="D8D8D8" w:fill="D8D8D8"/>
            <w:noWrap/>
            <w:vAlign w:val="bottom"/>
            <w:hideMark/>
          </w:tcPr>
          <w:p w14:paraId="5150D554"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222</w:t>
            </w:r>
          </w:p>
        </w:tc>
        <w:tc>
          <w:tcPr>
            <w:tcW w:w="1240" w:type="dxa"/>
            <w:tcBorders>
              <w:top w:val="nil"/>
              <w:left w:val="nil"/>
              <w:bottom w:val="nil"/>
              <w:right w:val="single" w:sz="4" w:space="0" w:color="000000"/>
            </w:tcBorders>
            <w:shd w:val="clear" w:color="D8D8D8" w:fill="D8D8D8"/>
            <w:noWrap/>
            <w:vAlign w:val="bottom"/>
            <w:hideMark/>
          </w:tcPr>
          <w:p w14:paraId="2514E211"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18.92%</w:t>
            </w:r>
          </w:p>
        </w:tc>
        <w:tc>
          <w:tcPr>
            <w:tcW w:w="1240" w:type="dxa"/>
            <w:tcBorders>
              <w:top w:val="nil"/>
              <w:left w:val="nil"/>
              <w:bottom w:val="nil"/>
              <w:right w:val="single" w:sz="4" w:space="0" w:color="000000"/>
            </w:tcBorders>
            <w:shd w:val="clear" w:color="D8D8D8" w:fill="D8D8D8"/>
            <w:noWrap/>
            <w:vAlign w:val="bottom"/>
            <w:hideMark/>
          </w:tcPr>
          <w:p w14:paraId="2D3164E4"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55.41%</w:t>
            </w:r>
          </w:p>
        </w:tc>
        <w:tc>
          <w:tcPr>
            <w:tcW w:w="1240" w:type="dxa"/>
            <w:tcBorders>
              <w:top w:val="nil"/>
              <w:left w:val="nil"/>
              <w:bottom w:val="nil"/>
              <w:right w:val="single" w:sz="4" w:space="0" w:color="000000"/>
            </w:tcBorders>
            <w:shd w:val="clear" w:color="D8D8D8" w:fill="D8D8D8"/>
            <w:noWrap/>
            <w:vAlign w:val="bottom"/>
            <w:hideMark/>
          </w:tcPr>
          <w:p w14:paraId="5AF859F1"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25.68%</w:t>
            </w:r>
          </w:p>
        </w:tc>
        <w:tc>
          <w:tcPr>
            <w:tcW w:w="1240" w:type="dxa"/>
            <w:tcBorders>
              <w:top w:val="nil"/>
              <w:left w:val="nil"/>
              <w:bottom w:val="nil"/>
              <w:right w:val="nil"/>
            </w:tcBorders>
            <w:shd w:val="clear" w:color="D8D8D8" w:fill="D8D8D8"/>
            <w:noWrap/>
            <w:vAlign w:val="bottom"/>
            <w:hideMark/>
          </w:tcPr>
          <w:p w14:paraId="049F4799"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81.08%</w:t>
            </w:r>
          </w:p>
        </w:tc>
        <w:tc>
          <w:tcPr>
            <w:tcW w:w="860" w:type="dxa"/>
            <w:tcBorders>
              <w:top w:val="nil"/>
              <w:left w:val="single" w:sz="8" w:space="0" w:color="auto"/>
              <w:bottom w:val="nil"/>
              <w:right w:val="single" w:sz="8" w:space="0" w:color="auto"/>
            </w:tcBorders>
            <w:shd w:val="clear" w:color="000000" w:fill="D9D9D9"/>
            <w:noWrap/>
            <w:vAlign w:val="bottom"/>
            <w:hideMark/>
          </w:tcPr>
          <w:p w14:paraId="6D8A7246"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nil"/>
              <w:right w:val="single" w:sz="8" w:space="0" w:color="auto"/>
            </w:tcBorders>
            <w:shd w:val="clear" w:color="DADADA" w:fill="DADADA"/>
            <w:noWrap/>
            <w:vAlign w:val="bottom"/>
            <w:hideMark/>
          </w:tcPr>
          <w:p w14:paraId="734EE262"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683D6E1F" w14:textId="77777777" w:rsidTr="004D30AC">
        <w:trPr>
          <w:trHeight w:val="285"/>
        </w:trPr>
        <w:tc>
          <w:tcPr>
            <w:tcW w:w="2420" w:type="dxa"/>
            <w:tcBorders>
              <w:top w:val="nil"/>
              <w:left w:val="single" w:sz="8" w:space="0" w:color="auto"/>
              <w:bottom w:val="single" w:sz="8" w:space="0" w:color="auto"/>
              <w:right w:val="single" w:sz="4" w:space="0" w:color="auto"/>
            </w:tcBorders>
            <w:shd w:val="clear" w:color="auto" w:fill="auto"/>
            <w:vAlign w:val="bottom"/>
            <w:hideMark/>
          </w:tcPr>
          <w:p w14:paraId="746AF0AA"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single" w:sz="8" w:space="0" w:color="auto"/>
              <w:right w:val="single" w:sz="4" w:space="0" w:color="auto"/>
            </w:tcBorders>
            <w:shd w:val="clear" w:color="auto" w:fill="auto"/>
            <w:noWrap/>
            <w:vAlign w:val="bottom"/>
            <w:hideMark/>
          </w:tcPr>
          <w:p w14:paraId="459FAD55"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19C96E3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5F963A1A"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213FD688"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nil"/>
            </w:tcBorders>
            <w:shd w:val="clear" w:color="auto" w:fill="auto"/>
            <w:noWrap/>
            <w:vAlign w:val="bottom"/>
            <w:hideMark/>
          </w:tcPr>
          <w:p w14:paraId="2915E62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14:paraId="482AB88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bottom"/>
            <w:hideMark/>
          </w:tcPr>
          <w:p w14:paraId="29F6483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600CCC04" w14:textId="77777777" w:rsidTr="004D30AC">
        <w:trPr>
          <w:trHeight w:val="285"/>
        </w:trPr>
        <w:tc>
          <w:tcPr>
            <w:tcW w:w="2420" w:type="dxa"/>
            <w:tcBorders>
              <w:top w:val="nil"/>
              <w:left w:val="nil"/>
              <w:bottom w:val="nil"/>
              <w:right w:val="nil"/>
            </w:tcBorders>
            <w:shd w:val="clear" w:color="auto" w:fill="auto"/>
            <w:vAlign w:val="bottom"/>
            <w:hideMark/>
          </w:tcPr>
          <w:p w14:paraId="17B69D0A" w14:textId="77777777" w:rsidR="00981F10" w:rsidRPr="00F23B03" w:rsidRDefault="00981F10" w:rsidP="004D30AC">
            <w:pPr>
              <w:rPr>
                <w:rFonts w:ascii="Calibri" w:eastAsia="Times New Roman" w:hAnsi="Calibri" w:cs="Calibri"/>
                <w:color w:val="000000"/>
                <w:sz w:val="22"/>
                <w:szCs w:val="22"/>
                <w:lang w:eastAsia="en-US"/>
              </w:rPr>
            </w:pPr>
          </w:p>
        </w:tc>
        <w:tc>
          <w:tcPr>
            <w:tcW w:w="1000" w:type="dxa"/>
            <w:tcBorders>
              <w:top w:val="nil"/>
              <w:left w:val="nil"/>
              <w:bottom w:val="nil"/>
              <w:right w:val="nil"/>
            </w:tcBorders>
            <w:shd w:val="clear" w:color="auto" w:fill="auto"/>
            <w:noWrap/>
            <w:vAlign w:val="bottom"/>
            <w:hideMark/>
          </w:tcPr>
          <w:p w14:paraId="53B35330"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218B2803"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728AD12E"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5287C699"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3DDAC335"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0C7FAA1D"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18ADD68E" w14:textId="77777777" w:rsidR="00981F10" w:rsidRPr="00F23B03" w:rsidRDefault="00981F10" w:rsidP="004D30AC">
            <w:pPr>
              <w:rPr>
                <w:rFonts w:eastAsia="Times New Roman"/>
                <w:sz w:val="20"/>
                <w:szCs w:val="20"/>
                <w:lang w:eastAsia="en-US"/>
              </w:rPr>
            </w:pPr>
          </w:p>
        </w:tc>
      </w:tr>
      <w:tr w:rsidR="00981F10" w:rsidRPr="00F23B03" w14:paraId="55018C0C" w14:textId="77777777" w:rsidTr="004D30AC">
        <w:trPr>
          <w:trHeight w:val="285"/>
        </w:trPr>
        <w:tc>
          <w:tcPr>
            <w:tcW w:w="2420" w:type="dxa"/>
            <w:tcBorders>
              <w:top w:val="nil"/>
              <w:left w:val="nil"/>
              <w:bottom w:val="nil"/>
              <w:right w:val="nil"/>
            </w:tcBorders>
            <w:shd w:val="clear" w:color="auto" w:fill="auto"/>
            <w:vAlign w:val="bottom"/>
            <w:hideMark/>
          </w:tcPr>
          <w:p w14:paraId="65FBABC3"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Round Rock</w:t>
            </w:r>
          </w:p>
        </w:tc>
        <w:tc>
          <w:tcPr>
            <w:tcW w:w="1000" w:type="dxa"/>
            <w:tcBorders>
              <w:top w:val="nil"/>
              <w:left w:val="nil"/>
              <w:bottom w:val="nil"/>
              <w:right w:val="nil"/>
            </w:tcBorders>
            <w:shd w:val="clear" w:color="auto" w:fill="auto"/>
            <w:noWrap/>
            <w:vAlign w:val="bottom"/>
            <w:hideMark/>
          </w:tcPr>
          <w:p w14:paraId="02F950C7" w14:textId="77777777" w:rsidR="00981F10" w:rsidRPr="00F23B03" w:rsidRDefault="00981F10" w:rsidP="004D30AC">
            <w:pPr>
              <w:rPr>
                <w:rFonts w:ascii="Calibri" w:eastAsia="Times New Roman" w:hAnsi="Calibri" w:cs="Calibri"/>
                <w:b/>
                <w:bCs/>
                <w:color w:val="000000"/>
                <w:sz w:val="22"/>
                <w:szCs w:val="22"/>
                <w:lang w:eastAsia="en-US"/>
              </w:rPr>
            </w:pPr>
          </w:p>
        </w:tc>
        <w:tc>
          <w:tcPr>
            <w:tcW w:w="1240" w:type="dxa"/>
            <w:tcBorders>
              <w:top w:val="nil"/>
              <w:left w:val="nil"/>
              <w:bottom w:val="nil"/>
              <w:right w:val="nil"/>
            </w:tcBorders>
            <w:shd w:val="clear" w:color="auto" w:fill="auto"/>
            <w:noWrap/>
            <w:vAlign w:val="bottom"/>
            <w:hideMark/>
          </w:tcPr>
          <w:p w14:paraId="319C9C37"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6021AD1E"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06FB3F27" w14:textId="77777777" w:rsidR="00981F10" w:rsidRPr="00F23B03" w:rsidRDefault="00981F10" w:rsidP="004D30AC">
            <w:pPr>
              <w:rPr>
                <w:rFonts w:eastAsia="Times New Roman"/>
                <w:sz w:val="20"/>
                <w:szCs w:val="20"/>
                <w:lang w:eastAsia="en-US"/>
              </w:rPr>
            </w:pPr>
          </w:p>
        </w:tc>
        <w:tc>
          <w:tcPr>
            <w:tcW w:w="1240" w:type="dxa"/>
            <w:tcBorders>
              <w:top w:val="nil"/>
              <w:left w:val="nil"/>
              <w:bottom w:val="nil"/>
              <w:right w:val="nil"/>
            </w:tcBorders>
            <w:shd w:val="clear" w:color="auto" w:fill="auto"/>
            <w:noWrap/>
            <w:vAlign w:val="bottom"/>
            <w:hideMark/>
          </w:tcPr>
          <w:p w14:paraId="6FB27A2E"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2D062DB3" w14:textId="77777777" w:rsidR="00981F10" w:rsidRPr="00F23B03" w:rsidRDefault="00981F10" w:rsidP="004D30AC">
            <w:pPr>
              <w:rPr>
                <w:rFonts w:eastAsia="Times New Roman"/>
                <w:sz w:val="20"/>
                <w:szCs w:val="20"/>
                <w:lang w:eastAsia="en-US"/>
              </w:rPr>
            </w:pPr>
          </w:p>
        </w:tc>
        <w:tc>
          <w:tcPr>
            <w:tcW w:w="860" w:type="dxa"/>
            <w:tcBorders>
              <w:top w:val="nil"/>
              <w:left w:val="nil"/>
              <w:bottom w:val="nil"/>
              <w:right w:val="nil"/>
            </w:tcBorders>
            <w:shd w:val="clear" w:color="auto" w:fill="auto"/>
            <w:noWrap/>
            <w:vAlign w:val="bottom"/>
            <w:hideMark/>
          </w:tcPr>
          <w:p w14:paraId="6113F096" w14:textId="77777777" w:rsidR="00981F10" w:rsidRPr="00F23B03" w:rsidRDefault="00981F10" w:rsidP="004D30AC">
            <w:pPr>
              <w:rPr>
                <w:rFonts w:eastAsia="Times New Roman"/>
                <w:sz w:val="20"/>
                <w:szCs w:val="20"/>
                <w:lang w:eastAsia="en-US"/>
              </w:rPr>
            </w:pPr>
          </w:p>
        </w:tc>
      </w:tr>
      <w:tr w:rsidR="00981F10" w:rsidRPr="00F23B03" w14:paraId="2F439276" w14:textId="77777777" w:rsidTr="004D30AC">
        <w:trPr>
          <w:trHeight w:val="285"/>
        </w:trPr>
        <w:tc>
          <w:tcPr>
            <w:tcW w:w="2420" w:type="dxa"/>
            <w:tcBorders>
              <w:top w:val="single" w:sz="8" w:space="0" w:color="000000"/>
              <w:left w:val="single" w:sz="8" w:space="0" w:color="000000"/>
              <w:bottom w:val="nil"/>
              <w:right w:val="single" w:sz="4" w:space="0" w:color="000000"/>
            </w:tcBorders>
            <w:shd w:val="clear" w:color="auto" w:fill="auto"/>
            <w:vAlign w:val="bottom"/>
            <w:hideMark/>
          </w:tcPr>
          <w:p w14:paraId="3766953B"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single" w:sz="8" w:space="0" w:color="000000"/>
              <w:left w:val="nil"/>
              <w:bottom w:val="nil"/>
              <w:right w:val="single" w:sz="4" w:space="0" w:color="000000"/>
            </w:tcBorders>
            <w:shd w:val="clear" w:color="auto" w:fill="auto"/>
            <w:vAlign w:val="bottom"/>
            <w:hideMark/>
          </w:tcPr>
          <w:p w14:paraId="7577CF5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000000"/>
              <w:left w:val="nil"/>
              <w:bottom w:val="nil"/>
              <w:right w:val="single" w:sz="4" w:space="0" w:color="000000"/>
            </w:tcBorders>
            <w:shd w:val="clear" w:color="auto" w:fill="auto"/>
            <w:vAlign w:val="bottom"/>
            <w:hideMark/>
          </w:tcPr>
          <w:p w14:paraId="105A7E26"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000000"/>
              <w:left w:val="nil"/>
              <w:bottom w:val="nil"/>
              <w:right w:val="single" w:sz="4" w:space="0" w:color="000000"/>
            </w:tcBorders>
            <w:shd w:val="clear" w:color="auto" w:fill="auto"/>
            <w:vAlign w:val="bottom"/>
            <w:hideMark/>
          </w:tcPr>
          <w:p w14:paraId="7AA6322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000000"/>
              <w:left w:val="nil"/>
              <w:bottom w:val="nil"/>
              <w:right w:val="single" w:sz="4" w:space="0" w:color="auto"/>
            </w:tcBorders>
            <w:shd w:val="clear" w:color="auto" w:fill="auto"/>
            <w:vAlign w:val="bottom"/>
            <w:hideMark/>
          </w:tcPr>
          <w:p w14:paraId="54DFAEE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single" w:sz="8" w:space="0" w:color="000000"/>
              <w:left w:val="nil"/>
              <w:bottom w:val="nil"/>
              <w:right w:val="nil"/>
            </w:tcBorders>
            <w:shd w:val="clear" w:color="auto" w:fill="auto"/>
            <w:vAlign w:val="bottom"/>
            <w:hideMark/>
          </w:tcPr>
          <w:p w14:paraId="2446BE7F"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single" w:sz="8" w:space="0" w:color="auto"/>
              <w:left w:val="single" w:sz="8" w:space="0" w:color="auto"/>
              <w:bottom w:val="nil"/>
              <w:right w:val="single" w:sz="8" w:space="0" w:color="auto"/>
            </w:tcBorders>
            <w:shd w:val="clear" w:color="auto" w:fill="auto"/>
            <w:noWrap/>
            <w:vAlign w:val="bottom"/>
            <w:hideMark/>
          </w:tcPr>
          <w:p w14:paraId="4906E66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single" w:sz="8" w:space="0" w:color="auto"/>
              <w:left w:val="nil"/>
              <w:bottom w:val="nil"/>
              <w:right w:val="single" w:sz="8" w:space="0" w:color="auto"/>
            </w:tcBorders>
            <w:shd w:val="clear" w:color="auto" w:fill="auto"/>
            <w:vAlign w:val="bottom"/>
            <w:hideMark/>
          </w:tcPr>
          <w:p w14:paraId="28C1D636"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6BD95CD2" w14:textId="77777777" w:rsidTr="004D30AC">
        <w:trPr>
          <w:trHeight w:val="285"/>
        </w:trPr>
        <w:tc>
          <w:tcPr>
            <w:tcW w:w="2420" w:type="dxa"/>
            <w:tcBorders>
              <w:top w:val="nil"/>
              <w:left w:val="single" w:sz="8" w:space="0" w:color="000000"/>
              <w:bottom w:val="single" w:sz="8" w:space="0" w:color="000000"/>
              <w:right w:val="single" w:sz="4" w:space="0" w:color="000000"/>
            </w:tcBorders>
            <w:shd w:val="clear" w:color="auto" w:fill="auto"/>
            <w:vAlign w:val="bottom"/>
            <w:hideMark/>
          </w:tcPr>
          <w:p w14:paraId="4E567F39"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Course and Term</w:t>
            </w:r>
          </w:p>
        </w:tc>
        <w:tc>
          <w:tcPr>
            <w:tcW w:w="1000" w:type="dxa"/>
            <w:tcBorders>
              <w:top w:val="nil"/>
              <w:left w:val="nil"/>
              <w:bottom w:val="single" w:sz="8" w:space="0" w:color="000000"/>
              <w:right w:val="single" w:sz="4" w:space="0" w:color="000000"/>
            </w:tcBorders>
            <w:shd w:val="clear" w:color="auto" w:fill="auto"/>
            <w:vAlign w:val="bottom"/>
            <w:hideMark/>
          </w:tcPr>
          <w:p w14:paraId="675B9D0C"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Students Evaluated</w:t>
            </w:r>
          </w:p>
        </w:tc>
        <w:tc>
          <w:tcPr>
            <w:tcW w:w="1240" w:type="dxa"/>
            <w:tcBorders>
              <w:top w:val="nil"/>
              <w:left w:val="nil"/>
              <w:bottom w:val="single" w:sz="8" w:space="0" w:color="000000"/>
              <w:right w:val="single" w:sz="4" w:space="0" w:color="000000"/>
            </w:tcBorders>
            <w:shd w:val="clear" w:color="auto" w:fill="auto"/>
            <w:vAlign w:val="bottom"/>
            <w:hideMark/>
          </w:tcPr>
          <w:p w14:paraId="40A4D26A"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Failing to Meet</w:t>
            </w:r>
          </w:p>
        </w:tc>
        <w:tc>
          <w:tcPr>
            <w:tcW w:w="1240" w:type="dxa"/>
            <w:tcBorders>
              <w:top w:val="nil"/>
              <w:left w:val="nil"/>
              <w:bottom w:val="single" w:sz="8" w:space="0" w:color="000000"/>
              <w:right w:val="single" w:sz="4" w:space="0" w:color="000000"/>
            </w:tcBorders>
            <w:shd w:val="clear" w:color="auto" w:fill="auto"/>
            <w:vAlign w:val="bottom"/>
            <w:hideMark/>
          </w:tcPr>
          <w:p w14:paraId="0E290C6B"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Meeting</w:t>
            </w:r>
          </w:p>
        </w:tc>
        <w:tc>
          <w:tcPr>
            <w:tcW w:w="1240" w:type="dxa"/>
            <w:tcBorders>
              <w:top w:val="nil"/>
              <w:left w:val="nil"/>
              <w:bottom w:val="single" w:sz="8" w:space="0" w:color="000000"/>
              <w:right w:val="single" w:sz="4" w:space="0" w:color="auto"/>
            </w:tcBorders>
            <w:shd w:val="clear" w:color="auto" w:fill="auto"/>
            <w:vAlign w:val="bottom"/>
            <w:hideMark/>
          </w:tcPr>
          <w:p w14:paraId="57CE2B87"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Exceeding</w:t>
            </w:r>
          </w:p>
        </w:tc>
        <w:tc>
          <w:tcPr>
            <w:tcW w:w="1240" w:type="dxa"/>
            <w:tcBorders>
              <w:top w:val="nil"/>
              <w:left w:val="nil"/>
              <w:bottom w:val="single" w:sz="8" w:space="0" w:color="000000"/>
              <w:right w:val="nil"/>
            </w:tcBorders>
            <w:shd w:val="clear" w:color="auto" w:fill="auto"/>
            <w:vAlign w:val="bottom"/>
            <w:hideMark/>
          </w:tcPr>
          <w:p w14:paraId="1B68BEE6" w14:textId="77777777" w:rsidR="00981F10" w:rsidRPr="00F23B03" w:rsidRDefault="00981F10" w:rsidP="004D30AC">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Meeting or Exceeding</w:t>
            </w:r>
          </w:p>
        </w:tc>
        <w:tc>
          <w:tcPr>
            <w:tcW w:w="860" w:type="dxa"/>
            <w:tcBorders>
              <w:top w:val="nil"/>
              <w:left w:val="single" w:sz="8" w:space="0" w:color="auto"/>
              <w:bottom w:val="single" w:sz="8" w:space="0" w:color="000000"/>
              <w:right w:val="single" w:sz="8" w:space="0" w:color="auto"/>
            </w:tcBorders>
            <w:shd w:val="clear" w:color="auto" w:fill="auto"/>
            <w:vAlign w:val="bottom"/>
            <w:hideMark/>
          </w:tcPr>
          <w:p w14:paraId="1C7043C4" w14:textId="77777777" w:rsidR="00981F10" w:rsidRPr="00F23B03" w:rsidRDefault="00981F10" w:rsidP="004D30AC">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2016-17</w:t>
            </w:r>
          </w:p>
        </w:tc>
        <w:tc>
          <w:tcPr>
            <w:tcW w:w="860" w:type="dxa"/>
            <w:tcBorders>
              <w:top w:val="nil"/>
              <w:left w:val="nil"/>
              <w:bottom w:val="single" w:sz="8" w:space="0" w:color="000000"/>
              <w:right w:val="single" w:sz="8" w:space="0" w:color="auto"/>
            </w:tcBorders>
            <w:shd w:val="clear" w:color="auto" w:fill="auto"/>
            <w:vAlign w:val="bottom"/>
            <w:hideMark/>
          </w:tcPr>
          <w:p w14:paraId="19E47140" w14:textId="77777777" w:rsidR="00981F10" w:rsidRPr="00F23B03" w:rsidRDefault="00981F10" w:rsidP="004D30AC">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2013-14</w:t>
            </w:r>
          </w:p>
        </w:tc>
      </w:tr>
      <w:tr w:rsidR="00981F10" w:rsidRPr="00F23B03" w14:paraId="38C5411B" w14:textId="77777777" w:rsidTr="004D30AC">
        <w:trPr>
          <w:trHeight w:val="285"/>
        </w:trPr>
        <w:tc>
          <w:tcPr>
            <w:tcW w:w="2420" w:type="dxa"/>
            <w:tcBorders>
              <w:top w:val="nil"/>
              <w:left w:val="single" w:sz="8" w:space="0" w:color="000000"/>
              <w:bottom w:val="nil"/>
              <w:right w:val="single" w:sz="4" w:space="0" w:color="auto"/>
            </w:tcBorders>
            <w:shd w:val="clear" w:color="auto" w:fill="auto"/>
            <w:vAlign w:val="bottom"/>
            <w:hideMark/>
          </w:tcPr>
          <w:p w14:paraId="0CCAC37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nil"/>
              <w:right w:val="single" w:sz="4" w:space="0" w:color="auto"/>
            </w:tcBorders>
            <w:shd w:val="clear" w:color="auto" w:fill="auto"/>
            <w:noWrap/>
            <w:vAlign w:val="bottom"/>
            <w:hideMark/>
          </w:tcPr>
          <w:p w14:paraId="59B8E0A0"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248E4FC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0296CC6D"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6E2D2A3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nil"/>
            </w:tcBorders>
            <w:shd w:val="clear" w:color="auto" w:fill="auto"/>
            <w:noWrap/>
            <w:vAlign w:val="bottom"/>
            <w:hideMark/>
          </w:tcPr>
          <w:p w14:paraId="55BA72A7" w14:textId="77777777" w:rsidR="00981F10" w:rsidRPr="00F23B03" w:rsidRDefault="00981F10" w:rsidP="004D30AC">
            <w:pPr>
              <w:rPr>
                <w:rFonts w:ascii="Calibri" w:eastAsia="Times New Roman" w:hAnsi="Calibri" w:cs="Calibri"/>
                <w:color w:val="000000"/>
                <w:sz w:val="22"/>
                <w:szCs w:val="22"/>
                <w:lang w:eastAsia="en-US"/>
              </w:rPr>
            </w:pPr>
          </w:p>
        </w:tc>
        <w:tc>
          <w:tcPr>
            <w:tcW w:w="860" w:type="dxa"/>
            <w:tcBorders>
              <w:top w:val="nil"/>
              <w:left w:val="single" w:sz="8" w:space="0" w:color="auto"/>
              <w:bottom w:val="nil"/>
              <w:right w:val="single" w:sz="8" w:space="0" w:color="auto"/>
            </w:tcBorders>
            <w:shd w:val="clear" w:color="auto" w:fill="auto"/>
            <w:noWrap/>
            <w:vAlign w:val="bottom"/>
            <w:hideMark/>
          </w:tcPr>
          <w:p w14:paraId="6CCD5140"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nil"/>
              <w:right w:val="single" w:sz="8" w:space="0" w:color="auto"/>
            </w:tcBorders>
            <w:shd w:val="clear" w:color="auto" w:fill="auto"/>
            <w:noWrap/>
            <w:vAlign w:val="bottom"/>
            <w:hideMark/>
          </w:tcPr>
          <w:p w14:paraId="1BB2E343"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41331FB6" w14:textId="77777777" w:rsidTr="004D30AC">
        <w:trPr>
          <w:trHeight w:val="285"/>
        </w:trPr>
        <w:tc>
          <w:tcPr>
            <w:tcW w:w="2420" w:type="dxa"/>
            <w:tcBorders>
              <w:top w:val="nil"/>
              <w:left w:val="single" w:sz="8" w:space="0" w:color="000000"/>
              <w:bottom w:val="single" w:sz="8" w:space="0" w:color="000000"/>
              <w:right w:val="single" w:sz="4" w:space="0" w:color="auto"/>
            </w:tcBorders>
            <w:shd w:val="clear" w:color="D8D8D8" w:fill="D8D8D8"/>
            <w:vAlign w:val="bottom"/>
            <w:hideMark/>
          </w:tcPr>
          <w:p w14:paraId="025F726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4335</w:t>
            </w:r>
            <w:r w:rsidRPr="00F23B03">
              <w:rPr>
                <w:rFonts w:ascii="Calibri" w:eastAsia="Times New Roman" w:hAnsi="Calibri" w:cs="Calibri"/>
                <w:color w:val="000000"/>
                <w:sz w:val="22"/>
                <w:szCs w:val="22"/>
                <w:lang w:eastAsia="en-US"/>
              </w:rPr>
              <w:t xml:space="preserve"> - Fall Results</w:t>
            </w:r>
          </w:p>
        </w:tc>
        <w:tc>
          <w:tcPr>
            <w:tcW w:w="1000" w:type="dxa"/>
            <w:tcBorders>
              <w:top w:val="nil"/>
              <w:left w:val="nil"/>
              <w:bottom w:val="single" w:sz="8" w:space="0" w:color="000000"/>
              <w:right w:val="single" w:sz="4" w:space="0" w:color="auto"/>
            </w:tcBorders>
            <w:shd w:val="clear" w:color="D8D8D8" w:fill="D8D8D8"/>
            <w:noWrap/>
            <w:vAlign w:val="bottom"/>
            <w:hideMark/>
          </w:tcPr>
          <w:p w14:paraId="22B4280B"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25</w:t>
            </w:r>
          </w:p>
        </w:tc>
        <w:tc>
          <w:tcPr>
            <w:tcW w:w="1240" w:type="dxa"/>
            <w:tcBorders>
              <w:top w:val="nil"/>
              <w:left w:val="nil"/>
              <w:bottom w:val="single" w:sz="8" w:space="0" w:color="000000"/>
              <w:right w:val="single" w:sz="4" w:space="0" w:color="auto"/>
            </w:tcBorders>
            <w:shd w:val="clear" w:color="D8D8D8" w:fill="D8D8D8"/>
            <w:noWrap/>
            <w:vAlign w:val="bottom"/>
            <w:hideMark/>
          </w:tcPr>
          <w:p w14:paraId="7470ECEF"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24.00%</w:t>
            </w:r>
          </w:p>
        </w:tc>
        <w:tc>
          <w:tcPr>
            <w:tcW w:w="1240" w:type="dxa"/>
            <w:tcBorders>
              <w:top w:val="nil"/>
              <w:left w:val="nil"/>
              <w:bottom w:val="single" w:sz="8" w:space="0" w:color="000000"/>
              <w:right w:val="single" w:sz="4" w:space="0" w:color="auto"/>
            </w:tcBorders>
            <w:shd w:val="clear" w:color="D8D8D8" w:fill="D8D8D8"/>
            <w:noWrap/>
            <w:vAlign w:val="bottom"/>
            <w:hideMark/>
          </w:tcPr>
          <w:p w14:paraId="2B3E93D9"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44.00%</w:t>
            </w:r>
          </w:p>
        </w:tc>
        <w:tc>
          <w:tcPr>
            <w:tcW w:w="1240" w:type="dxa"/>
            <w:tcBorders>
              <w:top w:val="nil"/>
              <w:left w:val="nil"/>
              <w:bottom w:val="single" w:sz="8" w:space="0" w:color="000000"/>
              <w:right w:val="single" w:sz="4" w:space="0" w:color="auto"/>
            </w:tcBorders>
            <w:shd w:val="clear" w:color="D8D8D8" w:fill="D8D8D8"/>
            <w:noWrap/>
            <w:vAlign w:val="bottom"/>
            <w:hideMark/>
          </w:tcPr>
          <w:p w14:paraId="1ABAAB99"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32.00%</w:t>
            </w:r>
          </w:p>
        </w:tc>
        <w:tc>
          <w:tcPr>
            <w:tcW w:w="1240" w:type="dxa"/>
            <w:tcBorders>
              <w:top w:val="nil"/>
              <w:left w:val="nil"/>
              <w:bottom w:val="single" w:sz="8" w:space="0" w:color="000000"/>
              <w:right w:val="nil"/>
            </w:tcBorders>
            <w:shd w:val="clear" w:color="D8D8D8" w:fill="D8D8D8"/>
            <w:noWrap/>
            <w:vAlign w:val="bottom"/>
            <w:hideMark/>
          </w:tcPr>
          <w:p w14:paraId="0655D62A"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76.00%</w:t>
            </w:r>
          </w:p>
        </w:tc>
        <w:tc>
          <w:tcPr>
            <w:tcW w:w="860" w:type="dxa"/>
            <w:tcBorders>
              <w:top w:val="nil"/>
              <w:left w:val="single" w:sz="8" w:space="0" w:color="auto"/>
              <w:bottom w:val="single" w:sz="8" w:space="0" w:color="auto"/>
              <w:right w:val="single" w:sz="8" w:space="0" w:color="auto"/>
            </w:tcBorders>
            <w:shd w:val="clear" w:color="000000" w:fill="D9D9D9"/>
            <w:noWrap/>
            <w:vAlign w:val="bottom"/>
            <w:hideMark/>
          </w:tcPr>
          <w:p w14:paraId="2605CAF9"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94.00%</w:t>
            </w:r>
          </w:p>
        </w:tc>
        <w:tc>
          <w:tcPr>
            <w:tcW w:w="860" w:type="dxa"/>
            <w:tcBorders>
              <w:top w:val="nil"/>
              <w:left w:val="nil"/>
              <w:bottom w:val="single" w:sz="8" w:space="0" w:color="000000"/>
              <w:right w:val="single" w:sz="8" w:space="0" w:color="auto"/>
            </w:tcBorders>
            <w:shd w:val="clear" w:color="DADADA" w:fill="DADADA"/>
            <w:noWrap/>
            <w:vAlign w:val="bottom"/>
            <w:hideMark/>
          </w:tcPr>
          <w:p w14:paraId="47487166"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88.24%</w:t>
            </w:r>
          </w:p>
        </w:tc>
      </w:tr>
      <w:tr w:rsidR="00981F10" w:rsidRPr="00F23B03" w14:paraId="0CF592B3" w14:textId="77777777" w:rsidTr="004D30AC">
        <w:trPr>
          <w:trHeight w:val="285"/>
        </w:trPr>
        <w:tc>
          <w:tcPr>
            <w:tcW w:w="2420" w:type="dxa"/>
            <w:tcBorders>
              <w:top w:val="nil"/>
              <w:left w:val="single" w:sz="8" w:space="0" w:color="000000"/>
              <w:bottom w:val="nil"/>
              <w:right w:val="single" w:sz="4" w:space="0" w:color="auto"/>
            </w:tcBorders>
            <w:shd w:val="clear" w:color="auto" w:fill="auto"/>
            <w:vAlign w:val="bottom"/>
            <w:hideMark/>
          </w:tcPr>
          <w:p w14:paraId="615451C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nil"/>
              <w:right w:val="single" w:sz="4" w:space="0" w:color="auto"/>
            </w:tcBorders>
            <w:shd w:val="clear" w:color="auto" w:fill="auto"/>
            <w:noWrap/>
            <w:vAlign w:val="bottom"/>
            <w:hideMark/>
          </w:tcPr>
          <w:p w14:paraId="7AD2E04A"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06F3674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42CDD3F4"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single" w:sz="4" w:space="0" w:color="auto"/>
            </w:tcBorders>
            <w:shd w:val="clear" w:color="auto" w:fill="auto"/>
            <w:noWrap/>
            <w:vAlign w:val="bottom"/>
            <w:hideMark/>
          </w:tcPr>
          <w:p w14:paraId="6D49043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nil"/>
              <w:right w:val="nil"/>
            </w:tcBorders>
            <w:shd w:val="clear" w:color="auto" w:fill="auto"/>
            <w:noWrap/>
            <w:vAlign w:val="bottom"/>
            <w:hideMark/>
          </w:tcPr>
          <w:p w14:paraId="2533A440" w14:textId="77777777" w:rsidR="00981F10" w:rsidRPr="00F23B03" w:rsidRDefault="00981F10" w:rsidP="004D30AC">
            <w:pPr>
              <w:rPr>
                <w:rFonts w:ascii="Calibri" w:eastAsia="Times New Roman" w:hAnsi="Calibri" w:cs="Calibri"/>
                <w:color w:val="000000"/>
                <w:sz w:val="22"/>
                <w:szCs w:val="22"/>
                <w:lang w:eastAsia="en-US"/>
              </w:rPr>
            </w:pPr>
          </w:p>
        </w:tc>
        <w:tc>
          <w:tcPr>
            <w:tcW w:w="860" w:type="dxa"/>
            <w:tcBorders>
              <w:top w:val="nil"/>
              <w:left w:val="single" w:sz="8" w:space="0" w:color="auto"/>
              <w:bottom w:val="nil"/>
              <w:right w:val="single" w:sz="8" w:space="0" w:color="auto"/>
            </w:tcBorders>
            <w:shd w:val="clear" w:color="auto" w:fill="auto"/>
            <w:noWrap/>
            <w:vAlign w:val="bottom"/>
            <w:hideMark/>
          </w:tcPr>
          <w:p w14:paraId="4930DEE0"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nil"/>
              <w:right w:val="single" w:sz="8" w:space="0" w:color="auto"/>
            </w:tcBorders>
            <w:shd w:val="clear" w:color="auto" w:fill="auto"/>
            <w:noWrap/>
            <w:vAlign w:val="bottom"/>
            <w:hideMark/>
          </w:tcPr>
          <w:p w14:paraId="72E316FB"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74DF8ADE" w14:textId="77777777" w:rsidTr="004D30AC">
        <w:trPr>
          <w:trHeight w:val="285"/>
        </w:trPr>
        <w:tc>
          <w:tcPr>
            <w:tcW w:w="2420" w:type="dxa"/>
            <w:tcBorders>
              <w:top w:val="single" w:sz="8" w:space="0" w:color="auto"/>
              <w:left w:val="single" w:sz="8" w:space="0" w:color="auto"/>
              <w:bottom w:val="nil"/>
              <w:right w:val="single" w:sz="4" w:space="0" w:color="auto"/>
            </w:tcBorders>
            <w:shd w:val="clear" w:color="D8D8D8" w:fill="D8D8D8"/>
            <w:vAlign w:val="bottom"/>
            <w:hideMark/>
          </w:tcPr>
          <w:p w14:paraId="440985B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4335</w:t>
            </w:r>
            <w:r w:rsidRPr="00F23B03">
              <w:rPr>
                <w:rFonts w:ascii="Calibri" w:eastAsia="Times New Roman" w:hAnsi="Calibri" w:cs="Calibri"/>
                <w:color w:val="000000"/>
                <w:sz w:val="22"/>
                <w:szCs w:val="22"/>
                <w:lang w:eastAsia="en-US"/>
              </w:rPr>
              <w:t xml:space="preserve"> - Spring Results</w:t>
            </w:r>
          </w:p>
        </w:tc>
        <w:tc>
          <w:tcPr>
            <w:tcW w:w="1000" w:type="dxa"/>
            <w:tcBorders>
              <w:top w:val="single" w:sz="8" w:space="0" w:color="auto"/>
              <w:left w:val="nil"/>
              <w:bottom w:val="nil"/>
              <w:right w:val="single" w:sz="4" w:space="0" w:color="auto"/>
            </w:tcBorders>
            <w:shd w:val="clear" w:color="D8D8D8" w:fill="D8D8D8"/>
            <w:noWrap/>
            <w:vAlign w:val="bottom"/>
            <w:hideMark/>
          </w:tcPr>
          <w:p w14:paraId="3C5B8929"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28</w:t>
            </w:r>
          </w:p>
        </w:tc>
        <w:tc>
          <w:tcPr>
            <w:tcW w:w="1240" w:type="dxa"/>
            <w:tcBorders>
              <w:top w:val="single" w:sz="8" w:space="0" w:color="auto"/>
              <w:left w:val="nil"/>
              <w:bottom w:val="nil"/>
              <w:right w:val="single" w:sz="4" w:space="0" w:color="auto"/>
            </w:tcBorders>
            <w:shd w:val="clear" w:color="D8D8D8" w:fill="D8D8D8"/>
            <w:noWrap/>
            <w:vAlign w:val="bottom"/>
            <w:hideMark/>
          </w:tcPr>
          <w:p w14:paraId="1EA9AEE8"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3.57%</w:t>
            </w:r>
          </w:p>
        </w:tc>
        <w:tc>
          <w:tcPr>
            <w:tcW w:w="1240" w:type="dxa"/>
            <w:tcBorders>
              <w:top w:val="single" w:sz="8" w:space="0" w:color="auto"/>
              <w:left w:val="nil"/>
              <w:bottom w:val="nil"/>
              <w:right w:val="single" w:sz="4" w:space="0" w:color="auto"/>
            </w:tcBorders>
            <w:shd w:val="clear" w:color="D8D8D8" w:fill="D8D8D8"/>
            <w:noWrap/>
            <w:vAlign w:val="bottom"/>
            <w:hideMark/>
          </w:tcPr>
          <w:p w14:paraId="6EA7B8EB"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46.43%</w:t>
            </w:r>
          </w:p>
        </w:tc>
        <w:tc>
          <w:tcPr>
            <w:tcW w:w="1240" w:type="dxa"/>
            <w:tcBorders>
              <w:top w:val="single" w:sz="8" w:space="0" w:color="auto"/>
              <w:left w:val="nil"/>
              <w:bottom w:val="nil"/>
              <w:right w:val="single" w:sz="4" w:space="0" w:color="auto"/>
            </w:tcBorders>
            <w:shd w:val="clear" w:color="D8D8D8" w:fill="D8D8D8"/>
            <w:noWrap/>
            <w:vAlign w:val="bottom"/>
            <w:hideMark/>
          </w:tcPr>
          <w:p w14:paraId="336E09E1"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50.00%</w:t>
            </w:r>
          </w:p>
        </w:tc>
        <w:tc>
          <w:tcPr>
            <w:tcW w:w="1240" w:type="dxa"/>
            <w:tcBorders>
              <w:top w:val="single" w:sz="8" w:space="0" w:color="auto"/>
              <w:left w:val="nil"/>
              <w:bottom w:val="nil"/>
              <w:right w:val="nil"/>
            </w:tcBorders>
            <w:shd w:val="clear" w:color="D8D8D8" w:fill="D8D8D8"/>
            <w:noWrap/>
            <w:vAlign w:val="bottom"/>
            <w:hideMark/>
          </w:tcPr>
          <w:p w14:paraId="1F7DD5FB" w14:textId="77777777" w:rsidR="00981F10" w:rsidRPr="00F23B03" w:rsidRDefault="00981F10" w:rsidP="004D30AC">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96.43%</w:t>
            </w:r>
          </w:p>
        </w:tc>
        <w:tc>
          <w:tcPr>
            <w:tcW w:w="860" w:type="dxa"/>
            <w:tcBorders>
              <w:top w:val="single" w:sz="8" w:space="0" w:color="auto"/>
              <w:left w:val="single" w:sz="8" w:space="0" w:color="auto"/>
              <w:bottom w:val="nil"/>
              <w:right w:val="single" w:sz="8" w:space="0" w:color="auto"/>
            </w:tcBorders>
            <w:shd w:val="clear" w:color="000000" w:fill="D9D9D9"/>
            <w:noWrap/>
            <w:vAlign w:val="bottom"/>
            <w:hideMark/>
          </w:tcPr>
          <w:p w14:paraId="3986BE79"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single" w:sz="8" w:space="0" w:color="auto"/>
              <w:left w:val="nil"/>
              <w:bottom w:val="nil"/>
              <w:right w:val="single" w:sz="8" w:space="0" w:color="auto"/>
            </w:tcBorders>
            <w:shd w:val="clear" w:color="DADADA" w:fill="DADADA"/>
            <w:noWrap/>
            <w:vAlign w:val="bottom"/>
            <w:hideMark/>
          </w:tcPr>
          <w:p w14:paraId="0145FBF5"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3C07401C" w14:textId="77777777" w:rsidTr="004D30AC">
        <w:trPr>
          <w:trHeight w:val="285"/>
        </w:trPr>
        <w:tc>
          <w:tcPr>
            <w:tcW w:w="2420" w:type="dxa"/>
            <w:tcBorders>
              <w:top w:val="nil"/>
              <w:left w:val="single" w:sz="8" w:space="0" w:color="auto"/>
              <w:bottom w:val="single" w:sz="8" w:space="0" w:color="auto"/>
              <w:right w:val="single" w:sz="4" w:space="0" w:color="auto"/>
            </w:tcBorders>
            <w:shd w:val="clear" w:color="auto" w:fill="auto"/>
            <w:vAlign w:val="bottom"/>
            <w:hideMark/>
          </w:tcPr>
          <w:p w14:paraId="3EDF4E93"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00" w:type="dxa"/>
            <w:tcBorders>
              <w:top w:val="nil"/>
              <w:left w:val="nil"/>
              <w:bottom w:val="single" w:sz="8" w:space="0" w:color="auto"/>
              <w:right w:val="single" w:sz="4" w:space="0" w:color="auto"/>
            </w:tcBorders>
            <w:shd w:val="clear" w:color="auto" w:fill="auto"/>
            <w:noWrap/>
            <w:vAlign w:val="bottom"/>
            <w:hideMark/>
          </w:tcPr>
          <w:p w14:paraId="17D64063"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1170C76C"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2E9F2937"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single" w:sz="4" w:space="0" w:color="auto"/>
            </w:tcBorders>
            <w:shd w:val="clear" w:color="auto" w:fill="auto"/>
            <w:noWrap/>
            <w:vAlign w:val="bottom"/>
            <w:hideMark/>
          </w:tcPr>
          <w:p w14:paraId="2AFCF88D"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40" w:type="dxa"/>
            <w:tcBorders>
              <w:top w:val="nil"/>
              <w:left w:val="nil"/>
              <w:bottom w:val="single" w:sz="8" w:space="0" w:color="auto"/>
              <w:right w:val="nil"/>
            </w:tcBorders>
            <w:shd w:val="clear" w:color="auto" w:fill="auto"/>
            <w:noWrap/>
            <w:vAlign w:val="bottom"/>
            <w:hideMark/>
          </w:tcPr>
          <w:p w14:paraId="45D7FD55"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14:paraId="0A1E83FE"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860" w:type="dxa"/>
            <w:tcBorders>
              <w:top w:val="nil"/>
              <w:left w:val="nil"/>
              <w:bottom w:val="single" w:sz="8" w:space="0" w:color="auto"/>
              <w:right w:val="single" w:sz="8" w:space="0" w:color="auto"/>
            </w:tcBorders>
            <w:shd w:val="clear" w:color="auto" w:fill="auto"/>
            <w:noWrap/>
            <w:vAlign w:val="bottom"/>
            <w:hideMark/>
          </w:tcPr>
          <w:p w14:paraId="4FBA6025" w14:textId="77777777" w:rsidR="00981F10" w:rsidRPr="00F23B03" w:rsidRDefault="00981F10" w:rsidP="004D30AC">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bl>
    <w:p w14:paraId="7D3355C0" w14:textId="77777777" w:rsidR="00981F10" w:rsidRDefault="00981F10" w:rsidP="00981F10"/>
    <w:p w14:paraId="370C5D29" w14:textId="705EC422" w:rsidR="00981F10" w:rsidRDefault="00981F10"/>
    <w:p w14:paraId="7E974F2C" w14:textId="0DC550E2" w:rsidR="00981F10" w:rsidRDefault="00981F10"/>
    <w:p w14:paraId="65BCB85B" w14:textId="52C9CA04" w:rsidR="00981F10" w:rsidRDefault="00981F10">
      <w:r>
        <w:br w:type="page"/>
      </w:r>
    </w:p>
    <w:p w14:paraId="5ED03903" w14:textId="75281136" w:rsidR="00244607" w:rsidRDefault="00244607"/>
    <w:tbl>
      <w:tblPr>
        <w:tblW w:w="9360" w:type="dxa"/>
        <w:tblLook w:val="04A0" w:firstRow="1" w:lastRow="0" w:firstColumn="1" w:lastColumn="0" w:noHBand="0" w:noVBand="1"/>
      </w:tblPr>
      <w:tblGrid>
        <w:gridCol w:w="2090"/>
        <w:gridCol w:w="1238"/>
        <w:gridCol w:w="1032"/>
        <w:gridCol w:w="1154"/>
        <w:gridCol w:w="1214"/>
        <w:gridCol w:w="1154"/>
        <w:gridCol w:w="764"/>
        <w:gridCol w:w="714"/>
      </w:tblGrid>
      <w:tr w:rsidR="00F23B03" w:rsidRPr="00F23B03" w14:paraId="050C7ACD" w14:textId="77777777" w:rsidTr="00981F10">
        <w:trPr>
          <w:trHeight w:val="300"/>
        </w:trPr>
        <w:tc>
          <w:tcPr>
            <w:tcW w:w="9360" w:type="dxa"/>
            <w:gridSpan w:val="8"/>
            <w:tcBorders>
              <w:top w:val="nil"/>
              <w:left w:val="nil"/>
              <w:bottom w:val="nil"/>
              <w:right w:val="nil"/>
            </w:tcBorders>
            <w:shd w:val="clear" w:color="auto" w:fill="auto"/>
            <w:noWrap/>
            <w:vAlign w:val="bottom"/>
            <w:hideMark/>
          </w:tcPr>
          <w:p w14:paraId="239422EC" w14:textId="77777777" w:rsidR="00F23B03" w:rsidRPr="00F23B03" w:rsidRDefault="00F23B03" w:rsidP="00F23B03">
            <w:pPr>
              <w:jc w:val="center"/>
              <w:rPr>
                <w:rFonts w:ascii="Calibri" w:eastAsia="Times New Roman" w:hAnsi="Calibri" w:cs="Calibri"/>
                <w:b/>
                <w:bCs/>
                <w:color w:val="000000"/>
                <w:sz w:val="32"/>
                <w:szCs w:val="32"/>
                <w:lang w:eastAsia="en-US"/>
              </w:rPr>
            </w:pPr>
            <w:r w:rsidRPr="00F23B03">
              <w:rPr>
                <w:rFonts w:ascii="Calibri" w:eastAsia="Times New Roman" w:hAnsi="Calibri" w:cs="Calibri"/>
                <w:b/>
                <w:bCs/>
                <w:color w:val="000000"/>
                <w:sz w:val="32"/>
                <w:szCs w:val="32"/>
                <w:lang w:eastAsia="en-US"/>
              </w:rPr>
              <w:t>Results for Goal 6 by Term and Format</w:t>
            </w:r>
          </w:p>
        </w:tc>
      </w:tr>
      <w:tr w:rsidR="00981F10" w:rsidRPr="00F23B03" w14:paraId="313EE0EE" w14:textId="77777777" w:rsidTr="00981F10">
        <w:trPr>
          <w:trHeight w:val="216"/>
        </w:trPr>
        <w:tc>
          <w:tcPr>
            <w:tcW w:w="2090" w:type="dxa"/>
            <w:tcBorders>
              <w:top w:val="nil"/>
              <w:left w:val="nil"/>
              <w:bottom w:val="nil"/>
              <w:right w:val="nil"/>
            </w:tcBorders>
            <w:shd w:val="clear" w:color="auto" w:fill="auto"/>
            <w:noWrap/>
            <w:vAlign w:val="bottom"/>
            <w:hideMark/>
          </w:tcPr>
          <w:p w14:paraId="4ACFAD64" w14:textId="77777777" w:rsidR="00F23B03" w:rsidRPr="00F23B03" w:rsidRDefault="00F23B03" w:rsidP="00F23B03">
            <w:pPr>
              <w:jc w:val="center"/>
              <w:rPr>
                <w:rFonts w:ascii="Calibri" w:eastAsia="Times New Roman" w:hAnsi="Calibri" w:cs="Calibri"/>
                <w:b/>
                <w:bCs/>
                <w:color w:val="000000"/>
                <w:sz w:val="32"/>
                <w:szCs w:val="32"/>
                <w:lang w:eastAsia="en-US"/>
              </w:rPr>
            </w:pPr>
          </w:p>
        </w:tc>
        <w:tc>
          <w:tcPr>
            <w:tcW w:w="1238" w:type="dxa"/>
            <w:tcBorders>
              <w:top w:val="nil"/>
              <w:left w:val="nil"/>
              <w:bottom w:val="nil"/>
              <w:right w:val="nil"/>
            </w:tcBorders>
            <w:shd w:val="clear" w:color="auto" w:fill="auto"/>
            <w:noWrap/>
            <w:vAlign w:val="bottom"/>
            <w:hideMark/>
          </w:tcPr>
          <w:p w14:paraId="1C3BA188" w14:textId="77777777" w:rsidR="00F23B03" w:rsidRPr="00F23B03" w:rsidRDefault="00F23B03" w:rsidP="00F23B03">
            <w:pPr>
              <w:jc w:val="cente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36B0ADD5" w14:textId="77777777" w:rsidR="00F23B03" w:rsidRPr="00F23B03" w:rsidRDefault="00F23B03" w:rsidP="00F23B03">
            <w:pPr>
              <w:jc w:val="cente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33098C89" w14:textId="77777777" w:rsidR="00F23B03" w:rsidRPr="00F23B03" w:rsidRDefault="00F23B03" w:rsidP="00F23B03">
            <w:pPr>
              <w:jc w:val="cente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10613A8A" w14:textId="77777777" w:rsidR="00F23B03" w:rsidRPr="00F23B03" w:rsidRDefault="00F23B03" w:rsidP="00F23B03">
            <w:pPr>
              <w:jc w:val="cente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7D0F80A5" w14:textId="77777777" w:rsidR="00F23B03" w:rsidRPr="00F23B03" w:rsidRDefault="00F23B03" w:rsidP="00F23B03">
            <w:pPr>
              <w:jc w:val="cente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56C722D7" w14:textId="77777777" w:rsidR="00F23B03" w:rsidRPr="00F23B03" w:rsidRDefault="00F23B03" w:rsidP="00F23B03">
            <w:pPr>
              <w:jc w:val="cente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30907756" w14:textId="77777777" w:rsidR="00F23B03" w:rsidRPr="00F23B03" w:rsidRDefault="00F23B03" w:rsidP="00F23B03">
            <w:pPr>
              <w:rPr>
                <w:rFonts w:eastAsia="Times New Roman"/>
                <w:sz w:val="20"/>
                <w:szCs w:val="20"/>
                <w:lang w:eastAsia="en-US"/>
              </w:rPr>
            </w:pPr>
          </w:p>
        </w:tc>
      </w:tr>
      <w:tr w:rsidR="00981F10" w:rsidRPr="00F23B03" w14:paraId="47C4CEC4" w14:textId="77777777" w:rsidTr="00981F10">
        <w:trPr>
          <w:trHeight w:val="360"/>
        </w:trPr>
        <w:tc>
          <w:tcPr>
            <w:tcW w:w="2090" w:type="dxa"/>
            <w:tcBorders>
              <w:top w:val="nil"/>
              <w:left w:val="nil"/>
              <w:bottom w:val="nil"/>
              <w:right w:val="nil"/>
            </w:tcBorders>
            <w:shd w:val="clear" w:color="auto" w:fill="auto"/>
            <w:vAlign w:val="bottom"/>
            <w:hideMark/>
          </w:tcPr>
          <w:p w14:paraId="5447D743" w14:textId="77777777" w:rsidR="00F23B03" w:rsidRPr="00F23B03" w:rsidRDefault="00F23B03" w:rsidP="00F23B03">
            <w:pPr>
              <w:rPr>
                <w:rFonts w:ascii="Calibri" w:eastAsia="Times New Roman" w:hAnsi="Calibri" w:cs="Calibri"/>
                <w:b/>
                <w:bCs/>
                <w:color w:val="000000"/>
                <w:sz w:val="28"/>
                <w:szCs w:val="28"/>
                <w:lang w:eastAsia="en-US"/>
              </w:rPr>
            </w:pPr>
            <w:r w:rsidRPr="00F23B03">
              <w:rPr>
                <w:rFonts w:ascii="Calibri" w:eastAsia="Times New Roman" w:hAnsi="Calibri" w:cs="Calibri"/>
                <w:b/>
                <w:bCs/>
                <w:color w:val="000000"/>
                <w:sz w:val="28"/>
                <w:szCs w:val="28"/>
                <w:lang w:eastAsia="en-US"/>
              </w:rPr>
              <w:t>Face to Face</w:t>
            </w:r>
          </w:p>
        </w:tc>
        <w:tc>
          <w:tcPr>
            <w:tcW w:w="1238" w:type="dxa"/>
            <w:tcBorders>
              <w:top w:val="nil"/>
              <w:left w:val="nil"/>
              <w:bottom w:val="nil"/>
              <w:right w:val="nil"/>
            </w:tcBorders>
            <w:shd w:val="clear" w:color="auto" w:fill="auto"/>
            <w:noWrap/>
            <w:vAlign w:val="bottom"/>
            <w:hideMark/>
          </w:tcPr>
          <w:p w14:paraId="631A0625" w14:textId="77777777" w:rsidR="00F23B03" w:rsidRPr="00F23B03" w:rsidRDefault="00F23B03" w:rsidP="00F23B03">
            <w:pPr>
              <w:rPr>
                <w:rFonts w:ascii="Calibri" w:eastAsia="Times New Roman" w:hAnsi="Calibri" w:cs="Calibri"/>
                <w:b/>
                <w:bCs/>
                <w:color w:val="000000"/>
                <w:sz w:val="28"/>
                <w:szCs w:val="28"/>
                <w:lang w:eastAsia="en-US"/>
              </w:rPr>
            </w:pPr>
          </w:p>
        </w:tc>
        <w:tc>
          <w:tcPr>
            <w:tcW w:w="1032" w:type="dxa"/>
            <w:tcBorders>
              <w:top w:val="nil"/>
              <w:left w:val="nil"/>
              <w:bottom w:val="nil"/>
              <w:right w:val="nil"/>
            </w:tcBorders>
            <w:shd w:val="clear" w:color="auto" w:fill="auto"/>
            <w:noWrap/>
            <w:vAlign w:val="bottom"/>
            <w:hideMark/>
          </w:tcPr>
          <w:p w14:paraId="786AAD5A"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2F8955D3"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42AE4A82"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336D2250"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7CCA1CAB"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70BAC281" w14:textId="77777777" w:rsidR="00F23B03" w:rsidRPr="00F23B03" w:rsidRDefault="00F23B03" w:rsidP="00F23B03">
            <w:pPr>
              <w:rPr>
                <w:rFonts w:eastAsia="Times New Roman"/>
                <w:sz w:val="20"/>
                <w:szCs w:val="20"/>
                <w:lang w:eastAsia="en-US"/>
              </w:rPr>
            </w:pPr>
          </w:p>
        </w:tc>
      </w:tr>
      <w:tr w:rsidR="00981F10" w:rsidRPr="00F23B03" w14:paraId="18923BE0" w14:textId="77777777" w:rsidTr="00981F10">
        <w:trPr>
          <w:trHeight w:val="285"/>
        </w:trPr>
        <w:tc>
          <w:tcPr>
            <w:tcW w:w="2090" w:type="dxa"/>
            <w:tcBorders>
              <w:top w:val="single" w:sz="8" w:space="0" w:color="auto"/>
              <w:left w:val="single" w:sz="8" w:space="0" w:color="auto"/>
              <w:bottom w:val="nil"/>
              <w:right w:val="nil"/>
            </w:tcBorders>
            <w:shd w:val="clear" w:color="auto" w:fill="auto"/>
            <w:vAlign w:val="bottom"/>
            <w:hideMark/>
          </w:tcPr>
          <w:p w14:paraId="643D1170"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Fall Results</w:t>
            </w:r>
          </w:p>
        </w:tc>
        <w:tc>
          <w:tcPr>
            <w:tcW w:w="1238" w:type="dxa"/>
            <w:tcBorders>
              <w:top w:val="single" w:sz="8" w:space="0" w:color="auto"/>
              <w:left w:val="single" w:sz="4" w:space="0" w:color="auto"/>
              <w:bottom w:val="nil"/>
              <w:right w:val="single" w:sz="4" w:space="0" w:color="auto"/>
            </w:tcBorders>
            <w:shd w:val="clear" w:color="auto" w:fill="auto"/>
            <w:vAlign w:val="bottom"/>
            <w:hideMark/>
          </w:tcPr>
          <w:p w14:paraId="15D2E688"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single" w:sz="8" w:space="0" w:color="auto"/>
              <w:left w:val="nil"/>
              <w:bottom w:val="nil"/>
              <w:right w:val="single" w:sz="4" w:space="0" w:color="auto"/>
            </w:tcBorders>
            <w:shd w:val="clear" w:color="auto" w:fill="auto"/>
            <w:vAlign w:val="bottom"/>
            <w:hideMark/>
          </w:tcPr>
          <w:p w14:paraId="56E2B80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nil"/>
              <w:bottom w:val="nil"/>
              <w:right w:val="nil"/>
            </w:tcBorders>
            <w:shd w:val="clear" w:color="auto" w:fill="auto"/>
            <w:vAlign w:val="bottom"/>
            <w:hideMark/>
          </w:tcPr>
          <w:p w14:paraId="52BA254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single" w:sz="8" w:space="0" w:color="auto"/>
              <w:left w:val="single" w:sz="4" w:space="0" w:color="auto"/>
              <w:bottom w:val="nil"/>
              <w:right w:val="nil"/>
            </w:tcBorders>
            <w:shd w:val="clear" w:color="auto" w:fill="auto"/>
            <w:vAlign w:val="bottom"/>
            <w:hideMark/>
          </w:tcPr>
          <w:p w14:paraId="4A35EF7C"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single" w:sz="4" w:space="0" w:color="auto"/>
              <w:bottom w:val="nil"/>
              <w:right w:val="single" w:sz="8" w:space="0" w:color="000000"/>
            </w:tcBorders>
            <w:shd w:val="clear" w:color="auto" w:fill="auto"/>
            <w:vAlign w:val="bottom"/>
            <w:hideMark/>
          </w:tcPr>
          <w:p w14:paraId="1231533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single" w:sz="8" w:space="0" w:color="auto"/>
              <w:left w:val="nil"/>
              <w:bottom w:val="nil"/>
              <w:right w:val="single" w:sz="4" w:space="0" w:color="auto"/>
            </w:tcBorders>
            <w:shd w:val="clear" w:color="auto" w:fill="auto"/>
            <w:vAlign w:val="bottom"/>
            <w:hideMark/>
          </w:tcPr>
          <w:p w14:paraId="09517544"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single" w:sz="8" w:space="0" w:color="auto"/>
              <w:left w:val="nil"/>
              <w:bottom w:val="nil"/>
              <w:right w:val="single" w:sz="8" w:space="0" w:color="auto"/>
            </w:tcBorders>
            <w:shd w:val="clear" w:color="auto" w:fill="auto"/>
            <w:vAlign w:val="bottom"/>
            <w:hideMark/>
          </w:tcPr>
          <w:p w14:paraId="150C6BDA"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58ED6640" w14:textId="77777777" w:rsidTr="00981F10">
        <w:trPr>
          <w:trHeight w:val="912"/>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3D0FC443"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Course and Evaluation Method</w:t>
            </w:r>
          </w:p>
        </w:tc>
        <w:tc>
          <w:tcPr>
            <w:tcW w:w="1238" w:type="dxa"/>
            <w:tcBorders>
              <w:top w:val="nil"/>
              <w:left w:val="nil"/>
              <w:bottom w:val="single" w:sz="8" w:space="0" w:color="auto"/>
              <w:right w:val="single" w:sz="4" w:space="0" w:color="000000"/>
            </w:tcBorders>
            <w:shd w:val="clear" w:color="auto" w:fill="auto"/>
            <w:vAlign w:val="bottom"/>
            <w:hideMark/>
          </w:tcPr>
          <w:p w14:paraId="20E9078C"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Students Evaluated</w:t>
            </w:r>
          </w:p>
        </w:tc>
        <w:tc>
          <w:tcPr>
            <w:tcW w:w="1032" w:type="dxa"/>
            <w:tcBorders>
              <w:top w:val="nil"/>
              <w:left w:val="nil"/>
              <w:bottom w:val="single" w:sz="8" w:space="0" w:color="auto"/>
              <w:right w:val="single" w:sz="4" w:space="0" w:color="000000"/>
            </w:tcBorders>
            <w:shd w:val="clear" w:color="auto" w:fill="auto"/>
            <w:vAlign w:val="bottom"/>
            <w:hideMark/>
          </w:tcPr>
          <w:p w14:paraId="26D34B18"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Failing to Meet</w:t>
            </w:r>
          </w:p>
        </w:tc>
        <w:tc>
          <w:tcPr>
            <w:tcW w:w="1154" w:type="dxa"/>
            <w:tcBorders>
              <w:top w:val="nil"/>
              <w:left w:val="nil"/>
              <w:bottom w:val="single" w:sz="8" w:space="0" w:color="auto"/>
              <w:right w:val="single" w:sz="4" w:space="0" w:color="000000"/>
            </w:tcBorders>
            <w:shd w:val="clear" w:color="auto" w:fill="auto"/>
            <w:vAlign w:val="bottom"/>
            <w:hideMark/>
          </w:tcPr>
          <w:p w14:paraId="12F4AB44"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Meeting</w:t>
            </w:r>
          </w:p>
        </w:tc>
        <w:tc>
          <w:tcPr>
            <w:tcW w:w="1214" w:type="dxa"/>
            <w:tcBorders>
              <w:top w:val="nil"/>
              <w:left w:val="nil"/>
              <w:bottom w:val="single" w:sz="8" w:space="0" w:color="auto"/>
              <w:right w:val="single" w:sz="4" w:space="0" w:color="000000"/>
            </w:tcBorders>
            <w:shd w:val="clear" w:color="auto" w:fill="auto"/>
            <w:vAlign w:val="bottom"/>
            <w:hideMark/>
          </w:tcPr>
          <w:p w14:paraId="4F5B177C"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Exceeding</w:t>
            </w:r>
          </w:p>
        </w:tc>
        <w:tc>
          <w:tcPr>
            <w:tcW w:w="1154" w:type="dxa"/>
            <w:tcBorders>
              <w:top w:val="nil"/>
              <w:left w:val="nil"/>
              <w:bottom w:val="single" w:sz="8" w:space="0" w:color="auto"/>
              <w:right w:val="single" w:sz="8" w:space="0" w:color="000000"/>
            </w:tcBorders>
            <w:shd w:val="clear" w:color="auto" w:fill="auto"/>
            <w:vAlign w:val="bottom"/>
            <w:hideMark/>
          </w:tcPr>
          <w:p w14:paraId="74A0CA55"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Meeting or Exceeding</w:t>
            </w:r>
          </w:p>
        </w:tc>
        <w:tc>
          <w:tcPr>
            <w:tcW w:w="764" w:type="dxa"/>
            <w:tcBorders>
              <w:top w:val="nil"/>
              <w:left w:val="nil"/>
              <w:bottom w:val="single" w:sz="8" w:space="0" w:color="auto"/>
              <w:right w:val="single" w:sz="4" w:space="0" w:color="auto"/>
            </w:tcBorders>
            <w:shd w:val="clear" w:color="auto" w:fill="auto"/>
            <w:vAlign w:val="bottom"/>
            <w:hideMark/>
          </w:tcPr>
          <w:p w14:paraId="577F1A5C"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2016-17</w:t>
            </w:r>
          </w:p>
        </w:tc>
        <w:tc>
          <w:tcPr>
            <w:tcW w:w="714" w:type="dxa"/>
            <w:tcBorders>
              <w:top w:val="nil"/>
              <w:left w:val="nil"/>
              <w:bottom w:val="single" w:sz="8" w:space="0" w:color="auto"/>
              <w:right w:val="single" w:sz="8" w:space="0" w:color="auto"/>
            </w:tcBorders>
            <w:shd w:val="clear" w:color="auto" w:fill="auto"/>
            <w:vAlign w:val="bottom"/>
            <w:hideMark/>
          </w:tcPr>
          <w:p w14:paraId="42232273"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2013-14</w:t>
            </w:r>
          </w:p>
        </w:tc>
      </w:tr>
      <w:tr w:rsidR="00981F10" w:rsidRPr="00F23B03" w14:paraId="0AB1104F" w14:textId="77777777" w:rsidTr="00981F10">
        <w:trPr>
          <w:trHeight w:val="285"/>
        </w:trPr>
        <w:tc>
          <w:tcPr>
            <w:tcW w:w="2090" w:type="dxa"/>
            <w:tcBorders>
              <w:top w:val="nil"/>
              <w:left w:val="single" w:sz="8" w:space="0" w:color="auto"/>
              <w:bottom w:val="nil"/>
              <w:right w:val="single" w:sz="4" w:space="0" w:color="000000"/>
            </w:tcBorders>
            <w:shd w:val="clear" w:color="auto" w:fill="auto"/>
            <w:vAlign w:val="bottom"/>
            <w:hideMark/>
          </w:tcPr>
          <w:p w14:paraId="2678823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nil"/>
              <w:left w:val="nil"/>
              <w:bottom w:val="nil"/>
              <w:right w:val="single" w:sz="4" w:space="0" w:color="000000"/>
            </w:tcBorders>
            <w:shd w:val="clear" w:color="auto" w:fill="auto"/>
            <w:noWrap/>
            <w:vAlign w:val="bottom"/>
            <w:hideMark/>
          </w:tcPr>
          <w:p w14:paraId="78292198"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nil"/>
              <w:right w:val="single" w:sz="4" w:space="0" w:color="000000"/>
            </w:tcBorders>
            <w:shd w:val="clear" w:color="auto" w:fill="auto"/>
            <w:noWrap/>
            <w:vAlign w:val="bottom"/>
            <w:hideMark/>
          </w:tcPr>
          <w:p w14:paraId="5CFAB05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4" w:space="0" w:color="000000"/>
            </w:tcBorders>
            <w:shd w:val="clear" w:color="auto" w:fill="auto"/>
            <w:noWrap/>
            <w:vAlign w:val="bottom"/>
            <w:hideMark/>
          </w:tcPr>
          <w:p w14:paraId="184BD7A5"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nil"/>
              <w:right w:val="single" w:sz="4" w:space="0" w:color="000000"/>
            </w:tcBorders>
            <w:shd w:val="clear" w:color="auto" w:fill="auto"/>
            <w:noWrap/>
            <w:vAlign w:val="bottom"/>
            <w:hideMark/>
          </w:tcPr>
          <w:p w14:paraId="309C86D8"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8" w:space="0" w:color="000000"/>
            </w:tcBorders>
            <w:shd w:val="clear" w:color="auto" w:fill="auto"/>
            <w:noWrap/>
            <w:vAlign w:val="bottom"/>
            <w:hideMark/>
          </w:tcPr>
          <w:p w14:paraId="7FEDE54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nil"/>
              <w:right w:val="single" w:sz="4" w:space="0" w:color="auto"/>
            </w:tcBorders>
            <w:shd w:val="clear" w:color="auto" w:fill="auto"/>
            <w:noWrap/>
            <w:vAlign w:val="bottom"/>
            <w:hideMark/>
          </w:tcPr>
          <w:p w14:paraId="6480F82E"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nil"/>
              <w:right w:val="single" w:sz="8" w:space="0" w:color="auto"/>
            </w:tcBorders>
            <w:shd w:val="clear" w:color="auto" w:fill="auto"/>
            <w:noWrap/>
            <w:vAlign w:val="bottom"/>
            <w:hideMark/>
          </w:tcPr>
          <w:p w14:paraId="42BDE96F" w14:textId="77777777" w:rsidR="00F23B03" w:rsidRPr="00F23B03" w:rsidRDefault="00F23B03" w:rsidP="00F23B03">
            <w:pPr>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 </w:t>
            </w:r>
          </w:p>
        </w:tc>
      </w:tr>
      <w:tr w:rsidR="00981F10" w:rsidRPr="00F23B03" w14:paraId="37B80F6B" w14:textId="77777777" w:rsidTr="00981F10">
        <w:trPr>
          <w:trHeight w:val="612"/>
        </w:trPr>
        <w:tc>
          <w:tcPr>
            <w:tcW w:w="2090" w:type="dxa"/>
            <w:tcBorders>
              <w:top w:val="nil"/>
              <w:left w:val="single" w:sz="8" w:space="0" w:color="auto"/>
              <w:bottom w:val="nil"/>
              <w:right w:val="single" w:sz="4" w:space="0" w:color="000000"/>
            </w:tcBorders>
            <w:shd w:val="clear" w:color="D8D8D8" w:fill="D8D8D8"/>
            <w:vAlign w:val="bottom"/>
            <w:hideMark/>
          </w:tcPr>
          <w:p w14:paraId="45CB570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ECO 2315</w:t>
            </w:r>
            <w:r w:rsidRPr="00F23B03">
              <w:rPr>
                <w:rFonts w:ascii="Calibri" w:eastAsia="Times New Roman" w:hAnsi="Calibri" w:cs="Calibri"/>
                <w:color w:val="000000"/>
                <w:sz w:val="22"/>
                <w:szCs w:val="22"/>
                <w:lang w:eastAsia="en-US"/>
              </w:rPr>
              <w:t xml:space="preserve"> - Embedded Exam Questions</w:t>
            </w:r>
          </w:p>
        </w:tc>
        <w:tc>
          <w:tcPr>
            <w:tcW w:w="1238" w:type="dxa"/>
            <w:tcBorders>
              <w:top w:val="nil"/>
              <w:left w:val="nil"/>
              <w:bottom w:val="nil"/>
              <w:right w:val="single" w:sz="4" w:space="0" w:color="000000"/>
            </w:tcBorders>
            <w:shd w:val="clear" w:color="D8D8D8" w:fill="D8D8D8"/>
            <w:noWrap/>
            <w:vAlign w:val="bottom"/>
            <w:hideMark/>
          </w:tcPr>
          <w:p w14:paraId="24D68774"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90</w:t>
            </w:r>
          </w:p>
        </w:tc>
        <w:tc>
          <w:tcPr>
            <w:tcW w:w="1032" w:type="dxa"/>
            <w:tcBorders>
              <w:top w:val="nil"/>
              <w:left w:val="nil"/>
              <w:bottom w:val="nil"/>
              <w:right w:val="single" w:sz="4" w:space="0" w:color="000000"/>
            </w:tcBorders>
            <w:shd w:val="clear" w:color="D8D8D8" w:fill="D8D8D8"/>
            <w:noWrap/>
            <w:vAlign w:val="bottom"/>
            <w:hideMark/>
          </w:tcPr>
          <w:p w14:paraId="551733C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24.4%</w:t>
            </w:r>
          </w:p>
        </w:tc>
        <w:tc>
          <w:tcPr>
            <w:tcW w:w="1154" w:type="dxa"/>
            <w:tcBorders>
              <w:top w:val="nil"/>
              <w:left w:val="nil"/>
              <w:bottom w:val="nil"/>
              <w:right w:val="single" w:sz="4" w:space="0" w:color="000000"/>
            </w:tcBorders>
            <w:shd w:val="clear" w:color="D8D8D8" w:fill="D8D8D8"/>
            <w:noWrap/>
            <w:vAlign w:val="bottom"/>
            <w:hideMark/>
          </w:tcPr>
          <w:p w14:paraId="762AFDF6"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37.8%</w:t>
            </w:r>
          </w:p>
        </w:tc>
        <w:tc>
          <w:tcPr>
            <w:tcW w:w="1214" w:type="dxa"/>
            <w:tcBorders>
              <w:top w:val="nil"/>
              <w:left w:val="nil"/>
              <w:bottom w:val="nil"/>
              <w:right w:val="single" w:sz="4" w:space="0" w:color="000000"/>
            </w:tcBorders>
            <w:shd w:val="clear" w:color="D8D8D8" w:fill="D8D8D8"/>
            <w:noWrap/>
            <w:vAlign w:val="bottom"/>
            <w:hideMark/>
          </w:tcPr>
          <w:p w14:paraId="6A5DB2F0"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37.8%</w:t>
            </w:r>
          </w:p>
        </w:tc>
        <w:tc>
          <w:tcPr>
            <w:tcW w:w="1154" w:type="dxa"/>
            <w:tcBorders>
              <w:top w:val="nil"/>
              <w:left w:val="nil"/>
              <w:bottom w:val="nil"/>
              <w:right w:val="single" w:sz="8" w:space="0" w:color="000000"/>
            </w:tcBorders>
            <w:shd w:val="clear" w:color="D8D8D8" w:fill="D8D8D8"/>
            <w:noWrap/>
            <w:vAlign w:val="bottom"/>
            <w:hideMark/>
          </w:tcPr>
          <w:p w14:paraId="27A682A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75.6%</w:t>
            </w:r>
          </w:p>
        </w:tc>
        <w:tc>
          <w:tcPr>
            <w:tcW w:w="764" w:type="dxa"/>
            <w:tcBorders>
              <w:top w:val="nil"/>
              <w:left w:val="nil"/>
              <w:bottom w:val="nil"/>
              <w:right w:val="single" w:sz="4" w:space="0" w:color="auto"/>
            </w:tcBorders>
            <w:shd w:val="clear" w:color="D8D8D8" w:fill="D8D8D8"/>
            <w:noWrap/>
            <w:vAlign w:val="bottom"/>
            <w:hideMark/>
          </w:tcPr>
          <w:p w14:paraId="39EFC006"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72.7%</w:t>
            </w:r>
          </w:p>
        </w:tc>
        <w:tc>
          <w:tcPr>
            <w:tcW w:w="714" w:type="dxa"/>
            <w:tcBorders>
              <w:top w:val="nil"/>
              <w:left w:val="nil"/>
              <w:bottom w:val="nil"/>
              <w:right w:val="single" w:sz="8" w:space="0" w:color="auto"/>
            </w:tcBorders>
            <w:shd w:val="clear" w:color="000000" w:fill="D9D9D9"/>
            <w:noWrap/>
            <w:vAlign w:val="bottom"/>
            <w:hideMark/>
          </w:tcPr>
          <w:p w14:paraId="3DA68138"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86.1%</w:t>
            </w:r>
          </w:p>
        </w:tc>
      </w:tr>
      <w:tr w:rsidR="00981F10" w:rsidRPr="00F23B03" w14:paraId="3AA01BFC" w14:textId="77777777" w:rsidTr="00981F10">
        <w:trPr>
          <w:trHeight w:val="600"/>
        </w:trPr>
        <w:tc>
          <w:tcPr>
            <w:tcW w:w="2090" w:type="dxa"/>
            <w:tcBorders>
              <w:top w:val="nil"/>
              <w:left w:val="single" w:sz="8" w:space="0" w:color="auto"/>
              <w:bottom w:val="nil"/>
              <w:right w:val="single" w:sz="4" w:space="0" w:color="000000"/>
            </w:tcBorders>
            <w:shd w:val="clear" w:color="auto" w:fill="auto"/>
            <w:vAlign w:val="bottom"/>
            <w:hideMark/>
          </w:tcPr>
          <w:p w14:paraId="2B34600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3303</w:t>
            </w:r>
            <w:r w:rsidRPr="00F23B03">
              <w:rPr>
                <w:rFonts w:ascii="Calibri" w:eastAsia="Times New Roman" w:hAnsi="Calibri" w:cs="Calibri"/>
                <w:color w:val="000000"/>
                <w:sz w:val="22"/>
                <w:szCs w:val="22"/>
                <w:lang w:eastAsia="en-US"/>
              </w:rPr>
              <w:t xml:space="preserve"> - Embedded Exam Questions</w:t>
            </w:r>
          </w:p>
        </w:tc>
        <w:tc>
          <w:tcPr>
            <w:tcW w:w="1238" w:type="dxa"/>
            <w:tcBorders>
              <w:top w:val="nil"/>
              <w:left w:val="nil"/>
              <w:bottom w:val="nil"/>
              <w:right w:val="single" w:sz="4" w:space="0" w:color="000000"/>
            </w:tcBorders>
            <w:shd w:val="clear" w:color="auto" w:fill="auto"/>
            <w:noWrap/>
            <w:vAlign w:val="bottom"/>
            <w:hideMark/>
          </w:tcPr>
          <w:p w14:paraId="1355A6F2"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281</w:t>
            </w:r>
          </w:p>
        </w:tc>
        <w:tc>
          <w:tcPr>
            <w:tcW w:w="1032" w:type="dxa"/>
            <w:tcBorders>
              <w:top w:val="nil"/>
              <w:left w:val="nil"/>
              <w:bottom w:val="nil"/>
              <w:right w:val="single" w:sz="4" w:space="0" w:color="000000"/>
            </w:tcBorders>
            <w:shd w:val="clear" w:color="auto" w:fill="auto"/>
            <w:noWrap/>
            <w:vAlign w:val="bottom"/>
            <w:hideMark/>
          </w:tcPr>
          <w:p w14:paraId="57F24BAF"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7.5%</w:t>
            </w:r>
          </w:p>
        </w:tc>
        <w:tc>
          <w:tcPr>
            <w:tcW w:w="1154" w:type="dxa"/>
            <w:tcBorders>
              <w:top w:val="nil"/>
              <w:left w:val="nil"/>
              <w:bottom w:val="nil"/>
              <w:right w:val="single" w:sz="4" w:space="0" w:color="000000"/>
            </w:tcBorders>
            <w:shd w:val="clear" w:color="auto" w:fill="auto"/>
            <w:noWrap/>
            <w:vAlign w:val="bottom"/>
            <w:hideMark/>
          </w:tcPr>
          <w:p w14:paraId="054E5424"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33.5%</w:t>
            </w:r>
          </w:p>
        </w:tc>
        <w:tc>
          <w:tcPr>
            <w:tcW w:w="1214" w:type="dxa"/>
            <w:tcBorders>
              <w:top w:val="nil"/>
              <w:left w:val="nil"/>
              <w:bottom w:val="nil"/>
              <w:right w:val="single" w:sz="4" w:space="0" w:color="000000"/>
            </w:tcBorders>
            <w:shd w:val="clear" w:color="auto" w:fill="auto"/>
            <w:noWrap/>
            <w:vAlign w:val="bottom"/>
            <w:hideMark/>
          </w:tcPr>
          <w:p w14:paraId="28FE9B3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59.1%</w:t>
            </w:r>
          </w:p>
        </w:tc>
        <w:tc>
          <w:tcPr>
            <w:tcW w:w="1154" w:type="dxa"/>
            <w:tcBorders>
              <w:top w:val="nil"/>
              <w:left w:val="nil"/>
              <w:bottom w:val="nil"/>
              <w:right w:val="single" w:sz="8" w:space="0" w:color="000000"/>
            </w:tcBorders>
            <w:shd w:val="clear" w:color="auto" w:fill="auto"/>
            <w:noWrap/>
            <w:vAlign w:val="bottom"/>
            <w:hideMark/>
          </w:tcPr>
          <w:p w14:paraId="4A950796"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92.5%</w:t>
            </w:r>
          </w:p>
        </w:tc>
        <w:tc>
          <w:tcPr>
            <w:tcW w:w="764" w:type="dxa"/>
            <w:tcBorders>
              <w:top w:val="nil"/>
              <w:left w:val="nil"/>
              <w:bottom w:val="nil"/>
              <w:right w:val="single" w:sz="4" w:space="0" w:color="auto"/>
            </w:tcBorders>
            <w:shd w:val="clear" w:color="auto" w:fill="auto"/>
            <w:noWrap/>
            <w:vAlign w:val="bottom"/>
            <w:hideMark/>
          </w:tcPr>
          <w:p w14:paraId="5250DC5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80.1%</w:t>
            </w:r>
          </w:p>
        </w:tc>
        <w:tc>
          <w:tcPr>
            <w:tcW w:w="714" w:type="dxa"/>
            <w:tcBorders>
              <w:top w:val="nil"/>
              <w:left w:val="nil"/>
              <w:bottom w:val="nil"/>
              <w:right w:val="single" w:sz="8" w:space="0" w:color="auto"/>
            </w:tcBorders>
            <w:shd w:val="clear" w:color="auto" w:fill="auto"/>
            <w:noWrap/>
            <w:vAlign w:val="bottom"/>
            <w:hideMark/>
          </w:tcPr>
          <w:p w14:paraId="032196BA"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86.8%</w:t>
            </w:r>
          </w:p>
        </w:tc>
      </w:tr>
      <w:tr w:rsidR="00981F10" w:rsidRPr="00F23B03" w14:paraId="0010DB58" w14:textId="77777777" w:rsidTr="00981F10">
        <w:trPr>
          <w:trHeight w:val="540"/>
        </w:trPr>
        <w:tc>
          <w:tcPr>
            <w:tcW w:w="2090" w:type="dxa"/>
            <w:tcBorders>
              <w:top w:val="nil"/>
              <w:left w:val="single" w:sz="8" w:space="0" w:color="auto"/>
              <w:bottom w:val="nil"/>
              <w:right w:val="single" w:sz="4" w:space="0" w:color="000000"/>
            </w:tcBorders>
            <w:shd w:val="clear" w:color="000000" w:fill="D9D9D9"/>
            <w:vAlign w:val="bottom"/>
            <w:hideMark/>
          </w:tcPr>
          <w:p w14:paraId="2B5E782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MKT 3343*</w:t>
            </w:r>
            <w:r w:rsidRPr="00F23B03">
              <w:rPr>
                <w:rFonts w:ascii="Calibri" w:eastAsia="Times New Roman" w:hAnsi="Calibri" w:cs="Calibri"/>
                <w:color w:val="000000"/>
                <w:sz w:val="22"/>
                <w:szCs w:val="22"/>
                <w:lang w:eastAsia="en-US"/>
              </w:rPr>
              <w:t xml:space="preserve"> - Exam and Homework Questions</w:t>
            </w:r>
          </w:p>
        </w:tc>
        <w:tc>
          <w:tcPr>
            <w:tcW w:w="1238" w:type="dxa"/>
            <w:tcBorders>
              <w:top w:val="nil"/>
              <w:left w:val="nil"/>
              <w:bottom w:val="nil"/>
              <w:right w:val="single" w:sz="4" w:space="0" w:color="000000"/>
            </w:tcBorders>
            <w:shd w:val="clear" w:color="FFFFFF" w:fill="D9D9D9"/>
            <w:noWrap/>
            <w:vAlign w:val="bottom"/>
            <w:hideMark/>
          </w:tcPr>
          <w:p w14:paraId="6234465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553</w:t>
            </w:r>
          </w:p>
        </w:tc>
        <w:tc>
          <w:tcPr>
            <w:tcW w:w="1032" w:type="dxa"/>
            <w:tcBorders>
              <w:top w:val="nil"/>
              <w:left w:val="nil"/>
              <w:bottom w:val="nil"/>
              <w:right w:val="single" w:sz="4" w:space="0" w:color="000000"/>
            </w:tcBorders>
            <w:shd w:val="clear" w:color="FFFFFF" w:fill="D9D9D9"/>
            <w:noWrap/>
            <w:vAlign w:val="bottom"/>
            <w:hideMark/>
          </w:tcPr>
          <w:p w14:paraId="0A7B26BD"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25.3%</w:t>
            </w:r>
          </w:p>
        </w:tc>
        <w:tc>
          <w:tcPr>
            <w:tcW w:w="1154" w:type="dxa"/>
            <w:tcBorders>
              <w:top w:val="nil"/>
              <w:left w:val="nil"/>
              <w:bottom w:val="nil"/>
              <w:right w:val="single" w:sz="4" w:space="0" w:color="000000"/>
            </w:tcBorders>
            <w:shd w:val="clear" w:color="FFFFFF" w:fill="D9D9D9"/>
            <w:noWrap/>
            <w:vAlign w:val="bottom"/>
            <w:hideMark/>
          </w:tcPr>
          <w:p w14:paraId="3189DDCE"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43.0%</w:t>
            </w:r>
          </w:p>
        </w:tc>
        <w:tc>
          <w:tcPr>
            <w:tcW w:w="1214" w:type="dxa"/>
            <w:tcBorders>
              <w:top w:val="nil"/>
              <w:left w:val="nil"/>
              <w:bottom w:val="nil"/>
              <w:right w:val="single" w:sz="4" w:space="0" w:color="000000"/>
            </w:tcBorders>
            <w:shd w:val="clear" w:color="FFFFFF" w:fill="D9D9D9"/>
            <w:noWrap/>
            <w:vAlign w:val="bottom"/>
            <w:hideMark/>
          </w:tcPr>
          <w:p w14:paraId="110EE3B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31.6%</w:t>
            </w:r>
          </w:p>
        </w:tc>
        <w:tc>
          <w:tcPr>
            <w:tcW w:w="1154" w:type="dxa"/>
            <w:tcBorders>
              <w:top w:val="nil"/>
              <w:left w:val="nil"/>
              <w:bottom w:val="nil"/>
              <w:right w:val="single" w:sz="8" w:space="0" w:color="000000"/>
            </w:tcBorders>
            <w:shd w:val="clear" w:color="FFFFFF" w:fill="D9D9D9"/>
            <w:noWrap/>
            <w:vAlign w:val="bottom"/>
            <w:hideMark/>
          </w:tcPr>
          <w:p w14:paraId="03424F4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74.7%</w:t>
            </w:r>
          </w:p>
        </w:tc>
        <w:tc>
          <w:tcPr>
            <w:tcW w:w="764" w:type="dxa"/>
            <w:tcBorders>
              <w:top w:val="nil"/>
              <w:left w:val="nil"/>
              <w:bottom w:val="nil"/>
              <w:right w:val="single" w:sz="4" w:space="0" w:color="auto"/>
            </w:tcBorders>
            <w:shd w:val="clear" w:color="FFFFFF" w:fill="D9D9D9"/>
            <w:noWrap/>
            <w:vAlign w:val="bottom"/>
            <w:hideMark/>
          </w:tcPr>
          <w:p w14:paraId="21E7227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73.3%</w:t>
            </w:r>
          </w:p>
        </w:tc>
        <w:tc>
          <w:tcPr>
            <w:tcW w:w="714" w:type="dxa"/>
            <w:tcBorders>
              <w:top w:val="nil"/>
              <w:left w:val="nil"/>
              <w:bottom w:val="nil"/>
              <w:right w:val="single" w:sz="8" w:space="0" w:color="auto"/>
            </w:tcBorders>
            <w:shd w:val="clear" w:color="FFFFFF" w:fill="D9D9D9"/>
            <w:noWrap/>
            <w:vAlign w:val="bottom"/>
            <w:hideMark/>
          </w:tcPr>
          <w:p w14:paraId="3B211AE0"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87.0%</w:t>
            </w:r>
          </w:p>
        </w:tc>
      </w:tr>
      <w:tr w:rsidR="00981F10" w:rsidRPr="00F23B03" w14:paraId="40295869" w14:textId="77777777" w:rsidTr="00981F10">
        <w:trPr>
          <w:trHeight w:val="285"/>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21BB7BE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*Fall/Spring Combined</w:t>
            </w:r>
          </w:p>
        </w:tc>
        <w:tc>
          <w:tcPr>
            <w:tcW w:w="1238" w:type="dxa"/>
            <w:tcBorders>
              <w:top w:val="nil"/>
              <w:left w:val="nil"/>
              <w:bottom w:val="single" w:sz="8" w:space="0" w:color="auto"/>
              <w:right w:val="single" w:sz="4" w:space="0" w:color="000000"/>
            </w:tcBorders>
            <w:shd w:val="clear" w:color="auto" w:fill="auto"/>
            <w:noWrap/>
            <w:vAlign w:val="bottom"/>
            <w:hideMark/>
          </w:tcPr>
          <w:p w14:paraId="308C80CB"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single" w:sz="8" w:space="0" w:color="auto"/>
              <w:right w:val="single" w:sz="4" w:space="0" w:color="000000"/>
            </w:tcBorders>
            <w:shd w:val="clear" w:color="auto" w:fill="auto"/>
            <w:noWrap/>
            <w:vAlign w:val="bottom"/>
            <w:hideMark/>
          </w:tcPr>
          <w:p w14:paraId="1935BE3F"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4" w:space="0" w:color="000000"/>
            </w:tcBorders>
            <w:shd w:val="clear" w:color="auto" w:fill="auto"/>
            <w:noWrap/>
            <w:vAlign w:val="bottom"/>
            <w:hideMark/>
          </w:tcPr>
          <w:p w14:paraId="3DD029D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single" w:sz="8" w:space="0" w:color="auto"/>
              <w:right w:val="single" w:sz="4" w:space="0" w:color="000000"/>
            </w:tcBorders>
            <w:shd w:val="clear" w:color="auto" w:fill="auto"/>
            <w:noWrap/>
            <w:vAlign w:val="bottom"/>
            <w:hideMark/>
          </w:tcPr>
          <w:p w14:paraId="75E1E45C"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8" w:space="0" w:color="000000"/>
            </w:tcBorders>
            <w:shd w:val="clear" w:color="auto" w:fill="auto"/>
            <w:noWrap/>
            <w:vAlign w:val="bottom"/>
            <w:hideMark/>
          </w:tcPr>
          <w:p w14:paraId="760293A8"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single" w:sz="8" w:space="0" w:color="auto"/>
              <w:right w:val="single" w:sz="4" w:space="0" w:color="auto"/>
            </w:tcBorders>
            <w:shd w:val="clear" w:color="auto" w:fill="auto"/>
            <w:noWrap/>
            <w:vAlign w:val="bottom"/>
            <w:hideMark/>
          </w:tcPr>
          <w:p w14:paraId="5BE78625"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single" w:sz="8" w:space="0" w:color="auto"/>
              <w:right w:val="single" w:sz="8" w:space="0" w:color="auto"/>
            </w:tcBorders>
            <w:shd w:val="clear" w:color="auto" w:fill="auto"/>
            <w:noWrap/>
            <w:vAlign w:val="bottom"/>
            <w:hideMark/>
          </w:tcPr>
          <w:p w14:paraId="5C122BDB"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6CE49561" w14:textId="77777777" w:rsidTr="00981F10">
        <w:trPr>
          <w:trHeight w:val="285"/>
        </w:trPr>
        <w:tc>
          <w:tcPr>
            <w:tcW w:w="2090" w:type="dxa"/>
            <w:tcBorders>
              <w:top w:val="nil"/>
              <w:left w:val="nil"/>
              <w:bottom w:val="nil"/>
              <w:right w:val="nil"/>
            </w:tcBorders>
            <w:shd w:val="clear" w:color="auto" w:fill="auto"/>
            <w:vAlign w:val="bottom"/>
            <w:hideMark/>
          </w:tcPr>
          <w:p w14:paraId="0D31848C" w14:textId="77777777" w:rsidR="00F23B03" w:rsidRPr="00F23B03" w:rsidRDefault="00F23B03" w:rsidP="00F23B03">
            <w:pPr>
              <w:rPr>
                <w:rFonts w:ascii="Calibri" w:eastAsia="Times New Roman" w:hAnsi="Calibri" w:cs="Calibri"/>
                <w:color w:val="000000"/>
                <w:sz w:val="22"/>
                <w:szCs w:val="22"/>
                <w:lang w:eastAsia="en-US"/>
              </w:rPr>
            </w:pPr>
          </w:p>
        </w:tc>
        <w:tc>
          <w:tcPr>
            <w:tcW w:w="1238" w:type="dxa"/>
            <w:tcBorders>
              <w:top w:val="nil"/>
              <w:left w:val="nil"/>
              <w:bottom w:val="nil"/>
              <w:right w:val="nil"/>
            </w:tcBorders>
            <w:shd w:val="clear" w:color="auto" w:fill="auto"/>
            <w:noWrap/>
            <w:vAlign w:val="bottom"/>
            <w:hideMark/>
          </w:tcPr>
          <w:p w14:paraId="3FB69E84"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5BEBF582"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063667FA"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703F9CF0"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53748917"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38BC1265"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221A7AC5" w14:textId="77777777" w:rsidR="00F23B03" w:rsidRPr="00F23B03" w:rsidRDefault="00F23B03" w:rsidP="00F23B03">
            <w:pPr>
              <w:rPr>
                <w:rFonts w:eastAsia="Times New Roman"/>
                <w:sz w:val="20"/>
                <w:szCs w:val="20"/>
                <w:lang w:eastAsia="en-US"/>
              </w:rPr>
            </w:pPr>
          </w:p>
        </w:tc>
      </w:tr>
      <w:tr w:rsidR="00981F10" w:rsidRPr="00F23B03" w14:paraId="2CDF20E0" w14:textId="77777777" w:rsidTr="00981F10">
        <w:trPr>
          <w:trHeight w:val="285"/>
        </w:trPr>
        <w:tc>
          <w:tcPr>
            <w:tcW w:w="2090" w:type="dxa"/>
            <w:tcBorders>
              <w:top w:val="nil"/>
              <w:left w:val="nil"/>
              <w:bottom w:val="nil"/>
              <w:right w:val="nil"/>
            </w:tcBorders>
            <w:shd w:val="clear" w:color="auto" w:fill="auto"/>
            <w:vAlign w:val="bottom"/>
            <w:hideMark/>
          </w:tcPr>
          <w:p w14:paraId="1843A4D3" w14:textId="77777777" w:rsidR="00F23B03" w:rsidRPr="00F23B03" w:rsidRDefault="00F23B03" w:rsidP="00F23B03">
            <w:pPr>
              <w:rPr>
                <w:rFonts w:eastAsia="Times New Roman"/>
                <w:sz w:val="20"/>
                <w:szCs w:val="20"/>
                <w:lang w:eastAsia="en-US"/>
              </w:rPr>
            </w:pPr>
          </w:p>
        </w:tc>
        <w:tc>
          <w:tcPr>
            <w:tcW w:w="1238" w:type="dxa"/>
            <w:tcBorders>
              <w:top w:val="nil"/>
              <w:left w:val="nil"/>
              <w:bottom w:val="nil"/>
              <w:right w:val="nil"/>
            </w:tcBorders>
            <w:shd w:val="clear" w:color="auto" w:fill="auto"/>
            <w:noWrap/>
            <w:vAlign w:val="bottom"/>
            <w:hideMark/>
          </w:tcPr>
          <w:p w14:paraId="7616EC6B"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6878C6CB"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7C6F58BF"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56AC9304"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3590F591"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152991D9"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76CCE0F5" w14:textId="77777777" w:rsidR="00F23B03" w:rsidRPr="00F23B03" w:rsidRDefault="00F23B03" w:rsidP="00F23B03">
            <w:pPr>
              <w:rPr>
                <w:rFonts w:eastAsia="Times New Roman"/>
                <w:sz w:val="20"/>
                <w:szCs w:val="20"/>
                <w:lang w:eastAsia="en-US"/>
              </w:rPr>
            </w:pPr>
          </w:p>
        </w:tc>
      </w:tr>
      <w:tr w:rsidR="00981F10" w:rsidRPr="00F23B03" w14:paraId="2F29FEAA" w14:textId="77777777" w:rsidTr="00981F10">
        <w:trPr>
          <w:trHeight w:val="285"/>
        </w:trPr>
        <w:tc>
          <w:tcPr>
            <w:tcW w:w="2090" w:type="dxa"/>
            <w:tcBorders>
              <w:top w:val="nil"/>
              <w:left w:val="nil"/>
              <w:bottom w:val="nil"/>
              <w:right w:val="nil"/>
            </w:tcBorders>
            <w:shd w:val="clear" w:color="auto" w:fill="auto"/>
            <w:vAlign w:val="bottom"/>
            <w:hideMark/>
          </w:tcPr>
          <w:p w14:paraId="06FCED3F" w14:textId="77777777" w:rsidR="00F23B03" w:rsidRPr="00F23B03" w:rsidRDefault="00F23B03" w:rsidP="00F23B03">
            <w:pPr>
              <w:rPr>
                <w:rFonts w:eastAsia="Times New Roman"/>
                <w:sz w:val="20"/>
                <w:szCs w:val="20"/>
                <w:lang w:eastAsia="en-US"/>
              </w:rPr>
            </w:pPr>
          </w:p>
        </w:tc>
        <w:tc>
          <w:tcPr>
            <w:tcW w:w="1238" w:type="dxa"/>
            <w:tcBorders>
              <w:top w:val="nil"/>
              <w:left w:val="nil"/>
              <w:bottom w:val="nil"/>
              <w:right w:val="nil"/>
            </w:tcBorders>
            <w:shd w:val="clear" w:color="auto" w:fill="auto"/>
            <w:noWrap/>
            <w:vAlign w:val="bottom"/>
            <w:hideMark/>
          </w:tcPr>
          <w:p w14:paraId="30264262"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46CD81CB"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54F91A91"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737D1400"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20753059"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4ACC92FC"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252FA06B" w14:textId="77777777" w:rsidR="00F23B03" w:rsidRPr="00F23B03" w:rsidRDefault="00F23B03" w:rsidP="00F23B03">
            <w:pPr>
              <w:rPr>
                <w:rFonts w:eastAsia="Times New Roman"/>
                <w:sz w:val="20"/>
                <w:szCs w:val="20"/>
                <w:lang w:eastAsia="en-US"/>
              </w:rPr>
            </w:pPr>
          </w:p>
        </w:tc>
      </w:tr>
      <w:tr w:rsidR="00981F10" w:rsidRPr="00F23B03" w14:paraId="3E475607" w14:textId="77777777" w:rsidTr="00981F10">
        <w:trPr>
          <w:trHeight w:val="288"/>
        </w:trPr>
        <w:tc>
          <w:tcPr>
            <w:tcW w:w="2090" w:type="dxa"/>
            <w:tcBorders>
              <w:top w:val="single" w:sz="8" w:space="0" w:color="auto"/>
              <w:left w:val="single" w:sz="8" w:space="0" w:color="auto"/>
              <w:bottom w:val="nil"/>
              <w:right w:val="nil"/>
            </w:tcBorders>
            <w:shd w:val="clear" w:color="auto" w:fill="auto"/>
            <w:vAlign w:val="bottom"/>
            <w:hideMark/>
          </w:tcPr>
          <w:p w14:paraId="791B98C5"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Spring Results</w:t>
            </w:r>
          </w:p>
        </w:tc>
        <w:tc>
          <w:tcPr>
            <w:tcW w:w="1238" w:type="dxa"/>
            <w:tcBorders>
              <w:top w:val="single" w:sz="8" w:space="0" w:color="auto"/>
              <w:left w:val="single" w:sz="4" w:space="0" w:color="auto"/>
              <w:bottom w:val="nil"/>
              <w:right w:val="single" w:sz="4" w:space="0" w:color="auto"/>
            </w:tcBorders>
            <w:shd w:val="clear" w:color="auto" w:fill="auto"/>
            <w:vAlign w:val="bottom"/>
            <w:hideMark/>
          </w:tcPr>
          <w:p w14:paraId="32C0B5A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single" w:sz="8" w:space="0" w:color="auto"/>
              <w:left w:val="nil"/>
              <w:bottom w:val="nil"/>
              <w:right w:val="single" w:sz="4" w:space="0" w:color="auto"/>
            </w:tcBorders>
            <w:shd w:val="clear" w:color="auto" w:fill="auto"/>
            <w:vAlign w:val="bottom"/>
            <w:hideMark/>
          </w:tcPr>
          <w:p w14:paraId="26068E48"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nil"/>
              <w:bottom w:val="nil"/>
              <w:right w:val="nil"/>
            </w:tcBorders>
            <w:shd w:val="clear" w:color="auto" w:fill="auto"/>
            <w:vAlign w:val="bottom"/>
            <w:hideMark/>
          </w:tcPr>
          <w:p w14:paraId="648D313A"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single" w:sz="8" w:space="0" w:color="auto"/>
              <w:left w:val="single" w:sz="4" w:space="0" w:color="auto"/>
              <w:bottom w:val="nil"/>
              <w:right w:val="nil"/>
            </w:tcBorders>
            <w:shd w:val="clear" w:color="auto" w:fill="auto"/>
            <w:vAlign w:val="bottom"/>
            <w:hideMark/>
          </w:tcPr>
          <w:p w14:paraId="17A66C7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single" w:sz="4" w:space="0" w:color="auto"/>
              <w:bottom w:val="nil"/>
              <w:right w:val="single" w:sz="8" w:space="0" w:color="000000"/>
            </w:tcBorders>
            <w:shd w:val="clear" w:color="auto" w:fill="auto"/>
            <w:vAlign w:val="bottom"/>
            <w:hideMark/>
          </w:tcPr>
          <w:p w14:paraId="669AF3E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single" w:sz="8" w:space="0" w:color="auto"/>
              <w:left w:val="nil"/>
              <w:bottom w:val="nil"/>
              <w:right w:val="single" w:sz="4" w:space="0" w:color="auto"/>
            </w:tcBorders>
            <w:shd w:val="clear" w:color="auto" w:fill="auto"/>
            <w:vAlign w:val="bottom"/>
            <w:hideMark/>
          </w:tcPr>
          <w:p w14:paraId="618AEDDB"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single" w:sz="8" w:space="0" w:color="auto"/>
              <w:left w:val="nil"/>
              <w:bottom w:val="nil"/>
              <w:right w:val="single" w:sz="8" w:space="0" w:color="auto"/>
            </w:tcBorders>
            <w:shd w:val="clear" w:color="auto" w:fill="auto"/>
            <w:vAlign w:val="bottom"/>
            <w:hideMark/>
          </w:tcPr>
          <w:p w14:paraId="29D3D2B6"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0C3C0F48" w14:textId="77777777" w:rsidTr="00981F10">
        <w:trPr>
          <w:trHeight w:val="876"/>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51BC1013"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Course and Evaluation Method</w:t>
            </w:r>
          </w:p>
        </w:tc>
        <w:tc>
          <w:tcPr>
            <w:tcW w:w="1238" w:type="dxa"/>
            <w:tcBorders>
              <w:top w:val="nil"/>
              <w:left w:val="nil"/>
              <w:bottom w:val="single" w:sz="8" w:space="0" w:color="auto"/>
              <w:right w:val="single" w:sz="4" w:space="0" w:color="000000"/>
            </w:tcBorders>
            <w:shd w:val="clear" w:color="auto" w:fill="auto"/>
            <w:vAlign w:val="bottom"/>
            <w:hideMark/>
          </w:tcPr>
          <w:p w14:paraId="36C19852"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Students Evaluated</w:t>
            </w:r>
          </w:p>
        </w:tc>
        <w:tc>
          <w:tcPr>
            <w:tcW w:w="1032" w:type="dxa"/>
            <w:tcBorders>
              <w:top w:val="nil"/>
              <w:left w:val="nil"/>
              <w:bottom w:val="single" w:sz="8" w:space="0" w:color="auto"/>
              <w:right w:val="single" w:sz="4" w:space="0" w:color="000000"/>
            </w:tcBorders>
            <w:shd w:val="clear" w:color="auto" w:fill="auto"/>
            <w:vAlign w:val="bottom"/>
            <w:hideMark/>
          </w:tcPr>
          <w:p w14:paraId="3BFD5F73"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Failing to Meet</w:t>
            </w:r>
          </w:p>
        </w:tc>
        <w:tc>
          <w:tcPr>
            <w:tcW w:w="1154" w:type="dxa"/>
            <w:tcBorders>
              <w:top w:val="nil"/>
              <w:left w:val="nil"/>
              <w:bottom w:val="single" w:sz="8" w:space="0" w:color="auto"/>
              <w:right w:val="single" w:sz="4" w:space="0" w:color="000000"/>
            </w:tcBorders>
            <w:shd w:val="clear" w:color="auto" w:fill="auto"/>
            <w:vAlign w:val="bottom"/>
            <w:hideMark/>
          </w:tcPr>
          <w:p w14:paraId="02439A92"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Meeting</w:t>
            </w:r>
          </w:p>
        </w:tc>
        <w:tc>
          <w:tcPr>
            <w:tcW w:w="1214" w:type="dxa"/>
            <w:tcBorders>
              <w:top w:val="nil"/>
              <w:left w:val="nil"/>
              <w:bottom w:val="single" w:sz="8" w:space="0" w:color="auto"/>
              <w:right w:val="single" w:sz="4" w:space="0" w:color="000000"/>
            </w:tcBorders>
            <w:shd w:val="clear" w:color="auto" w:fill="auto"/>
            <w:vAlign w:val="bottom"/>
            <w:hideMark/>
          </w:tcPr>
          <w:p w14:paraId="768D73B4"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Exceeding</w:t>
            </w:r>
          </w:p>
        </w:tc>
        <w:tc>
          <w:tcPr>
            <w:tcW w:w="1154" w:type="dxa"/>
            <w:tcBorders>
              <w:top w:val="nil"/>
              <w:left w:val="nil"/>
              <w:bottom w:val="single" w:sz="8" w:space="0" w:color="auto"/>
              <w:right w:val="single" w:sz="8" w:space="0" w:color="000000"/>
            </w:tcBorders>
            <w:shd w:val="clear" w:color="auto" w:fill="auto"/>
            <w:vAlign w:val="bottom"/>
            <w:hideMark/>
          </w:tcPr>
          <w:p w14:paraId="2B9CC817"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Meeting or Exceeding</w:t>
            </w:r>
          </w:p>
        </w:tc>
        <w:tc>
          <w:tcPr>
            <w:tcW w:w="764" w:type="dxa"/>
            <w:tcBorders>
              <w:top w:val="nil"/>
              <w:left w:val="nil"/>
              <w:bottom w:val="single" w:sz="8" w:space="0" w:color="auto"/>
              <w:right w:val="single" w:sz="4" w:space="0" w:color="auto"/>
            </w:tcBorders>
            <w:shd w:val="clear" w:color="auto" w:fill="auto"/>
            <w:vAlign w:val="bottom"/>
            <w:hideMark/>
          </w:tcPr>
          <w:p w14:paraId="38B4E2F6"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2016-17</w:t>
            </w:r>
          </w:p>
        </w:tc>
        <w:tc>
          <w:tcPr>
            <w:tcW w:w="714" w:type="dxa"/>
            <w:tcBorders>
              <w:top w:val="nil"/>
              <w:left w:val="nil"/>
              <w:bottom w:val="single" w:sz="8" w:space="0" w:color="auto"/>
              <w:right w:val="single" w:sz="8" w:space="0" w:color="auto"/>
            </w:tcBorders>
            <w:shd w:val="clear" w:color="auto" w:fill="auto"/>
            <w:vAlign w:val="bottom"/>
            <w:hideMark/>
          </w:tcPr>
          <w:p w14:paraId="0E73D196"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2013-14</w:t>
            </w:r>
          </w:p>
        </w:tc>
      </w:tr>
      <w:tr w:rsidR="00981F10" w:rsidRPr="00F23B03" w14:paraId="6FD3B98A" w14:textId="77777777" w:rsidTr="00981F10">
        <w:trPr>
          <w:trHeight w:val="288"/>
        </w:trPr>
        <w:tc>
          <w:tcPr>
            <w:tcW w:w="2090" w:type="dxa"/>
            <w:tcBorders>
              <w:top w:val="nil"/>
              <w:left w:val="single" w:sz="8" w:space="0" w:color="auto"/>
              <w:bottom w:val="nil"/>
              <w:right w:val="single" w:sz="4" w:space="0" w:color="000000"/>
            </w:tcBorders>
            <w:shd w:val="clear" w:color="auto" w:fill="auto"/>
            <w:vAlign w:val="bottom"/>
            <w:hideMark/>
          </w:tcPr>
          <w:p w14:paraId="772301F0"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nil"/>
              <w:left w:val="nil"/>
              <w:bottom w:val="nil"/>
              <w:right w:val="single" w:sz="4" w:space="0" w:color="000000"/>
            </w:tcBorders>
            <w:shd w:val="clear" w:color="auto" w:fill="auto"/>
            <w:noWrap/>
            <w:vAlign w:val="bottom"/>
            <w:hideMark/>
          </w:tcPr>
          <w:p w14:paraId="150E4AA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nil"/>
              <w:right w:val="single" w:sz="4" w:space="0" w:color="000000"/>
            </w:tcBorders>
            <w:shd w:val="clear" w:color="auto" w:fill="auto"/>
            <w:noWrap/>
            <w:vAlign w:val="bottom"/>
            <w:hideMark/>
          </w:tcPr>
          <w:p w14:paraId="6052A2E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4" w:space="0" w:color="000000"/>
            </w:tcBorders>
            <w:shd w:val="clear" w:color="auto" w:fill="auto"/>
            <w:noWrap/>
            <w:vAlign w:val="bottom"/>
            <w:hideMark/>
          </w:tcPr>
          <w:p w14:paraId="5D3FBD79"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nil"/>
              <w:right w:val="single" w:sz="4" w:space="0" w:color="000000"/>
            </w:tcBorders>
            <w:shd w:val="clear" w:color="auto" w:fill="auto"/>
            <w:noWrap/>
            <w:vAlign w:val="bottom"/>
            <w:hideMark/>
          </w:tcPr>
          <w:p w14:paraId="7154B115"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8" w:space="0" w:color="000000"/>
            </w:tcBorders>
            <w:shd w:val="clear" w:color="auto" w:fill="auto"/>
            <w:noWrap/>
            <w:vAlign w:val="bottom"/>
            <w:hideMark/>
          </w:tcPr>
          <w:p w14:paraId="591A6292"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nil"/>
              <w:right w:val="single" w:sz="4" w:space="0" w:color="auto"/>
            </w:tcBorders>
            <w:shd w:val="clear" w:color="auto" w:fill="auto"/>
            <w:noWrap/>
            <w:vAlign w:val="bottom"/>
            <w:hideMark/>
          </w:tcPr>
          <w:p w14:paraId="6444634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nil"/>
              <w:right w:val="single" w:sz="8" w:space="0" w:color="auto"/>
            </w:tcBorders>
            <w:shd w:val="clear" w:color="auto" w:fill="auto"/>
            <w:noWrap/>
            <w:vAlign w:val="bottom"/>
            <w:hideMark/>
          </w:tcPr>
          <w:p w14:paraId="2EA0F495" w14:textId="77777777" w:rsidR="00F23B03" w:rsidRPr="00F23B03" w:rsidRDefault="00F23B03" w:rsidP="00F23B03">
            <w:pPr>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 </w:t>
            </w:r>
          </w:p>
        </w:tc>
      </w:tr>
      <w:tr w:rsidR="00981F10" w:rsidRPr="00F23B03" w14:paraId="21998F4F" w14:textId="77777777" w:rsidTr="00981F10">
        <w:trPr>
          <w:trHeight w:val="576"/>
        </w:trPr>
        <w:tc>
          <w:tcPr>
            <w:tcW w:w="2090" w:type="dxa"/>
            <w:tcBorders>
              <w:top w:val="nil"/>
              <w:left w:val="single" w:sz="8" w:space="0" w:color="auto"/>
              <w:bottom w:val="nil"/>
              <w:right w:val="single" w:sz="4" w:space="0" w:color="000000"/>
            </w:tcBorders>
            <w:shd w:val="clear" w:color="D8D8D8" w:fill="D8D8D8"/>
            <w:vAlign w:val="bottom"/>
            <w:hideMark/>
          </w:tcPr>
          <w:p w14:paraId="2881D2E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ECO 2315</w:t>
            </w:r>
            <w:r w:rsidRPr="00F23B03">
              <w:rPr>
                <w:rFonts w:ascii="Calibri" w:eastAsia="Times New Roman" w:hAnsi="Calibri" w:cs="Calibri"/>
                <w:color w:val="000000"/>
                <w:sz w:val="22"/>
                <w:szCs w:val="22"/>
                <w:lang w:eastAsia="en-US"/>
              </w:rPr>
              <w:t xml:space="preserve"> - Embedded Exam Questions</w:t>
            </w:r>
          </w:p>
        </w:tc>
        <w:tc>
          <w:tcPr>
            <w:tcW w:w="1238" w:type="dxa"/>
            <w:tcBorders>
              <w:top w:val="nil"/>
              <w:left w:val="nil"/>
              <w:bottom w:val="nil"/>
              <w:right w:val="single" w:sz="4" w:space="0" w:color="000000"/>
            </w:tcBorders>
            <w:shd w:val="clear" w:color="D8D8D8" w:fill="D8D8D8"/>
            <w:noWrap/>
            <w:vAlign w:val="bottom"/>
            <w:hideMark/>
          </w:tcPr>
          <w:p w14:paraId="1785A83D"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304</w:t>
            </w:r>
          </w:p>
        </w:tc>
        <w:tc>
          <w:tcPr>
            <w:tcW w:w="1032" w:type="dxa"/>
            <w:tcBorders>
              <w:top w:val="nil"/>
              <w:left w:val="nil"/>
              <w:bottom w:val="nil"/>
              <w:right w:val="single" w:sz="4" w:space="0" w:color="000000"/>
            </w:tcBorders>
            <w:shd w:val="clear" w:color="D8D8D8" w:fill="D8D8D8"/>
            <w:noWrap/>
            <w:vAlign w:val="bottom"/>
            <w:hideMark/>
          </w:tcPr>
          <w:p w14:paraId="7D93F357"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17.4%</w:t>
            </w:r>
          </w:p>
        </w:tc>
        <w:tc>
          <w:tcPr>
            <w:tcW w:w="1154" w:type="dxa"/>
            <w:tcBorders>
              <w:top w:val="nil"/>
              <w:left w:val="nil"/>
              <w:bottom w:val="nil"/>
              <w:right w:val="single" w:sz="4" w:space="0" w:color="000000"/>
            </w:tcBorders>
            <w:shd w:val="clear" w:color="D8D8D8" w:fill="D8D8D8"/>
            <w:noWrap/>
            <w:vAlign w:val="bottom"/>
            <w:hideMark/>
          </w:tcPr>
          <w:p w14:paraId="2FEB3FE0"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47.4%</w:t>
            </w:r>
          </w:p>
        </w:tc>
        <w:tc>
          <w:tcPr>
            <w:tcW w:w="1214" w:type="dxa"/>
            <w:tcBorders>
              <w:top w:val="nil"/>
              <w:left w:val="nil"/>
              <w:bottom w:val="nil"/>
              <w:right w:val="single" w:sz="4" w:space="0" w:color="000000"/>
            </w:tcBorders>
            <w:shd w:val="clear" w:color="D8D8D8" w:fill="D8D8D8"/>
            <w:noWrap/>
            <w:vAlign w:val="bottom"/>
            <w:hideMark/>
          </w:tcPr>
          <w:p w14:paraId="6EFE442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35.2%</w:t>
            </w:r>
          </w:p>
        </w:tc>
        <w:tc>
          <w:tcPr>
            <w:tcW w:w="1154" w:type="dxa"/>
            <w:tcBorders>
              <w:top w:val="nil"/>
              <w:left w:val="nil"/>
              <w:bottom w:val="nil"/>
              <w:right w:val="single" w:sz="8" w:space="0" w:color="000000"/>
            </w:tcBorders>
            <w:shd w:val="clear" w:color="D8D8D8" w:fill="D8D8D8"/>
            <w:noWrap/>
            <w:vAlign w:val="bottom"/>
            <w:hideMark/>
          </w:tcPr>
          <w:p w14:paraId="2B8A36F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82.6%</w:t>
            </w:r>
          </w:p>
        </w:tc>
        <w:tc>
          <w:tcPr>
            <w:tcW w:w="764" w:type="dxa"/>
            <w:tcBorders>
              <w:top w:val="nil"/>
              <w:left w:val="nil"/>
              <w:bottom w:val="nil"/>
              <w:right w:val="single" w:sz="4" w:space="0" w:color="auto"/>
            </w:tcBorders>
            <w:shd w:val="clear" w:color="D8D8D8" w:fill="D8D8D8"/>
            <w:noWrap/>
            <w:vAlign w:val="bottom"/>
            <w:hideMark/>
          </w:tcPr>
          <w:p w14:paraId="706C23B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72.7%</w:t>
            </w:r>
          </w:p>
        </w:tc>
        <w:tc>
          <w:tcPr>
            <w:tcW w:w="714" w:type="dxa"/>
            <w:tcBorders>
              <w:top w:val="nil"/>
              <w:left w:val="nil"/>
              <w:bottom w:val="nil"/>
              <w:right w:val="single" w:sz="8" w:space="0" w:color="auto"/>
            </w:tcBorders>
            <w:shd w:val="clear" w:color="000000" w:fill="D9D9D9"/>
            <w:noWrap/>
            <w:vAlign w:val="bottom"/>
            <w:hideMark/>
          </w:tcPr>
          <w:p w14:paraId="7FA2BF80"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86.1%</w:t>
            </w:r>
          </w:p>
        </w:tc>
      </w:tr>
      <w:tr w:rsidR="00981F10" w:rsidRPr="00F23B03" w14:paraId="70CF6A3E" w14:textId="77777777" w:rsidTr="00981F10">
        <w:trPr>
          <w:trHeight w:val="624"/>
        </w:trPr>
        <w:tc>
          <w:tcPr>
            <w:tcW w:w="2090" w:type="dxa"/>
            <w:tcBorders>
              <w:top w:val="nil"/>
              <w:left w:val="single" w:sz="8" w:space="0" w:color="auto"/>
              <w:bottom w:val="nil"/>
              <w:right w:val="single" w:sz="4" w:space="0" w:color="000000"/>
            </w:tcBorders>
            <w:shd w:val="clear" w:color="auto" w:fill="auto"/>
            <w:vAlign w:val="bottom"/>
            <w:hideMark/>
          </w:tcPr>
          <w:p w14:paraId="1B1B7C4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b/>
                <w:bCs/>
                <w:color w:val="000000"/>
                <w:sz w:val="22"/>
                <w:szCs w:val="22"/>
                <w:lang w:eastAsia="en-US"/>
              </w:rPr>
              <w:t>MGT 3303</w:t>
            </w:r>
            <w:r w:rsidRPr="00F23B03">
              <w:rPr>
                <w:rFonts w:ascii="Calibri" w:eastAsia="Times New Roman" w:hAnsi="Calibri" w:cs="Calibri"/>
                <w:color w:val="000000"/>
                <w:sz w:val="22"/>
                <w:szCs w:val="22"/>
                <w:lang w:eastAsia="en-US"/>
              </w:rPr>
              <w:t xml:space="preserve"> - Embedded Exam Questions</w:t>
            </w:r>
          </w:p>
        </w:tc>
        <w:tc>
          <w:tcPr>
            <w:tcW w:w="1238" w:type="dxa"/>
            <w:tcBorders>
              <w:top w:val="nil"/>
              <w:left w:val="nil"/>
              <w:bottom w:val="nil"/>
              <w:right w:val="single" w:sz="4" w:space="0" w:color="000000"/>
            </w:tcBorders>
            <w:shd w:val="clear" w:color="auto" w:fill="auto"/>
            <w:noWrap/>
            <w:vAlign w:val="bottom"/>
            <w:hideMark/>
          </w:tcPr>
          <w:p w14:paraId="087B7A93"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214</w:t>
            </w:r>
          </w:p>
        </w:tc>
        <w:tc>
          <w:tcPr>
            <w:tcW w:w="1032" w:type="dxa"/>
            <w:tcBorders>
              <w:top w:val="nil"/>
              <w:left w:val="nil"/>
              <w:bottom w:val="nil"/>
              <w:right w:val="single" w:sz="4" w:space="0" w:color="000000"/>
            </w:tcBorders>
            <w:shd w:val="clear" w:color="auto" w:fill="auto"/>
            <w:noWrap/>
            <w:vAlign w:val="bottom"/>
            <w:hideMark/>
          </w:tcPr>
          <w:p w14:paraId="041A1786"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4.7%</w:t>
            </w:r>
          </w:p>
        </w:tc>
        <w:tc>
          <w:tcPr>
            <w:tcW w:w="1154" w:type="dxa"/>
            <w:tcBorders>
              <w:top w:val="nil"/>
              <w:left w:val="nil"/>
              <w:bottom w:val="nil"/>
              <w:right w:val="single" w:sz="4" w:space="0" w:color="000000"/>
            </w:tcBorders>
            <w:shd w:val="clear" w:color="auto" w:fill="auto"/>
            <w:noWrap/>
            <w:vAlign w:val="bottom"/>
            <w:hideMark/>
          </w:tcPr>
          <w:p w14:paraId="7805130B"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10.7%</w:t>
            </w:r>
          </w:p>
        </w:tc>
        <w:tc>
          <w:tcPr>
            <w:tcW w:w="1214" w:type="dxa"/>
            <w:tcBorders>
              <w:top w:val="nil"/>
              <w:left w:val="nil"/>
              <w:bottom w:val="nil"/>
              <w:right w:val="single" w:sz="4" w:space="0" w:color="000000"/>
            </w:tcBorders>
            <w:shd w:val="clear" w:color="auto" w:fill="auto"/>
            <w:noWrap/>
            <w:vAlign w:val="bottom"/>
            <w:hideMark/>
          </w:tcPr>
          <w:p w14:paraId="75B8830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84.6%</w:t>
            </w:r>
          </w:p>
        </w:tc>
        <w:tc>
          <w:tcPr>
            <w:tcW w:w="1154" w:type="dxa"/>
            <w:tcBorders>
              <w:top w:val="nil"/>
              <w:left w:val="nil"/>
              <w:bottom w:val="nil"/>
              <w:right w:val="single" w:sz="8" w:space="0" w:color="000000"/>
            </w:tcBorders>
            <w:shd w:val="clear" w:color="auto" w:fill="auto"/>
            <w:noWrap/>
            <w:vAlign w:val="bottom"/>
            <w:hideMark/>
          </w:tcPr>
          <w:p w14:paraId="4286C0DD"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95.3%</w:t>
            </w:r>
          </w:p>
        </w:tc>
        <w:tc>
          <w:tcPr>
            <w:tcW w:w="764" w:type="dxa"/>
            <w:tcBorders>
              <w:top w:val="nil"/>
              <w:left w:val="nil"/>
              <w:bottom w:val="nil"/>
              <w:right w:val="single" w:sz="4" w:space="0" w:color="auto"/>
            </w:tcBorders>
            <w:shd w:val="clear" w:color="auto" w:fill="auto"/>
            <w:noWrap/>
            <w:vAlign w:val="bottom"/>
            <w:hideMark/>
          </w:tcPr>
          <w:p w14:paraId="46A1AFBB"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80.1%</w:t>
            </w:r>
          </w:p>
        </w:tc>
        <w:tc>
          <w:tcPr>
            <w:tcW w:w="714" w:type="dxa"/>
            <w:tcBorders>
              <w:top w:val="nil"/>
              <w:left w:val="nil"/>
              <w:bottom w:val="nil"/>
              <w:right w:val="single" w:sz="8" w:space="0" w:color="auto"/>
            </w:tcBorders>
            <w:shd w:val="clear" w:color="auto" w:fill="auto"/>
            <w:noWrap/>
            <w:vAlign w:val="bottom"/>
            <w:hideMark/>
          </w:tcPr>
          <w:p w14:paraId="43DF83C8"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86.8%</w:t>
            </w:r>
          </w:p>
        </w:tc>
      </w:tr>
      <w:tr w:rsidR="00981F10" w:rsidRPr="00F23B03" w14:paraId="3F533C71" w14:textId="77777777" w:rsidTr="00981F10">
        <w:trPr>
          <w:trHeight w:val="300"/>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602BBD8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nil"/>
              <w:left w:val="nil"/>
              <w:bottom w:val="single" w:sz="8" w:space="0" w:color="auto"/>
              <w:right w:val="single" w:sz="4" w:space="0" w:color="000000"/>
            </w:tcBorders>
            <w:shd w:val="clear" w:color="FFFFFF" w:fill="FFFFFF"/>
            <w:noWrap/>
            <w:vAlign w:val="bottom"/>
            <w:hideMark/>
          </w:tcPr>
          <w:p w14:paraId="09124780"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single" w:sz="8" w:space="0" w:color="auto"/>
              <w:right w:val="single" w:sz="4" w:space="0" w:color="000000"/>
            </w:tcBorders>
            <w:shd w:val="clear" w:color="FFFFFF" w:fill="FFFFFF"/>
            <w:noWrap/>
            <w:vAlign w:val="bottom"/>
            <w:hideMark/>
          </w:tcPr>
          <w:p w14:paraId="1D4DA51C"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4" w:space="0" w:color="000000"/>
            </w:tcBorders>
            <w:shd w:val="clear" w:color="FFFFFF" w:fill="FFFFFF"/>
            <w:noWrap/>
            <w:vAlign w:val="bottom"/>
            <w:hideMark/>
          </w:tcPr>
          <w:p w14:paraId="46C3F212"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single" w:sz="8" w:space="0" w:color="auto"/>
              <w:right w:val="single" w:sz="4" w:space="0" w:color="000000"/>
            </w:tcBorders>
            <w:shd w:val="clear" w:color="FFFFFF" w:fill="FFFFFF"/>
            <w:noWrap/>
            <w:vAlign w:val="bottom"/>
            <w:hideMark/>
          </w:tcPr>
          <w:p w14:paraId="662A80A4"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8" w:space="0" w:color="000000"/>
            </w:tcBorders>
            <w:shd w:val="clear" w:color="FFFFFF" w:fill="FFFFFF"/>
            <w:noWrap/>
            <w:vAlign w:val="bottom"/>
            <w:hideMark/>
          </w:tcPr>
          <w:p w14:paraId="07960732"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single" w:sz="8" w:space="0" w:color="auto"/>
              <w:right w:val="single" w:sz="4" w:space="0" w:color="auto"/>
            </w:tcBorders>
            <w:shd w:val="clear" w:color="FFFFFF" w:fill="FFFFFF"/>
            <w:noWrap/>
            <w:vAlign w:val="bottom"/>
            <w:hideMark/>
          </w:tcPr>
          <w:p w14:paraId="219EC70F"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single" w:sz="8" w:space="0" w:color="auto"/>
              <w:right w:val="single" w:sz="8" w:space="0" w:color="auto"/>
            </w:tcBorders>
            <w:shd w:val="clear" w:color="FFFFFF" w:fill="FFFFFF"/>
            <w:noWrap/>
            <w:vAlign w:val="bottom"/>
            <w:hideMark/>
          </w:tcPr>
          <w:p w14:paraId="63473F46" w14:textId="77777777" w:rsidR="00F23B03" w:rsidRPr="00F23B03" w:rsidRDefault="00F23B03" w:rsidP="00F23B03">
            <w:pPr>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 </w:t>
            </w:r>
          </w:p>
        </w:tc>
      </w:tr>
      <w:tr w:rsidR="00981F10" w:rsidRPr="00F23B03" w14:paraId="1F6DBABE" w14:textId="77777777" w:rsidTr="00981F10">
        <w:trPr>
          <w:trHeight w:val="285"/>
        </w:trPr>
        <w:tc>
          <w:tcPr>
            <w:tcW w:w="2090" w:type="dxa"/>
            <w:tcBorders>
              <w:top w:val="nil"/>
              <w:left w:val="nil"/>
              <w:bottom w:val="nil"/>
              <w:right w:val="nil"/>
            </w:tcBorders>
            <w:shd w:val="clear" w:color="auto" w:fill="auto"/>
            <w:vAlign w:val="bottom"/>
            <w:hideMark/>
          </w:tcPr>
          <w:p w14:paraId="774296FC" w14:textId="77777777" w:rsidR="00F23B03" w:rsidRPr="00F23B03" w:rsidRDefault="00F23B03" w:rsidP="00F23B03">
            <w:pPr>
              <w:rPr>
                <w:rFonts w:ascii="Calibri" w:eastAsia="Times New Roman" w:hAnsi="Calibri" w:cs="Calibri"/>
                <w:color w:val="000000"/>
                <w:sz w:val="20"/>
                <w:szCs w:val="20"/>
                <w:lang w:eastAsia="en-US"/>
              </w:rPr>
            </w:pPr>
          </w:p>
        </w:tc>
        <w:tc>
          <w:tcPr>
            <w:tcW w:w="1238" w:type="dxa"/>
            <w:tcBorders>
              <w:top w:val="nil"/>
              <w:left w:val="nil"/>
              <w:bottom w:val="nil"/>
              <w:right w:val="nil"/>
            </w:tcBorders>
            <w:shd w:val="clear" w:color="auto" w:fill="auto"/>
            <w:noWrap/>
            <w:vAlign w:val="bottom"/>
            <w:hideMark/>
          </w:tcPr>
          <w:p w14:paraId="50A73CE1"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3AD75CFB"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7316C978"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4C3BFAF4"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34172DF2"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784A6571"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592299A8" w14:textId="77777777" w:rsidR="00F23B03" w:rsidRPr="00F23B03" w:rsidRDefault="00F23B03" w:rsidP="00F23B03">
            <w:pPr>
              <w:rPr>
                <w:rFonts w:eastAsia="Times New Roman"/>
                <w:sz w:val="20"/>
                <w:szCs w:val="20"/>
                <w:lang w:eastAsia="en-US"/>
              </w:rPr>
            </w:pPr>
          </w:p>
        </w:tc>
      </w:tr>
      <w:tr w:rsidR="00981F10" w:rsidRPr="00F23B03" w14:paraId="11C1EC6F" w14:textId="77777777" w:rsidTr="00981F10">
        <w:trPr>
          <w:trHeight w:val="285"/>
        </w:trPr>
        <w:tc>
          <w:tcPr>
            <w:tcW w:w="2090" w:type="dxa"/>
            <w:tcBorders>
              <w:top w:val="nil"/>
              <w:left w:val="nil"/>
              <w:bottom w:val="nil"/>
              <w:right w:val="nil"/>
            </w:tcBorders>
            <w:shd w:val="clear" w:color="auto" w:fill="auto"/>
            <w:vAlign w:val="bottom"/>
            <w:hideMark/>
          </w:tcPr>
          <w:p w14:paraId="56C34B49" w14:textId="77777777" w:rsidR="00F23B03" w:rsidRDefault="00F23B03" w:rsidP="00F23B03">
            <w:pPr>
              <w:rPr>
                <w:rFonts w:eastAsia="Times New Roman"/>
                <w:sz w:val="20"/>
                <w:szCs w:val="20"/>
                <w:lang w:eastAsia="en-US"/>
              </w:rPr>
            </w:pPr>
          </w:p>
          <w:p w14:paraId="41835126" w14:textId="77777777" w:rsidR="00F23B03" w:rsidRDefault="00F23B03" w:rsidP="00F23B03">
            <w:pPr>
              <w:rPr>
                <w:rFonts w:eastAsia="Times New Roman"/>
                <w:sz w:val="20"/>
                <w:szCs w:val="20"/>
                <w:lang w:eastAsia="en-US"/>
              </w:rPr>
            </w:pPr>
          </w:p>
          <w:p w14:paraId="03630401" w14:textId="77777777" w:rsidR="00F23B03" w:rsidRDefault="00F23B03" w:rsidP="00F23B03">
            <w:pPr>
              <w:rPr>
                <w:rFonts w:eastAsia="Times New Roman"/>
                <w:sz w:val="20"/>
                <w:szCs w:val="20"/>
                <w:lang w:eastAsia="en-US"/>
              </w:rPr>
            </w:pPr>
          </w:p>
          <w:p w14:paraId="4FA1D667" w14:textId="65CCF86B" w:rsidR="00F23B03" w:rsidRPr="00F23B03" w:rsidRDefault="00F23B03" w:rsidP="00F23B03">
            <w:pPr>
              <w:rPr>
                <w:rFonts w:eastAsia="Times New Roman"/>
                <w:sz w:val="20"/>
                <w:szCs w:val="20"/>
                <w:lang w:eastAsia="en-US"/>
              </w:rPr>
            </w:pPr>
          </w:p>
        </w:tc>
        <w:tc>
          <w:tcPr>
            <w:tcW w:w="1238" w:type="dxa"/>
            <w:tcBorders>
              <w:top w:val="nil"/>
              <w:left w:val="nil"/>
              <w:bottom w:val="nil"/>
              <w:right w:val="nil"/>
            </w:tcBorders>
            <w:shd w:val="clear" w:color="auto" w:fill="auto"/>
            <w:noWrap/>
            <w:vAlign w:val="bottom"/>
            <w:hideMark/>
          </w:tcPr>
          <w:p w14:paraId="0EAAFCEC"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50B5927F"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60C1E4C8"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0972B3E9"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106CB0AA"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34C21405"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1486C861" w14:textId="77777777" w:rsidR="00F23B03" w:rsidRPr="00F23B03" w:rsidRDefault="00F23B03" w:rsidP="00F23B03">
            <w:pPr>
              <w:rPr>
                <w:rFonts w:eastAsia="Times New Roman"/>
                <w:sz w:val="20"/>
                <w:szCs w:val="20"/>
                <w:lang w:eastAsia="en-US"/>
              </w:rPr>
            </w:pPr>
          </w:p>
        </w:tc>
      </w:tr>
    </w:tbl>
    <w:p w14:paraId="75B0789D" w14:textId="77777777" w:rsidR="00981F10" w:rsidRDefault="00981F10">
      <w:r>
        <w:br w:type="page"/>
      </w:r>
    </w:p>
    <w:tbl>
      <w:tblPr>
        <w:tblW w:w="9360" w:type="dxa"/>
        <w:tblLook w:val="04A0" w:firstRow="1" w:lastRow="0" w:firstColumn="1" w:lastColumn="0" w:noHBand="0" w:noVBand="1"/>
      </w:tblPr>
      <w:tblGrid>
        <w:gridCol w:w="2090"/>
        <w:gridCol w:w="1238"/>
        <w:gridCol w:w="1032"/>
        <w:gridCol w:w="1154"/>
        <w:gridCol w:w="1214"/>
        <w:gridCol w:w="1154"/>
        <w:gridCol w:w="764"/>
        <w:gridCol w:w="714"/>
      </w:tblGrid>
      <w:tr w:rsidR="00981F10" w:rsidRPr="00F23B03" w14:paraId="76063547" w14:textId="77777777" w:rsidTr="00981F10">
        <w:trPr>
          <w:trHeight w:val="285"/>
        </w:trPr>
        <w:tc>
          <w:tcPr>
            <w:tcW w:w="2090" w:type="dxa"/>
            <w:tcBorders>
              <w:top w:val="nil"/>
              <w:left w:val="nil"/>
              <w:bottom w:val="nil"/>
              <w:right w:val="nil"/>
            </w:tcBorders>
            <w:shd w:val="clear" w:color="auto" w:fill="auto"/>
            <w:vAlign w:val="bottom"/>
            <w:hideMark/>
          </w:tcPr>
          <w:p w14:paraId="579824D5" w14:textId="22A3819F" w:rsidR="00F23B03" w:rsidRPr="00F23B03" w:rsidRDefault="00F23B03" w:rsidP="00F23B03">
            <w:pPr>
              <w:rPr>
                <w:rFonts w:eastAsia="Times New Roman"/>
                <w:sz w:val="20"/>
                <w:szCs w:val="20"/>
                <w:lang w:eastAsia="en-US"/>
              </w:rPr>
            </w:pPr>
          </w:p>
        </w:tc>
        <w:tc>
          <w:tcPr>
            <w:tcW w:w="1238" w:type="dxa"/>
            <w:tcBorders>
              <w:top w:val="nil"/>
              <w:left w:val="nil"/>
              <w:bottom w:val="nil"/>
              <w:right w:val="nil"/>
            </w:tcBorders>
            <w:shd w:val="clear" w:color="auto" w:fill="auto"/>
            <w:noWrap/>
            <w:vAlign w:val="bottom"/>
            <w:hideMark/>
          </w:tcPr>
          <w:p w14:paraId="02C9D64D"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142EF010"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67BC501B"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3E5A18CA"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2175D653"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40ABF8EE"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2079A6F1" w14:textId="77777777" w:rsidR="00F23B03" w:rsidRPr="00F23B03" w:rsidRDefault="00F23B03" w:rsidP="00F23B03">
            <w:pPr>
              <w:rPr>
                <w:rFonts w:eastAsia="Times New Roman"/>
                <w:sz w:val="20"/>
                <w:szCs w:val="20"/>
                <w:lang w:eastAsia="en-US"/>
              </w:rPr>
            </w:pPr>
          </w:p>
        </w:tc>
      </w:tr>
      <w:tr w:rsidR="00981F10" w:rsidRPr="00F23B03" w14:paraId="6E6AF340" w14:textId="77777777" w:rsidTr="00981F10">
        <w:trPr>
          <w:trHeight w:val="348"/>
        </w:trPr>
        <w:tc>
          <w:tcPr>
            <w:tcW w:w="2090" w:type="dxa"/>
            <w:tcBorders>
              <w:top w:val="nil"/>
              <w:left w:val="nil"/>
              <w:bottom w:val="nil"/>
              <w:right w:val="nil"/>
            </w:tcBorders>
            <w:shd w:val="clear" w:color="auto" w:fill="auto"/>
            <w:vAlign w:val="bottom"/>
            <w:hideMark/>
          </w:tcPr>
          <w:p w14:paraId="6736DACE" w14:textId="77777777" w:rsidR="00F23B03" w:rsidRPr="00F23B03" w:rsidRDefault="00F23B03" w:rsidP="00F23B03">
            <w:pPr>
              <w:rPr>
                <w:rFonts w:ascii="Calibri" w:eastAsia="Times New Roman" w:hAnsi="Calibri" w:cs="Calibri"/>
                <w:b/>
                <w:bCs/>
                <w:color w:val="000000"/>
                <w:sz w:val="28"/>
                <w:szCs w:val="28"/>
                <w:lang w:eastAsia="en-US"/>
              </w:rPr>
            </w:pPr>
            <w:r w:rsidRPr="00F23B03">
              <w:rPr>
                <w:rFonts w:ascii="Calibri" w:eastAsia="Times New Roman" w:hAnsi="Calibri" w:cs="Calibri"/>
                <w:b/>
                <w:bCs/>
                <w:color w:val="000000"/>
                <w:sz w:val="28"/>
                <w:szCs w:val="28"/>
                <w:lang w:eastAsia="en-US"/>
              </w:rPr>
              <w:t xml:space="preserve">Hybrid </w:t>
            </w:r>
          </w:p>
        </w:tc>
        <w:tc>
          <w:tcPr>
            <w:tcW w:w="1238" w:type="dxa"/>
            <w:tcBorders>
              <w:top w:val="nil"/>
              <w:left w:val="nil"/>
              <w:bottom w:val="nil"/>
              <w:right w:val="nil"/>
            </w:tcBorders>
            <w:shd w:val="clear" w:color="auto" w:fill="auto"/>
            <w:noWrap/>
            <w:vAlign w:val="bottom"/>
            <w:hideMark/>
          </w:tcPr>
          <w:p w14:paraId="3E74EDF9" w14:textId="77777777" w:rsidR="00F23B03" w:rsidRPr="00F23B03" w:rsidRDefault="00F23B03" w:rsidP="00F23B03">
            <w:pPr>
              <w:rPr>
                <w:rFonts w:ascii="Calibri" w:eastAsia="Times New Roman" w:hAnsi="Calibri" w:cs="Calibri"/>
                <w:b/>
                <w:bCs/>
                <w:color w:val="000000"/>
                <w:sz w:val="28"/>
                <w:szCs w:val="28"/>
                <w:lang w:eastAsia="en-US"/>
              </w:rPr>
            </w:pPr>
          </w:p>
        </w:tc>
        <w:tc>
          <w:tcPr>
            <w:tcW w:w="1032" w:type="dxa"/>
            <w:tcBorders>
              <w:top w:val="nil"/>
              <w:left w:val="nil"/>
              <w:bottom w:val="nil"/>
              <w:right w:val="nil"/>
            </w:tcBorders>
            <w:shd w:val="clear" w:color="auto" w:fill="auto"/>
            <w:noWrap/>
            <w:vAlign w:val="bottom"/>
            <w:hideMark/>
          </w:tcPr>
          <w:p w14:paraId="26DA3AD5"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1D0FBAE6"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7F81C1E6"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2FF8852C"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6C19C31F"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335F69CF" w14:textId="77777777" w:rsidR="00F23B03" w:rsidRPr="00F23B03" w:rsidRDefault="00F23B03" w:rsidP="00F23B03">
            <w:pPr>
              <w:rPr>
                <w:rFonts w:eastAsia="Times New Roman"/>
                <w:sz w:val="20"/>
                <w:szCs w:val="20"/>
                <w:lang w:eastAsia="en-US"/>
              </w:rPr>
            </w:pPr>
          </w:p>
        </w:tc>
      </w:tr>
      <w:tr w:rsidR="00981F10" w:rsidRPr="00F23B03" w14:paraId="3B03DB2A" w14:textId="77777777" w:rsidTr="00981F10">
        <w:trPr>
          <w:trHeight w:val="285"/>
        </w:trPr>
        <w:tc>
          <w:tcPr>
            <w:tcW w:w="2090" w:type="dxa"/>
            <w:tcBorders>
              <w:top w:val="single" w:sz="8" w:space="0" w:color="auto"/>
              <w:left w:val="single" w:sz="8" w:space="0" w:color="auto"/>
              <w:bottom w:val="nil"/>
              <w:right w:val="nil"/>
            </w:tcBorders>
            <w:shd w:val="clear" w:color="auto" w:fill="auto"/>
            <w:vAlign w:val="bottom"/>
            <w:hideMark/>
          </w:tcPr>
          <w:p w14:paraId="1802E24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single" w:sz="8" w:space="0" w:color="auto"/>
              <w:left w:val="single" w:sz="4" w:space="0" w:color="auto"/>
              <w:bottom w:val="nil"/>
              <w:right w:val="nil"/>
            </w:tcBorders>
            <w:shd w:val="clear" w:color="auto" w:fill="auto"/>
            <w:vAlign w:val="bottom"/>
            <w:hideMark/>
          </w:tcPr>
          <w:p w14:paraId="41AF735E"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single" w:sz="8" w:space="0" w:color="auto"/>
              <w:left w:val="single" w:sz="4" w:space="0" w:color="auto"/>
              <w:bottom w:val="nil"/>
              <w:right w:val="nil"/>
            </w:tcBorders>
            <w:shd w:val="clear" w:color="auto" w:fill="auto"/>
            <w:vAlign w:val="bottom"/>
            <w:hideMark/>
          </w:tcPr>
          <w:p w14:paraId="02E9B21F"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single" w:sz="4" w:space="0" w:color="auto"/>
              <w:bottom w:val="nil"/>
              <w:right w:val="nil"/>
            </w:tcBorders>
            <w:shd w:val="clear" w:color="auto" w:fill="auto"/>
            <w:vAlign w:val="bottom"/>
            <w:hideMark/>
          </w:tcPr>
          <w:p w14:paraId="5A6301F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single" w:sz="8" w:space="0" w:color="auto"/>
              <w:left w:val="single" w:sz="4" w:space="0" w:color="auto"/>
              <w:bottom w:val="nil"/>
              <w:right w:val="nil"/>
            </w:tcBorders>
            <w:shd w:val="clear" w:color="auto" w:fill="auto"/>
            <w:vAlign w:val="bottom"/>
            <w:hideMark/>
          </w:tcPr>
          <w:p w14:paraId="23501FA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single" w:sz="8" w:space="0" w:color="auto"/>
              <w:left w:val="single" w:sz="4" w:space="0" w:color="auto"/>
              <w:bottom w:val="nil"/>
              <w:right w:val="single" w:sz="8" w:space="0" w:color="000000"/>
            </w:tcBorders>
            <w:shd w:val="clear" w:color="auto" w:fill="auto"/>
            <w:vAlign w:val="bottom"/>
            <w:hideMark/>
          </w:tcPr>
          <w:p w14:paraId="53DA305D"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single" w:sz="8" w:space="0" w:color="auto"/>
              <w:left w:val="nil"/>
              <w:bottom w:val="nil"/>
              <w:right w:val="single" w:sz="4" w:space="0" w:color="auto"/>
            </w:tcBorders>
            <w:shd w:val="clear" w:color="auto" w:fill="auto"/>
            <w:vAlign w:val="bottom"/>
            <w:hideMark/>
          </w:tcPr>
          <w:p w14:paraId="747E478F"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single" w:sz="8" w:space="0" w:color="auto"/>
              <w:left w:val="nil"/>
              <w:bottom w:val="nil"/>
              <w:right w:val="single" w:sz="8" w:space="0" w:color="auto"/>
            </w:tcBorders>
            <w:shd w:val="clear" w:color="auto" w:fill="auto"/>
            <w:vAlign w:val="bottom"/>
            <w:hideMark/>
          </w:tcPr>
          <w:p w14:paraId="2B8C28BE"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213A3CE5" w14:textId="77777777" w:rsidTr="00981F10">
        <w:trPr>
          <w:trHeight w:val="285"/>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1DFBA171"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Course </w:t>
            </w:r>
          </w:p>
        </w:tc>
        <w:tc>
          <w:tcPr>
            <w:tcW w:w="1238" w:type="dxa"/>
            <w:tcBorders>
              <w:top w:val="nil"/>
              <w:left w:val="nil"/>
              <w:bottom w:val="single" w:sz="8" w:space="0" w:color="auto"/>
              <w:right w:val="single" w:sz="4" w:space="0" w:color="000000"/>
            </w:tcBorders>
            <w:shd w:val="clear" w:color="auto" w:fill="auto"/>
            <w:vAlign w:val="bottom"/>
            <w:hideMark/>
          </w:tcPr>
          <w:p w14:paraId="596D34F4"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Students Evaluated</w:t>
            </w:r>
          </w:p>
        </w:tc>
        <w:tc>
          <w:tcPr>
            <w:tcW w:w="1032" w:type="dxa"/>
            <w:tcBorders>
              <w:top w:val="nil"/>
              <w:left w:val="nil"/>
              <w:bottom w:val="single" w:sz="8" w:space="0" w:color="auto"/>
              <w:right w:val="single" w:sz="4" w:space="0" w:color="000000"/>
            </w:tcBorders>
            <w:shd w:val="clear" w:color="auto" w:fill="auto"/>
            <w:vAlign w:val="bottom"/>
            <w:hideMark/>
          </w:tcPr>
          <w:p w14:paraId="4D956ABA"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Failing to Meet</w:t>
            </w:r>
          </w:p>
        </w:tc>
        <w:tc>
          <w:tcPr>
            <w:tcW w:w="1154" w:type="dxa"/>
            <w:tcBorders>
              <w:top w:val="nil"/>
              <w:left w:val="nil"/>
              <w:bottom w:val="single" w:sz="8" w:space="0" w:color="auto"/>
              <w:right w:val="single" w:sz="4" w:space="0" w:color="000000"/>
            </w:tcBorders>
            <w:shd w:val="clear" w:color="auto" w:fill="auto"/>
            <w:vAlign w:val="bottom"/>
            <w:hideMark/>
          </w:tcPr>
          <w:p w14:paraId="782C4599"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Meeting</w:t>
            </w:r>
          </w:p>
        </w:tc>
        <w:tc>
          <w:tcPr>
            <w:tcW w:w="1214" w:type="dxa"/>
            <w:tcBorders>
              <w:top w:val="nil"/>
              <w:left w:val="nil"/>
              <w:bottom w:val="single" w:sz="8" w:space="0" w:color="auto"/>
              <w:right w:val="single" w:sz="4" w:space="0" w:color="000000"/>
            </w:tcBorders>
            <w:shd w:val="clear" w:color="auto" w:fill="auto"/>
            <w:vAlign w:val="bottom"/>
            <w:hideMark/>
          </w:tcPr>
          <w:p w14:paraId="5576EB3A"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Exceeding</w:t>
            </w:r>
          </w:p>
        </w:tc>
        <w:tc>
          <w:tcPr>
            <w:tcW w:w="1154" w:type="dxa"/>
            <w:tcBorders>
              <w:top w:val="nil"/>
              <w:left w:val="nil"/>
              <w:bottom w:val="single" w:sz="8" w:space="0" w:color="auto"/>
              <w:right w:val="single" w:sz="8" w:space="0" w:color="000000"/>
            </w:tcBorders>
            <w:shd w:val="clear" w:color="auto" w:fill="auto"/>
            <w:vAlign w:val="bottom"/>
            <w:hideMark/>
          </w:tcPr>
          <w:p w14:paraId="4E2AF898"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 xml:space="preserve"> Meeting or Exceeding</w:t>
            </w:r>
          </w:p>
        </w:tc>
        <w:tc>
          <w:tcPr>
            <w:tcW w:w="764" w:type="dxa"/>
            <w:tcBorders>
              <w:top w:val="nil"/>
              <w:left w:val="nil"/>
              <w:bottom w:val="single" w:sz="8" w:space="0" w:color="auto"/>
              <w:right w:val="single" w:sz="4" w:space="0" w:color="auto"/>
            </w:tcBorders>
            <w:shd w:val="clear" w:color="auto" w:fill="auto"/>
            <w:vAlign w:val="bottom"/>
            <w:hideMark/>
          </w:tcPr>
          <w:p w14:paraId="618FC7F7"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2016-17</w:t>
            </w:r>
          </w:p>
        </w:tc>
        <w:tc>
          <w:tcPr>
            <w:tcW w:w="714" w:type="dxa"/>
            <w:tcBorders>
              <w:top w:val="nil"/>
              <w:left w:val="nil"/>
              <w:bottom w:val="single" w:sz="8" w:space="0" w:color="auto"/>
              <w:right w:val="single" w:sz="8" w:space="0" w:color="auto"/>
            </w:tcBorders>
            <w:shd w:val="clear" w:color="auto" w:fill="auto"/>
            <w:vAlign w:val="bottom"/>
            <w:hideMark/>
          </w:tcPr>
          <w:p w14:paraId="63F74C62" w14:textId="77777777" w:rsidR="00F23B03" w:rsidRPr="00F23B03" w:rsidRDefault="00F23B03" w:rsidP="00F23B03">
            <w:pPr>
              <w:rPr>
                <w:rFonts w:ascii="Calibri" w:eastAsia="Times New Roman" w:hAnsi="Calibri" w:cs="Calibri"/>
                <w:b/>
                <w:bCs/>
                <w:color w:val="000000"/>
                <w:sz w:val="18"/>
                <w:szCs w:val="18"/>
                <w:lang w:eastAsia="en-US"/>
              </w:rPr>
            </w:pPr>
            <w:r w:rsidRPr="00F23B03">
              <w:rPr>
                <w:rFonts w:ascii="Calibri" w:eastAsia="Times New Roman" w:hAnsi="Calibri" w:cs="Calibri"/>
                <w:b/>
                <w:bCs/>
                <w:color w:val="000000"/>
                <w:sz w:val="18"/>
                <w:szCs w:val="18"/>
                <w:lang w:eastAsia="en-US"/>
              </w:rPr>
              <w:t>2013-14</w:t>
            </w:r>
          </w:p>
        </w:tc>
      </w:tr>
      <w:tr w:rsidR="00981F10" w:rsidRPr="00F23B03" w14:paraId="7BA2896F" w14:textId="77777777" w:rsidTr="00981F10">
        <w:trPr>
          <w:trHeight w:val="285"/>
        </w:trPr>
        <w:tc>
          <w:tcPr>
            <w:tcW w:w="2090" w:type="dxa"/>
            <w:tcBorders>
              <w:top w:val="nil"/>
              <w:left w:val="single" w:sz="8" w:space="0" w:color="auto"/>
              <w:bottom w:val="nil"/>
              <w:right w:val="single" w:sz="4" w:space="0" w:color="000000"/>
            </w:tcBorders>
            <w:shd w:val="clear" w:color="auto" w:fill="auto"/>
            <w:vAlign w:val="bottom"/>
            <w:hideMark/>
          </w:tcPr>
          <w:p w14:paraId="523EE93E"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nil"/>
              <w:left w:val="nil"/>
              <w:bottom w:val="nil"/>
              <w:right w:val="single" w:sz="4" w:space="0" w:color="000000"/>
            </w:tcBorders>
            <w:shd w:val="clear" w:color="auto" w:fill="auto"/>
            <w:noWrap/>
            <w:vAlign w:val="bottom"/>
            <w:hideMark/>
          </w:tcPr>
          <w:p w14:paraId="5286D760"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nil"/>
              <w:right w:val="single" w:sz="4" w:space="0" w:color="000000"/>
            </w:tcBorders>
            <w:shd w:val="clear" w:color="auto" w:fill="auto"/>
            <w:noWrap/>
            <w:vAlign w:val="bottom"/>
            <w:hideMark/>
          </w:tcPr>
          <w:p w14:paraId="1A014E47"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4" w:space="0" w:color="000000"/>
            </w:tcBorders>
            <w:shd w:val="clear" w:color="auto" w:fill="auto"/>
            <w:noWrap/>
            <w:vAlign w:val="bottom"/>
            <w:hideMark/>
          </w:tcPr>
          <w:p w14:paraId="3F24A97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nil"/>
              <w:right w:val="single" w:sz="4" w:space="0" w:color="000000"/>
            </w:tcBorders>
            <w:shd w:val="clear" w:color="auto" w:fill="auto"/>
            <w:noWrap/>
            <w:vAlign w:val="bottom"/>
            <w:hideMark/>
          </w:tcPr>
          <w:p w14:paraId="7C856855"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nil"/>
              <w:right w:val="single" w:sz="8" w:space="0" w:color="000000"/>
            </w:tcBorders>
            <w:shd w:val="clear" w:color="auto" w:fill="auto"/>
            <w:noWrap/>
            <w:vAlign w:val="bottom"/>
            <w:hideMark/>
          </w:tcPr>
          <w:p w14:paraId="250070A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nil"/>
              <w:right w:val="single" w:sz="4" w:space="0" w:color="auto"/>
            </w:tcBorders>
            <w:shd w:val="clear" w:color="auto" w:fill="auto"/>
            <w:noWrap/>
            <w:vAlign w:val="bottom"/>
            <w:hideMark/>
          </w:tcPr>
          <w:p w14:paraId="1CED8BC2"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nil"/>
              <w:right w:val="single" w:sz="8" w:space="0" w:color="auto"/>
            </w:tcBorders>
            <w:shd w:val="clear" w:color="auto" w:fill="auto"/>
            <w:noWrap/>
            <w:vAlign w:val="bottom"/>
            <w:hideMark/>
          </w:tcPr>
          <w:p w14:paraId="60175EF3" w14:textId="77777777" w:rsidR="00F23B03" w:rsidRPr="00F23B03" w:rsidRDefault="00F23B03" w:rsidP="00F23B03">
            <w:pPr>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 </w:t>
            </w:r>
          </w:p>
        </w:tc>
      </w:tr>
      <w:tr w:rsidR="00981F10" w:rsidRPr="00F23B03" w14:paraId="5C1BD40B" w14:textId="77777777" w:rsidTr="00981F10">
        <w:trPr>
          <w:trHeight w:val="285"/>
        </w:trPr>
        <w:tc>
          <w:tcPr>
            <w:tcW w:w="2090" w:type="dxa"/>
            <w:tcBorders>
              <w:top w:val="nil"/>
              <w:left w:val="single" w:sz="8" w:space="0" w:color="auto"/>
              <w:bottom w:val="nil"/>
              <w:right w:val="single" w:sz="4" w:space="0" w:color="000000"/>
            </w:tcBorders>
            <w:shd w:val="clear" w:color="auto" w:fill="auto"/>
            <w:vAlign w:val="bottom"/>
            <w:hideMark/>
          </w:tcPr>
          <w:p w14:paraId="257F5C84"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MGT 3303 - Fall</w:t>
            </w:r>
          </w:p>
        </w:tc>
        <w:tc>
          <w:tcPr>
            <w:tcW w:w="1238" w:type="dxa"/>
            <w:tcBorders>
              <w:top w:val="nil"/>
              <w:left w:val="nil"/>
              <w:bottom w:val="nil"/>
              <w:right w:val="single" w:sz="4" w:space="0" w:color="000000"/>
            </w:tcBorders>
            <w:shd w:val="clear" w:color="FFFFFF" w:fill="FFFFFF"/>
            <w:noWrap/>
            <w:vAlign w:val="bottom"/>
            <w:hideMark/>
          </w:tcPr>
          <w:p w14:paraId="220CEABA"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78</w:t>
            </w:r>
          </w:p>
        </w:tc>
        <w:tc>
          <w:tcPr>
            <w:tcW w:w="1032" w:type="dxa"/>
            <w:tcBorders>
              <w:top w:val="nil"/>
              <w:left w:val="nil"/>
              <w:bottom w:val="nil"/>
              <w:right w:val="single" w:sz="4" w:space="0" w:color="000000"/>
            </w:tcBorders>
            <w:shd w:val="clear" w:color="FFFFFF" w:fill="FFFFFF"/>
            <w:noWrap/>
            <w:vAlign w:val="bottom"/>
            <w:hideMark/>
          </w:tcPr>
          <w:p w14:paraId="6495B2F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9.0%</w:t>
            </w:r>
          </w:p>
        </w:tc>
        <w:tc>
          <w:tcPr>
            <w:tcW w:w="1154" w:type="dxa"/>
            <w:tcBorders>
              <w:top w:val="nil"/>
              <w:left w:val="nil"/>
              <w:bottom w:val="nil"/>
              <w:right w:val="single" w:sz="4" w:space="0" w:color="000000"/>
            </w:tcBorders>
            <w:shd w:val="clear" w:color="FFFFFF" w:fill="FFFFFF"/>
            <w:noWrap/>
            <w:vAlign w:val="bottom"/>
            <w:hideMark/>
          </w:tcPr>
          <w:p w14:paraId="5DFEAB6E"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33.3%</w:t>
            </w:r>
          </w:p>
        </w:tc>
        <w:tc>
          <w:tcPr>
            <w:tcW w:w="1214" w:type="dxa"/>
            <w:tcBorders>
              <w:top w:val="nil"/>
              <w:left w:val="nil"/>
              <w:bottom w:val="nil"/>
              <w:right w:val="single" w:sz="4" w:space="0" w:color="000000"/>
            </w:tcBorders>
            <w:shd w:val="clear" w:color="FFFFFF" w:fill="FFFFFF"/>
            <w:noWrap/>
            <w:vAlign w:val="bottom"/>
            <w:hideMark/>
          </w:tcPr>
          <w:p w14:paraId="0E0379A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57.7%</w:t>
            </w:r>
          </w:p>
        </w:tc>
        <w:tc>
          <w:tcPr>
            <w:tcW w:w="1154" w:type="dxa"/>
            <w:tcBorders>
              <w:top w:val="nil"/>
              <w:left w:val="nil"/>
              <w:bottom w:val="nil"/>
              <w:right w:val="single" w:sz="8" w:space="0" w:color="000000"/>
            </w:tcBorders>
            <w:shd w:val="clear" w:color="FFFFFF" w:fill="FFFFFF"/>
            <w:noWrap/>
            <w:vAlign w:val="bottom"/>
            <w:hideMark/>
          </w:tcPr>
          <w:p w14:paraId="365F85BD"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91.0%</w:t>
            </w:r>
          </w:p>
        </w:tc>
        <w:tc>
          <w:tcPr>
            <w:tcW w:w="764" w:type="dxa"/>
            <w:tcBorders>
              <w:top w:val="nil"/>
              <w:left w:val="nil"/>
              <w:bottom w:val="nil"/>
              <w:right w:val="single" w:sz="4" w:space="0" w:color="auto"/>
            </w:tcBorders>
            <w:shd w:val="clear" w:color="FFFFFF" w:fill="FFFFFF"/>
            <w:noWrap/>
            <w:vAlign w:val="bottom"/>
            <w:hideMark/>
          </w:tcPr>
          <w:p w14:paraId="099A7DBA"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82.3%</w:t>
            </w:r>
          </w:p>
        </w:tc>
        <w:tc>
          <w:tcPr>
            <w:tcW w:w="714" w:type="dxa"/>
            <w:tcBorders>
              <w:top w:val="nil"/>
              <w:left w:val="nil"/>
              <w:bottom w:val="nil"/>
              <w:right w:val="single" w:sz="8" w:space="0" w:color="auto"/>
            </w:tcBorders>
            <w:shd w:val="clear" w:color="auto" w:fill="auto"/>
            <w:noWrap/>
            <w:vAlign w:val="bottom"/>
            <w:hideMark/>
          </w:tcPr>
          <w:p w14:paraId="06D608CA" w14:textId="77777777" w:rsidR="00F23B03" w:rsidRPr="00F23B03" w:rsidRDefault="00F23B03" w:rsidP="00F23B03">
            <w:pPr>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 </w:t>
            </w:r>
          </w:p>
        </w:tc>
      </w:tr>
      <w:tr w:rsidR="00981F10" w:rsidRPr="00F23B03" w14:paraId="686CFE95" w14:textId="77777777" w:rsidTr="00981F10">
        <w:trPr>
          <w:trHeight w:val="285"/>
        </w:trPr>
        <w:tc>
          <w:tcPr>
            <w:tcW w:w="2090" w:type="dxa"/>
            <w:tcBorders>
              <w:top w:val="nil"/>
              <w:left w:val="single" w:sz="8" w:space="0" w:color="auto"/>
              <w:bottom w:val="nil"/>
              <w:right w:val="single" w:sz="4" w:space="0" w:color="000000"/>
            </w:tcBorders>
            <w:shd w:val="clear" w:color="D8D8D8" w:fill="D8D8D8"/>
            <w:vAlign w:val="bottom"/>
            <w:hideMark/>
          </w:tcPr>
          <w:p w14:paraId="32A29FB6" w14:textId="77777777" w:rsidR="00F23B03" w:rsidRPr="00F23B03" w:rsidRDefault="00F23B03" w:rsidP="00F23B03">
            <w:pPr>
              <w:rPr>
                <w:rFonts w:ascii="Calibri" w:eastAsia="Times New Roman" w:hAnsi="Calibri" w:cs="Calibri"/>
                <w:b/>
                <w:bCs/>
                <w:color w:val="000000"/>
                <w:sz w:val="22"/>
                <w:szCs w:val="22"/>
                <w:lang w:eastAsia="en-US"/>
              </w:rPr>
            </w:pPr>
            <w:r w:rsidRPr="00F23B03">
              <w:rPr>
                <w:rFonts w:ascii="Calibri" w:eastAsia="Times New Roman" w:hAnsi="Calibri" w:cs="Calibri"/>
                <w:b/>
                <w:bCs/>
                <w:color w:val="000000"/>
                <w:sz w:val="22"/>
                <w:szCs w:val="22"/>
                <w:lang w:eastAsia="en-US"/>
              </w:rPr>
              <w:t>MGT 3303 - Spring</w:t>
            </w:r>
          </w:p>
        </w:tc>
        <w:tc>
          <w:tcPr>
            <w:tcW w:w="1238" w:type="dxa"/>
            <w:tcBorders>
              <w:top w:val="nil"/>
              <w:left w:val="nil"/>
              <w:bottom w:val="nil"/>
              <w:right w:val="single" w:sz="4" w:space="0" w:color="000000"/>
            </w:tcBorders>
            <w:shd w:val="clear" w:color="D8D8D8" w:fill="D8D8D8"/>
            <w:noWrap/>
            <w:vAlign w:val="bottom"/>
            <w:hideMark/>
          </w:tcPr>
          <w:p w14:paraId="23D5CA4F"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181</w:t>
            </w:r>
          </w:p>
        </w:tc>
        <w:tc>
          <w:tcPr>
            <w:tcW w:w="1032" w:type="dxa"/>
            <w:tcBorders>
              <w:top w:val="nil"/>
              <w:left w:val="nil"/>
              <w:bottom w:val="nil"/>
              <w:right w:val="single" w:sz="4" w:space="0" w:color="000000"/>
            </w:tcBorders>
            <w:shd w:val="clear" w:color="D8D8D8" w:fill="D8D8D8"/>
            <w:noWrap/>
            <w:vAlign w:val="bottom"/>
            <w:hideMark/>
          </w:tcPr>
          <w:p w14:paraId="5BBEED39"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6.1%</w:t>
            </w:r>
          </w:p>
        </w:tc>
        <w:tc>
          <w:tcPr>
            <w:tcW w:w="1154" w:type="dxa"/>
            <w:tcBorders>
              <w:top w:val="nil"/>
              <w:left w:val="nil"/>
              <w:bottom w:val="nil"/>
              <w:right w:val="single" w:sz="4" w:space="0" w:color="000000"/>
            </w:tcBorders>
            <w:shd w:val="clear" w:color="D8D8D8" w:fill="D8D8D8"/>
            <w:noWrap/>
            <w:vAlign w:val="bottom"/>
            <w:hideMark/>
          </w:tcPr>
          <w:p w14:paraId="469F8A35"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12.2%</w:t>
            </w:r>
          </w:p>
        </w:tc>
        <w:tc>
          <w:tcPr>
            <w:tcW w:w="1214" w:type="dxa"/>
            <w:tcBorders>
              <w:top w:val="nil"/>
              <w:left w:val="nil"/>
              <w:bottom w:val="nil"/>
              <w:right w:val="single" w:sz="4" w:space="0" w:color="000000"/>
            </w:tcBorders>
            <w:shd w:val="clear" w:color="D8D8D8" w:fill="D8D8D8"/>
            <w:noWrap/>
            <w:vAlign w:val="bottom"/>
            <w:hideMark/>
          </w:tcPr>
          <w:p w14:paraId="7185FFAC"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81.8%</w:t>
            </w:r>
          </w:p>
        </w:tc>
        <w:tc>
          <w:tcPr>
            <w:tcW w:w="1154" w:type="dxa"/>
            <w:tcBorders>
              <w:top w:val="nil"/>
              <w:left w:val="nil"/>
              <w:bottom w:val="nil"/>
              <w:right w:val="single" w:sz="8" w:space="0" w:color="000000"/>
            </w:tcBorders>
            <w:shd w:val="clear" w:color="D8D8D8" w:fill="D8D8D8"/>
            <w:noWrap/>
            <w:vAlign w:val="bottom"/>
            <w:hideMark/>
          </w:tcPr>
          <w:p w14:paraId="3CAE635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93.9%</w:t>
            </w:r>
          </w:p>
        </w:tc>
        <w:tc>
          <w:tcPr>
            <w:tcW w:w="764" w:type="dxa"/>
            <w:tcBorders>
              <w:top w:val="nil"/>
              <w:left w:val="nil"/>
              <w:bottom w:val="nil"/>
              <w:right w:val="single" w:sz="4" w:space="0" w:color="auto"/>
            </w:tcBorders>
            <w:shd w:val="clear" w:color="D8D8D8" w:fill="D8D8D8"/>
            <w:noWrap/>
            <w:vAlign w:val="bottom"/>
            <w:hideMark/>
          </w:tcPr>
          <w:p w14:paraId="092501C1" w14:textId="77777777" w:rsidR="00F23B03" w:rsidRPr="00F23B03" w:rsidRDefault="00F23B03" w:rsidP="00F23B03">
            <w:pPr>
              <w:jc w:val="right"/>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88.9%</w:t>
            </w:r>
          </w:p>
        </w:tc>
        <w:tc>
          <w:tcPr>
            <w:tcW w:w="714" w:type="dxa"/>
            <w:tcBorders>
              <w:top w:val="nil"/>
              <w:left w:val="nil"/>
              <w:bottom w:val="nil"/>
              <w:right w:val="single" w:sz="8" w:space="0" w:color="auto"/>
            </w:tcBorders>
            <w:shd w:val="clear" w:color="000000" w:fill="D9D9D9"/>
            <w:noWrap/>
            <w:vAlign w:val="bottom"/>
            <w:hideMark/>
          </w:tcPr>
          <w:p w14:paraId="6BC10F18" w14:textId="77777777" w:rsidR="00F23B03" w:rsidRPr="00F23B03" w:rsidRDefault="00F23B03" w:rsidP="00F23B03">
            <w:pPr>
              <w:jc w:val="right"/>
              <w:rPr>
                <w:rFonts w:ascii="Calibri" w:eastAsia="Times New Roman" w:hAnsi="Calibri" w:cs="Calibri"/>
                <w:color w:val="000000"/>
                <w:sz w:val="20"/>
                <w:szCs w:val="20"/>
                <w:lang w:eastAsia="en-US"/>
              </w:rPr>
            </w:pPr>
            <w:r w:rsidRPr="00F23B03">
              <w:rPr>
                <w:rFonts w:ascii="Calibri" w:eastAsia="Times New Roman" w:hAnsi="Calibri" w:cs="Calibri"/>
                <w:color w:val="000000"/>
                <w:sz w:val="20"/>
                <w:szCs w:val="20"/>
                <w:lang w:eastAsia="en-US"/>
              </w:rPr>
              <w:t>77.0%</w:t>
            </w:r>
          </w:p>
        </w:tc>
      </w:tr>
      <w:tr w:rsidR="00981F10" w:rsidRPr="00F23B03" w14:paraId="1420DFF5" w14:textId="77777777" w:rsidTr="00981F10">
        <w:trPr>
          <w:trHeight w:val="285"/>
        </w:trPr>
        <w:tc>
          <w:tcPr>
            <w:tcW w:w="2090" w:type="dxa"/>
            <w:tcBorders>
              <w:top w:val="nil"/>
              <w:left w:val="single" w:sz="8" w:space="0" w:color="auto"/>
              <w:bottom w:val="single" w:sz="8" w:space="0" w:color="auto"/>
              <w:right w:val="single" w:sz="4" w:space="0" w:color="000000"/>
            </w:tcBorders>
            <w:shd w:val="clear" w:color="auto" w:fill="auto"/>
            <w:vAlign w:val="bottom"/>
            <w:hideMark/>
          </w:tcPr>
          <w:p w14:paraId="386F8580"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38" w:type="dxa"/>
            <w:tcBorders>
              <w:top w:val="nil"/>
              <w:left w:val="nil"/>
              <w:bottom w:val="single" w:sz="8" w:space="0" w:color="auto"/>
              <w:right w:val="single" w:sz="4" w:space="0" w:color="000000"/>
            </w:tcBorders>
            <w:shd w:val="clear" w:color="auto" w:fill="auto"/>
            <w:noWrap/>
            <w:vAlign w:val="bottom"/>
            <w:hideMark/>
          </w:tcPr>
          <w:p w14:paraId="29616481"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032" w:type="dxa"/>
            <w:tcBorders>
              <w:top w:val="nil"/>
              <w:left w:val="nil"/>
              <w:bottom w:val="single" w:sz="8" w:space="0" w:color="auto"/>
              <w:right w:val="single" w:sz="4" w:space="0" w:color="000000"/>
            </w:tcBorders>
            <w:shd w:val="clear" w:color="auto" w:fill="auto"/>
            <w:noWrap/>
            <w:vAlign w:val="bottom"/>
            <w:hideMark/>
          </w:tcPr>
          <w:p w14:paraId="18597D0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4" w:space="0" w:color="000000"/>
            </w:tcBorders>
            <w:shd w:val="clear" w:color="auto" w:fill="auto"/>
            <w:noWrap/>
            <w:vAlign w:val="bottom"/>
            <w:hideMark/>
          </w:tcPr>
          <w:p w14:paraId="3C1D8EE4"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214" w:type="dxa"/>
            <w:tcBorders>
              <w:top w:val="nil"/>
              <w:left w:val="nil"/>
              <w:bottom w:val="single" w:sz="8" w:space="0" w:color="auto"/>
              <w:right w:val="single" w:sz="4" w:space="0" w:color="000000"/>
            </w:tcBorders>
            <w:shd w:val="clear" w:color="auto" w:fill="auto"/>
            <w:noWrap/>
            <w:vAlign w:val="bottom"/>
            <w:hideMark/>
          </w:tcPr>
          <w:p w14:paraId="54FFA083"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1154" w:type="dxa"/>
            <w:tcBorders>
              <w:top w:val="nil"/>
              <w:left w:val="nil"/>
              <w:bottom w:val="single" w:sz="8" w:space="0" w:color="auto"/>
              <w:right w:val="single" w:sz="8" w:space="0" w:color="000000"/>
            </w:tcBorders>
            <w:shd w:val="clear" w:color="auto" w:fill="auto"/>
            <w:noWrap/>
            <w:vAlign w:val="bottom"/>
            <w:hideMark/>
          </w:tcPr>
          <w:p w14:paraId="6DBD99B4"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64" w:type="dxa"/>
            <w:tcBorders>
              <w:top w:val="nil"/>
              <w:left w:val="nil"/>
              <w:bottom w:val="single" w:sz="8" w:space="0" w:color="auto"/>
              <w:right w:val="single" w:sz="4" w:space="0" w:color="auto"/>
            </w:tcBorders>
            <w:shd w:val="clear" w:color="auto" w:fill="auto"/>
            <w:noWrap/>
            <w:vAlign w:val="bottom"/>
            <w:hideMark/>
          </w:tcPr>
          <w:p w14:paraId="1DBE7F9C"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c>
          <w:tcPr>
            <w:tcW w:w="714" w:type="dxa"/>
            <w:tcBorders>
              <w:top w:val="nil"/>
              <w:left w:val="nil"/>
              <w:bottom w:val="single" w:sz="8" w:space="0" w:color="auto"/>
              <w:right w:val="single" w:sz="8" w:space="0" w:color="auto"/>
            </w:tcBorders>
            <w:shd w:val="clear" w:color="auto" w:fill="auto"/>
            <w:noWrap/>
            <w:vAlign w:val="bottom"/>
            <w:hideMark/>
          </w:tcPr>
          <w:p w14:paraId="303248D5" w14:textId="77777777" w:rsidR="00F23B03" w:rsidRPr="00F23B03" w:rsidRDefault="00F23B03" w:rsidP="00F23B03">
            <w:pPr>
              <w:rPr>
                <w:rFonts w:ascii="Calibri" w:eastAsia="Times New Roman" w:hAnsi="Calibri" w:cs="Calibri"/>
                <w:color w:val="000000"/>
                <w:sz w:val="22"/>
                <w:szCs w:val="22"/>
                <w:lang w:eastAsia="en-US"/>
              </w:rPr>
            </w:pPr>
            <w:r w:rsidRPr="00F23B03">
              <w:rPr>
                <w:rFonts w:ascii="Calibri" w:eastAsia="Times New Roman" w:hAnsi="Calibri" w:cs="Calibri"/>
                <w:color w:val="000000"/>
                <w:sz w:val="22"/>
                <w:szCs w:val="22"/>
                <w:lang w:eastAsia="en-US"/>
              </w:rPr>
              <w:t> </w:t>
            </w:r>
          </w:p>
        </w:tc>
      </w:tr>
      <w:tr w:rsidR="00981F10" w:rsidRPr="00F23B03" w14:paraId="577B08DF" w14:textId="77777777" w:rsidTr="00981F10">
        <w:trPr>
          <w:trHeight w:val="285"/>
        </w:trPr>
        <w:tc>
          <w:tcPr>
            <w:tcW w:w="2090" w:type="dxa"/>
            <w:tcBorders>
              <w:top w:val="nil"/>
              <w:left w:val="nil"/>
              <w:bottom w:val="nil"/>
              <w:right w:val="nil"/>
            </w:tcBorders>
            <w:shd w:val="clear" w:color="auto" w:fill="auto"/>
            <w:vAlign w:val="bottom"/>
            <w:hideMark/>
          </w:tcPr>
          <w:p w14:paraId="4C3C85E8" w14:textId="77777777" w:rsidR="00F23B03" w:rsidRPr="00F23B03" w:rsidRDefault="00F23B03" w:rsidP="00F23B03">
            <w:pPr>
              <w:rPr>
                <w:rFonts w:ascii="Calibri" w:eastAsia="Times New Roman" w:hAnsi="Calibri" w:cs="Calibri"/>
                <w:color w:val="000000"/>
                <w:sz w:val="22"/>
                <w:szCs w:val="22"/>
                <w:lang w:eastAsia="en-US"/>
              </w:rPr>
            </w:pPr>
          </w:p>
        </w:tc>
        <w:tc>
          <w:tcPr>
            <w:tcW w:w="1238" w:type="dxa"/>
            <w:tcBorders>
              <w:top w:val="nil"/>
              <w:left w:val="nil"/>
              <w:bottom w:val="nil"/>
              <w:right w:val="nil"/>
            </w:tcBorders>
            <w:shd w:val="clear" w:color="auto" w:fill="auto"/>
            <w:noWrap/>
            <w:vAlign w:val="bottom"/>
            <w:hideMark/>
          </w:tcPr>
          <w:p w14:paraId="48E9EF32" w14:textId="77777777" w:rsidR="00F23B03" w:rsidRPr="00F23B03" w:rsidRDefault="00F23B03" w:rsidP="00F23B03">
            <w:pPr>
              <w:rPr>
                <w:rFonts w:eastAsia="Times New Roman"/>
                <w:sz w:val="20"/>
                <w:szCs w:val="20"/>
                <w:lang w:eastAsia="en-US"/>
              </w:rPr>
            </w:pPr>
          </w:p>
        </w:tc>
        <w:tc>
          <w:tcPr>
            <w:tcW w:w="1032" w:type="dxa"/>
            <w:tcBorders>
              <w:top w:val="nil"/>
              <w:left w:val="nil"/>
              <w:bottom w:val="nil"/>
              <w:right w:val="nil"/>
            </w:tcBorders>
            <w:shd w:val="clear" w:color="auto" w:fill="auto"/>
            <w:noWrap/>
            <w:vAlign w:val="bottom"/>
            <w:hideMark/>
          </w:tcPr>
          <w:p w14:paraId="518A29CE"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3C72991B" w14:textId="77777777" w:rsidR="00F23B03" w:rsidRPr="00F23B03" w:rsidRDefault="00F23B03" w:rsidP="00F23B03">
            <w:pPr>
              <w:rPr>
                <w:rFonts w:eastAsia="Times New Roman"/>
                <w:sz w:val="20"/>
                <w:szCs w:val="20"/>
                <w:lang w:eastAsia="en-US"/>
              </w:rPr>
            </w:pPr>
          </w:p>
        </w:tc>
        <w:tc>
          <w:tcPr>
            <w:tcW w:w="1214" w:type="dxa"/>
            <w:tcBorders>
              <w:top w:val="nil"/>
              <w:left w:val="nil"/>
              <w:bottom w:val="nil"/>
              <w:right w:val="nil"/>
            </w:tcBorders>
            <w:shd w:val="clear" w:color="auto" w:fill="auto"/>
            <w:noWrap/>
            <w:vAlign w:val="bottom"/>
            <w:hideMark/>
          </w:tcPr>
          <w:p w14:paraId="13686F69" w14:textId="77777777" w:rsidR="00F23B03" w:rsidRPr="00F23B03" w:rsidRDefault="00F23B03" w:rsidP="00F23B03">
            <w:pPr>
              <w:rPr>
                <w:rFonts w:eastAsia="Times New Roman"/>
                <w:sz w:val="20"/>
                <w:szCs w:val="20"/>
                <w:lang w:eastAsia="en-US"/>
              </w:rPr>
            </w:pPr>
          </w:p>
        </w:tc>
        <w:tc>
          <w:tcPr>
            <w:tcW w:w="1154" w:type="dxa"/>
            <w:tcBorders>
              <w:top w:val="nil"/>
              <w:left w:val="nil"/>
              <w:bottom w:val="nil"/>
              <w:right w:val="nil"/>
            </w:tcBorders>
            <w:shd w:val="clear" w:color="auto" w:fill="auto"/>
            <w:noWrap/>
            <w:vAlign w:val="bottom"/>
            <w:hideMark/>
          </w:tcPr>
          <w:p w14:paraId="2886D761" w14:textId="77777777" w:rsidR="00F23B03" w:rsidRPr="00F23B03" w:rsidRDefault="00F23B03" w:rsidP="00F23B03">
            <w:pPr>
              <w:rPr>
                <w:rFonts w:eastAsia="Times New Roman"/>
                <w:sz w:val="20"/>
                <w:szCs w:val="20"/>
                <w:lang w:eastAsia="en-US"/>
              </w:rPr>
            </w:pPr>
          </w:p>
        </w:tc>
        <w:tc>
          <w:tcPr>
            <w:tcW w:w="764" w:type="dxa"/>
            <w:tcBorders>
              <w:top w:val="nil"/>
              <w:left w:val="nil"/>
              <w:bottom w:val="nil"/>
              <w:right w:val="nil"/>
            </w:tcBorders>
            <w:shd w:val="clear" w:color="auto" w:fill="auto"/>
            <w:noWrap/>
            <w:vAlign w:val="bottom"/>
            <w:hideMark/>
          </w:tcPr>
          <w:p w14:paraId="58015B9C" w14:textId="77777777" w:rsidR="00F23B03" w:rsidRPr="00F23B03" w:rsidRDefault="00F23B03" w:rsidP="00F23B03">
            <w:pPr>
              <w:rPr>
                <w:rFonts w:eastAsia="Times New Roman"/>
                <w:sz w:val="20"/>
                <w:szCs w:val="20"/>
                <w:lang w:eastAsia="en-US"/>
              </w:rPr>
            </w:pPr>
          </w:p>
        </w:tc>
        <w:tc>
          <w:tcPr>
            <w:tcW w:w="714" w:type="dxa"/>
            <w:tcBorders>
              <w:top w:val="nil"/>
              <w:left w:val="nil"/>
              <w:bottom w:val="nil"/>
              <w:right w:val="nil"/>
            </w:tcBorders>
            <w:shd w:val="clear" w:color="auto" w:fill="auto"/>
            <w:noWrap/>
            <w:vAlign w:val="bottom"/>
            <w:hideMark/>
          </w:tcPr>
          <w:p w14:paraId="4724526D" w14:textId="77777777" w:rsidR="00F23B03" w:rsidRPr="00F23B03" w:rsidRDefault="00F23B03" w:rsidP="00F23B03">
            <w:pPr>
              <w:rPr>
                <w:rFonts w:eastAsia="Times New Roman"/>
                <w:sz w:val="20"/>
                <w:szCs w:val="20"/>
                <w:lang w:eastAsia="en-US"/>
              </w:rPr>
            </w:pPr>
          </w:p>
        </w:tc>
      </w:tr>
    </w:tbl>
    <w:p w14:paraId="1D293EC1" w14:textId="52592896" w:rsidR="00244607" w:rsidRDefault="00244607"/>
    <w:p w14:paraId="7E801AE5" w14:textId="173A9005" w:rsidR="004F733B" w:rsidRPr="004F733B" w:rsidRDefault="004F733B" w:rsidP="004F733B">
      <w:pPr>
        <w:pStyle w:val="ListParagraph"/>
        <w:numPr>
          <w:ilvl w:val="0"/>
          <w:numId w:val="1"/>
        </w:numPr>
        <w:rPr>
          <w:b/>
          <w:bCs/>
          <w:i/>
          <w:iCs/>
          <w:sz w:val="28"/>
          <w:szCs w:val="28"/>
        </w:rPr>
      </w:pPr>
      <w:r w:rsidRPr="004F733B">
        <w:rPr>
          <w:b/>
          <w:bCs/>
          <w:i/>
          <w:iCs/>
          <w:sz w:val="28"/>
          <w:szCs w:val="28"/>
        </w:rPr>
        <w:t xml:space="preserve">Discussion of Results and Planned changes for next year by course for Goal </w:t>
      </w:r>
      <w:r w:rsidR="00901BF7">
        <w:rPr>
          <w:b/>
          <w:bCs/>
          <w:i/>
          <w:iCs/>
          <w:sz w:val="28"/>
          <w:szCs w:val="28"/>
        </w:rPr>
        <w:t>4</w:t>
      </w:r>
    </w:p>
    <w:p w14:paraId="4176DE5B" w14:textId="083D1710" w:rsidR="00244607" w:rsidRDefault="00244607"/>
    <w:p w14:paraId="5A224162" w14:textId="6F3326D0" w:rsidR="00F23B03" w:rsidRDefault="00F23B03"/>
    <w:p w14:paraId="1864EE14" w14:textId="25EC0A69" w:rsidR="00F23B03" w:rsidRDefault="004F733B">
      <w:r>
        <w:rPr>
          <w:b/>
          <w:bCs/>
          <w:u w:val="single"/>
        </w:rPr>
        <w:t>MGT 4335:</w:t>
      </w:r>
    </w:p>
    <w:p w14:paraId="1BF29B24" w14:textId="77777777" w:rsidR="004F733B" w:rsidRDefault="004F733B" w:rsidP="004F733B">
      <w:pPr>
        <w:pStyle w:val="ListParagraph"/>
        <w:numPr>
          <w:ilvl w:val="0"/>
          <w:numId w:val="3"/>
        </w:numPr>
      </w:pPr>
      <w:r>
        <w:tab/>
        <w:t>Discussion of Results</w:t>
      </w:r>
    </w:p>
    <w:p w14:paraId="45368467" w14:textId="77777777" w:rsidR="004F733B" w:rsidRDefault="004F733B" w:rsidP="004F733B">
      <w:pPr>
        <w:pStyle w:val="ListParagraph"/>
        <w:numPr>
          <w:ilvl w:val="1"/>
          <w:numId w:val="3"/>
        </w:numPr>
      </w:pPr>
      <w:r>
        <w:t>Each of the locations exceeded the target of 70% by meeting or exceeding the target. The assessment percentages ranged from 76% to 87%, which are good. However, one noted observation was that some faculty used a varying number of questions for the assessment. Also, some faculty used a quiz as the mode of delivery while others used an exam. This could contribute to some of the variation observed</w:t>
      </w:r>
    </w:p>
    <w:p w14:paraId="57823277" w14:textId="77777777" w:rsidR="004F733B" w:rsidRDefault="004F733B" w:rsidP="004F733B">
      <w:pPr>
        <w:pStyle w:val="ListParagraph"/>
        <w:ind w:left="1440"/>
      </w:pPr>
    </w:p>
    <w:p w14:paraId="38D6F146" w14:textId="77777777" w:rsidR="004F733B" w:rsidRDefault="004F733B" w:rsidP="004F733B">
      <w:pPr>
        <w:pStyle w:val="ListParagraph"/>
        <w:numPr>
          <w:ilvl w:val="1"/>
          <w:numId w:val="3"/>
        </w:numPr>
      </w:pPr>
      <w:r>
        <w:t>Overall, while each location/mode exceeded the target of 70% meeting or exceeding expectations, ethics continues to be one of the lower scoring learning goals. Much of the ethics content is taught earlier in the business curriculum, but this assessment is often taken by graduating seniors in the last or second to last semester of their undergraduate degree program. In many instances, there is more than a two year gap between the completion of an ethics course and the actual assessment in this class.</w:t>
      </w:r>
    </w:p>
    <w:p w14:paraId="28F2CF71" w14:textId="77777777" w:rsidR="004F733B" w:rsidRDefault="004F733B" w:rsidP="004F733B">
      <w:pPr>
        <w:pStyle w:val="ListParagraph"/>
        <w:numPr>
          <w:ilvl w:val="1"/>
          <w:numId w:val="3"/>
        </w:numPr>
      </w:pPr>
      <w:r>
        <w:t>Comparison to previous years</w:t>
      </w:r>
    </w:p>
    <w:p w14:paraId="060CE0B2" w14:textId="56C86971" w:rsidR="004F733B" w:rsidRDefault="004F733B" w:rsidP="004F733B">
      <w:pPr>
        <w:pStyle w:val="ListParagraph"/>
        <w:numPr>
          <w:ilvl w:val="2"/>
          <w:numId w:val="3"/>
        </w:numPr>
      </w:pPr>
      <w:r>
        <w:t xml:space="preserve">Each of the locations exceeded the target of 70%. Compared to the last assessment cycle, the San Marcos location increased by four percent to 87%. Round Rock experienced a decline of 24 percentage points to 76% of students meeting or exceeding expectations. It is possible that a </w:t>
      </w:r>
      <w:proofErr w:type="gramStart"/>
      <w:r>
        <w:t>change  in</w:t>
      </w:r>
      <w:proofErr w:type="gramEnd"/>
      <w:r>
        <w:t xml:space="preserve"> instructor may contribute to the shift. During the last assessment cycle for this goal, Texas State did not offer an online version of this course, so there is no comparison. We have had significant influx of the faculty teaching MGT 4335 and the results are inclusive of tenured, tenure-track, and non-tenure-track faculty. The sample is representative of every instructor teaching the course in the Spring. This may have something to do with the results.</w:t>
      </w:r>
    </w:p>
    <w:p w14:paraId="6182002C" w14:textId="77777777" w:rsidR="004F733B" w:rsidRDefault="004F733B" w:rsidP="004F733B">
      <w:pPr>
        <w:pStyle w:val="ListParagraph"/>
        <w:ind w:left="2160"/>
      </w:pPr>
    </w:p>
    <w:p w14:paraId="3714BA72" w14:textId="77777777" w:rsidR="004F733B" w:rsidRDefault="004F733B" w:rsidP="004F733B"/>
    <w:p w14:paraId="31418094" w14:textId="77777777" w:rsidR="004F733B" w:rsidRDefault="004F733B" w:rsidP="004F733B">
      <w:pPr>
        <w:pStyle w:val="ListParagraph"/>
        <w:numPr>
          <w:ilvl w:val="0"/>
          <w:numId w:val="3"/>
        </w:numPr>
      </w:pPr>
      <w:r>
        <w:lastRenderedPageBreak/>
        <w:t>Suggested curriculum changes for next year</w:t>
      </w:r>
    </w:p>
    <w:p w14:paraId="38EE8D73" w14:textId="77777777" w:rsidR="004F733B" w:rsidRDefault="004F733B" w:rsidP="004F733B">
      <w:pPr>
        <w:ind w:left="720"/>
      </w:pPr>
    </w:p>
    <w:p w14:paraId="32B54CE5" w14:textId="77777777" w:rsidR="004F733B" w:rsidRDefault="004F733B" w:rsidP="004F733B">
      <w:pPr>
        <w:ind w:left="720"/>
      </w:pPr>
      <w:r>
        <w:t>There are no planned changes in course design or delivery, as the course is currently offered in face-to-face, hybrid, and online modes. The core faculty will explore narrowing the content of the class to focus on fewer topics in strategic management. Given this proposed focus, we have asked the Undergraduate Curriculum Committee to remove Ethics as an assessment goal for MGT 4335. This recommendation stems from a meeting of strategic management faculty in the Fall of 2019 to outline desired student outcomes. The central themes from the student outcomes analysis, along with outcomes from the joint Assurance of Learning and Undergraduate Curriculum committee meetings will drive any changes to the course content.</w:t>
      </w:r>
    </w:p>
    <w:p w14:paraId="6B582300" w14:textId="7053B80B" w:rsidR="004F733B" w:rsidRPr="004F733B" w:rsidRDefault="004F733B"/>
    <w:p w14:paraId="61EB87DF" w14:textId="4F08CC9B" w:rsidR="004F733B" w:rsidRDefault="004F733B" w:rsidP="004F733B">
      <w:pPr>
        <w:pStyle w:val="ListParagraph"/>
        <w:numPr>
          <w:ilvl w:val="0"/>
          <w:numId w:val="1"/>
        </w:numPr>
        <w:rPr>
          <w:b/>
          <w:bCs/>
          <w:i/>
          <w:iCs/>
          <w:sz w:val="28"/>
          <w:szCs w:val="28"/>
        </w:rPr>
      </w:pPr>
      <w:r w:rsidRPr="00093FC7">
        <w:rPr>
          <w:b/>
          <w:bCs/>
          <w:i/>
          <w:iCs/>
          <w:sz w:val="28"/>
          <w:szCs w:val="28"/>
        </w:rPr>
        <w:t xml:space="preserve">Discussion of Results and Planned changes for next year by course for Goal </w:t>
      </w:r>
      <w:r>
        <w:rPr>
          <w:b/>
          <w:bCs/>
          <w:i/>
          <w:iCs/>
          <w:sz w:val="28"/>
          <w:szCs w:val="28"/>
        </w:rPr>
        <w:t>6</w:t>
      </w:r>
    </w:p>
    <w:p w14:paraId="1F9E4880" w14:textId="7F074A99" w:rsidR="004F733B" w:rsidRDefault="004F733B" w:rsidP="004F733B">
      <w:pPr>
        <w:pStyle w:val="ListParagraph"/>
        <w:ind w:left="0"/>
        <w:rPr>
          <w:sz w:val="28"/>
          <w:szCs w:val="28"/>
        </w:rPr>
      </w:pPr>
    </w:p>
    <w:p w14:paraId="55C5D7CD" w14:textId="360F6449" w:rsidR="004F733B" w:rsidRPr="004F733B" w:rsidRDefault="004F733B" w:rsidP="004F733B">
      <w:pPr>
        <w:pStyle w:val="ListParagraph"/>
        <w:ind w:left="0"/>
        <w:rPr>
          <w:sz w:val="28"/>
          <w:szCs w:val="28"/>
        </w:rPr>
      </w:pPr>
      <w:r>
        <w:rPr>
          <w:b/>
          <w:bCs/>
          <w:sz w:val="28"/>
          <w:szCs w:val="28"/>
          <w:u w:val="single"/>
        </w:rPr>
        <w:t>ECO 2315:</w:t>
      </w:r>
    </w:p>
    <w:p w14:paraId="3BE5A8B8" w14:textId="72225FAD" w:rsidR="004F733B" w:rsidRDefault="004F733B" w:rsidP="007A2B3E">
      <w:pPr>
        <w:ind w:left="720"/>
      </w:pPr>
      <w:r>
        <w:t xml:space="preserve">Each year early in the fall semester the ECO 2315 Assessment committee, comprised of the teaching faculty, meets to review the assessment results from the previous year. After reviewing the results, the committee discusses whether there is a need for changes to the assessment items and discusses pedagogy being used to teach the material related to the assessment item. Based on those discussions, the committee then decides on the assessment items to be used for the coming year. For Fall semester 2019, the committee did not make any changes to the assessment items, but did make suggestions for improving the pedagogy, especially with respect to the topic of economic growth, productivity and living standards. </w:t>
      </w:r>
    </w:p>
    <w:p w14:paraId="4D055D54" w14:textId="36ED7BB4" w:rsidR="004F733B" w:rsidRDefault="004F733B" w:rsidP="007A2B3E">
      <w:pPr>
        <w:ind w:left="720"/>
      </w:pPr>
      <w:r>
        <w:t xml:space="preserve">During the semester of Spring 2020, students in 7 sections of Economics 2315 - Principles of Macroeconomics, a McCoy College core course, were evaluated on the goal of understanding the importance of culture and diversity. Because of current situation, the assessment method for evaluating the students was changed from in-class examination to online evaluation. Objective questions were embedded in an on-line assessment in Spring 2020. </w:t>
      </w:r>
      <w:r w:rsidRPr="00F66CEC">
        <w:t>The</w:t>
      </w:r>
      <w:r>
        <w:t xml:space="preserve"> change of evaluation method causes the</w:t>
      </w:r>
      <w:r w:rsidRPr="00F66CEC">
        <w:t xml:space="preserve"> results</w:t>
      </w:r>
      <w:r>
        <w:t xml:space="preserve"> </w:t>
      </w:r>
      <w:r w:rsidRPr="00F66CEC">
        <w:t xml:space="preserve">to be relatively </w:t>
      </w:r>
      <w:r>
        <w:t>better</w:t>
      </w:r>
      <w:r w:rsidRPr="00F66CEC">
        <w:t xml:space="preserve"> than previous semesters.</w:t>
      </w:r>
      <w:r>
        <w:t xml:space="preserve"> Thus, the criteria of evaluation were adjusted given this fact. Students can answer 90% and above of the questions correctly are evaluated as “Exceeds Expectations”, which was 80% in previous semesters. </w:t>
      </w:r>
      <w:r w:rsidRPr="00017B5C">
        <w:t xml:space="preserve">Students who can answer 70% - 89% of the questions correctly are evaluated as “Meets Expectations”, which was 70% - 79% in previous semesters. Other assessment criteria are the same as before. </w:t>
      </w:r>
    </w:p>
    <w:p w14:paraId="4FAF77F7" w14:textId="77777777" w:rsidR="00A96011" w:rsidRDefault="00A96011" w:rsidP="007A2B3E">
      <w:pPr>
        <w:ind w:left="720"/>
      </w:pPr>
    </w:p>
    <w:p w14:paraId="08328206" w14:textId="77777777" w:rsidR="004F733B" w:rsidRDefault="004F733B" w:rsidP="004F733B">
      <w:pPr>
        <w:spacing w:line="480" w:lineRule="auto"/>
      </w:pPr>
      <w:r w:rsidRPr="004F733B">
        <w:rPr>
          <w:b/>
          <w:bCs/>
          <w:u w:val="single"/>
        </w:rPr>
        <w:t>MGT 3303</w:t>
      </w:r>
      <w:r w:rsidRPr="001326DE">
        <w:rPr>
          <w:b/>
          <w:bCs/>
          <w:u w:val="single"/>
        </w:rPr>
        <w:t>:</w:t>
      </w:r>
    </w:p>
    <w:p w14:paraId="6C47CB44" w14:textId="1E42E544" w:rsidR="001326DE" w:rsidRPr="001326DE" w:rsidRDefault="001326DE" w:rsidP="001326DE">
      <w:pPr>
        <w:snapToGrid w:val="0"/>
        <w:contextualSpacing/>
      </w:pPr>
      <w:r w:rsidRPr="001326DE">
        <w:rPr>
          <w:b/>
        </w:rPr>
        <w:t>Summary of Findings in 2019-2020</w:t>
      </w:r>
    </w:p>
    <w:p w14:paraId="194DDF59" w14:textId="77777777" w:rsidR="001326DE" w:rsidRPr="001326DE" w:rsidRDefault="001326DE" w:rsidP="001326DE">
      <w:pPr>
        <w:snapToGrid w:val="0"/>
        <w:contextualSpacing/>
      </w:pPr>
      <w:r w:rsidRPr="001326DE">
        <w:t xml:space="preserve">The target of 70% of management majors either meeting or exceeding expectations on Program Goal 6 was met with 94% of business majors either meeting or exceeding expectations for assessment measure one and two; which is a very positive outcome. </w:t>
      </w:r>
    </w:p>
    <w:p w14:paraId="5B7E25AF" w14:textId="77777777" w:rsidR="001326DE" w:rsidRPr="001326DE" w:rsidRDefault="001326DE" w:rsidP="001326DE">
      <w:pPr>
        <w:snapToGrid w:val="0"/>
        <w:contextualSpacing/>
        <w:rPr>
          <w:b/>
        </w:rPr>
      </w:pPr>
    </w:p>
    <w:p w14:paraId="117887F0" w14:textId="77777777" w:rsidR="001326DE" w:rsidRPr="001326DE" w:rsidRDefault="001326DE" w:rsidP="001326DE">
      <w:pPr>
        <w:snapToGrid w:val="0"/>
        <w:contextualSpacing/>
        <w:rPr>
          <w:b/>
        </w:rPr>
      </w:pPr>
      <w:r w:rsidRPr="001326DE">
        <w:rPr>
          <w:b/>
        </w:rPr>
        <w:t xml:space="preserve">Closing the Loop on Recommendations from 2018-2019 </w:t>
      </w:r>
    </w:p>
    <w:p w14:paraId="5803C21A" w14:textId="77777777" w:rsidR="001326DE" w:rsidRPr="001326DE" w:rsidRDefault="001326DE" w:rsidP="001326DE">
      <w:pPr>
        <w:snapToGrid w:val="0"/>
        <w:contextualSpacing/>
      </w:pPr>
      <w:r w:rsidRPr="001326DE">
        <w:lastRenderedPageBreak/>
        <w:t>At the end of last year’s assessment, we proposed several changes to the assurance of learning process in MGT 3303 with the goal of making continuous improvement:</w:t>
      </w:r>
    </w:p>
    <w:p w14:paraId="233A36F7" w14:textId="77777777" w:rsidR="001326DE" w:rsidRPr="001326DE" w:rsidRDefault="001326DE" w:rsidP="001326DE">
      <w:pPr>
        <w:snapToGrid w:val="0"/>
        <w:contextualSpacing/>
      </w:pPr>
    </w:p>
    <w:p w14:paraId="0B5B5B34" w14:textId="77777777" w:rsidR="001326DE" w:rsidRPr="001326DE" w:rsidRDefault="001326DE" w:rsidP="001326DE">
      <w:pPr>
        <w:pStyle w:val="ListParagraph"/>
        <w:numPr>
          <w:ilvl w:val="0"/>
          <w:numId w:val="4"/>
        </w:numPr>
        <w:snapToGrid w:val="0"/>
        <w:rPr>
          <w:rFonts w:cs="Times New Roman"/>
          <w:szCs w:val="24"/>
        </w:rPr>
      </w:pPr>
      <w:r w:rsidRPr="001326DE">
        <w:rPr>
          <w:rFonts w:cs="Times New Roman"/>
          <w:szCs w:val="24"/>
          <w:u w:val="single"/>
        </w:rPr>
        <w:t>Required Assignments</w:t>
      </w:r>
      <w:r w:rsidRPr="001326DE">
        <w:rPr>
          <w:rFonts w:cs="Times New Roman"/>
          <w:szCs w:val="24"/>
        </w:rPr>
        <w:t xml:space="preserve">: In 2019-2020, all assurance of learning assignments in MGT 3303 were required and counted toward students’ final grades.  In prior years, the assignments were for extra credit and as such, students were not required to complete them.  Continuing to require them should reduce the risk of range restriction; that is, some MGT 3303 students who maintain high course grade averages may not see the need to complete extra credit assurance of learning assignments.  This effect could reduce the percentage of students who either meet or exceed expectations, limiting the generalizability of the results. </w:t>
      </w:r>
    </w:p>
    <w:p w14:paraId="4AC69994" w14:textId="77777777" w:rsidR="001326DE" w:rsidRPr="001326DE" w:rsidRDefault="001326DE" w:rsidP="001326DE">
      <w:pPr>
        <w:pStyle w:val="ListParagraph"/>
        <w:snapToGrid w:val="0"/>
        <w:rPr>
          <w:rFonts w:cs="Times New Roman"/>
          <w:szCs w:val="24"/>
        </w:rPr>
      </w:pPr>
    </w:p>
    <w:p w14:paraId="3FFEABBE" w14:textId="77777777" w:rsidR="001326DE" w:rsidRPr="001326DE" w:rsidRDefault="001326DE" w:rsidP="001326DE">
      <w:pPr>
        <w:pStyle w:val="ListParagraph"/>
        <w:numPr>
          <w:ilvl w:val="0"/>
          <w:numId w:val="4"/>
        </w:numPr>
        <w:snapToGrid w:val="0"/>
        <w:contextualSpacing w:val="0"/>
        <w:rPr>
          <w:rFonts w:cs="Times New Roman"/>
          <w:szCs w:val="24"/>
          <w:u w:val="single"/>
        </w:rPr>
      </w:pPr>
      <w:r w:rsidRPr="001326DE">
        <w:rPr>
          <w:rFonts w:cs="Times New Roman"/>
          <w:szCs w:val="24"/>
          <w:u w:val="single"/>
        </w:rPr>
        <w:t>Random Selection of Participating Instructors</w:t>
      </w:r>
      <w:r w:rsidRPr="001326DE">
        <w:rPr>
          <w:rFonts w:cs="Times New Roman"/>
          <w:szCs w:val="24"/>
        </w:rPr>
        <w:t xml:space="preserve">: Starting in 2019-2020, a random sample of instructors was chosen to collect data in their respective MGT 3303 sections.  In prior years, instructors were invited to participate in the data collection process based on their willingness to do so. In addition to including randomly-selected instructors, the core course coordinator’s section, the hybrid sections, and the Round Rock campus instructor’s section were included in the sample. </w:t>
      </w:r>
    </w:p>
    <w:p w14:paraId="280F5DDC" w14:textId="77777777" w:rsidR="001326DE" w:rsidRPr="001326DE" w:rsidRDefault="001326DE" w:rsidP="001326DE">
      <w:pPr>
        <w:pStyle w:val="ListParagraph"/>
        <w:snapToGrid w:val="0"/>
        <w:contextualSpacing w:val="0"/>
        <w:rPr>
          <w:rFonts w:cs="Times New Roman"/>
          <w:szCs w:val="24"/>
          <w:u w:val="single"/>
        </w:rPr>
      </w:pPr>
    </w:p>
    <w:p w14:paraId="70907F7C" w14:textId="77777777" w:rsidR="001326DE" w:rsidRPr="001326DE" w:rsidRDefault="001326DE" w:rsidP="001326DE">
      <w:pPr>
        <w:pStyle w:val="ListParagraph"/>
        <w:numPr>
          <w:ilvl w:val="0"/>
          <w:numId w:val="4"/>
        </w:numPr>
        <w:snapToGrid w:val="0"/>
        <w:contextualSpacing w:val="0"/>
        <w:rPr>
          <w:rFonts w:cs="Times New Roman"/>
          <w:szCs w:val="24"/>
        </w:rPr>
      </w:pPr>
      <w:r w:rsidRPr="001326DE">
        <w:rPr>
          <w:rFonts w:cs="Times New Roman"/>
          <w:szCs w:val="24"/>
          <w:u w:val="single"/>
        </w:rPr>
        <w:t>Second Direct Measure</w:t>
      </w:r>
      <w:r w:rsidRPr="001326DE">
        <w:rPr>
          <w:rFonts w:cs="Times New Roman"/>
          <w:szCs w:val="24"/>
        </w:rPr>
        <w:t xml:space="preserve">: Starting in 2019-2020, a second direct measure was included to collect data on Learning Goal 6.  Multiple choice items were randomly generated by the digital learning platform that accompanies the required textbook.  Students answered 40 or more multiple choice questions related to each of the learning goal.  </w:t>
      </w:r>
    </w:p>
    <w:p w14:paraId="7277AB95" w14:textId="77777777" w:rsidR="001326DE" w:rsidRPr="001326DE" w:rsidRDefault="001326DE" w:rsidP="001326DE">
      <w:pPr>
        <w:snapToGrid w:val="0"/>
      </w:pPr>
    </w:p>
    <w:p w14:paraId="73FE76ED" w14:textId="77777777" w:rsidR="001326DE" w:rsidRPr="001326DE" w:rsidRDefault="001326DE" w:rsidP="001326DE">
      <w:pPr>
        <w:pStyle w:val="ListParagraph"/>
        <w:numPr>
          <w:ilvl w:val="0"/>
          <w:numId w:val="4"/>
        </w:numPr>
        <w:snapToGrid w:val="0"/>
        <w:rPr>
          <w:rFonts w:cs="Times New Roman"/>
          <w:szCs w:val="24"/>
        </w:rPr>
      </w:pPr>
      <w:r w:rsidRPr="001326DE">
        <w:rPr>
          <w:rFonts w:cs="Times New Roman"/>
          <w:szCs w:val="24"/>
          <w:u w:val="single"/>
        </w:rPr>
        <w:t>Hybrid Section Measurement</w:t>
      </w:r>
      <w:r w:rsidRPr="001326DE">
        <w:rPr>
          <w:rFonts w:cs="Times New Roman"/>
          <w:szCs w:val="24"/>
        </w:rPr>
        <w:t xml:space="preserve">: Starting in 2019-2020, the Assistant Core Course Coordinator, who taught several hybrid sections of MGT 3303, collected and integrated Assurance of Learning data into the overall assessment process. </w:t>
      </w:r>
    </w:p>
    <w:p w14:paraId="04254F6C" w14:textId="77777777" w:rsidR="001326DE" w:rsidRPr="001326DE" w:rsidRDefault="001326DE" w:rsidP="001326DE">
      <w:pPr>
        <w:pStyle w:val="ListParagraph"/>
        <w:snapToGrid w:val="0"/>
        <w:rPr>
          <w:rFonts w:cs="Times New Roman"/>
          <w:szCs w:val="24"/>
        </w:rPr>
      </w:pPr>
    </w:p>
    <w:p w14:paraId="26649650" w14:textId="77777777" w:rsidR="001326DE" w:rsidRPr="001326DE" w:rsidRDefault="001326DE" w:rsidP="001326DE">
      <w:pPr>
        <w:pStyle w:val="ListParagraph"/>
        <w:numPr>
          <w:ilvl w:val="0"/>
          <w:numId w:val="4"/>
        </w:numPr>
        <w:snapToGrid w:val="0"/>
        <w:rPr>
          <w:rFonts w:cs="Times New Roman"/>
          <w:szCs w:val="24"/>
        </w:rPr>
      </w:pPr>
      <w:r w:rsidRPr="001326DE">
        <w:rPr>
          <w:rFonts w:cs="Times New Roman"/>
          <w:szCs w:val="24"/>
          <w:u w:val="single"/>
        </w:rPr>
        <w:t>New Edition of Textbook</w:t>
      </w:r>
      <w:r w:rsidRPr="001326DE">
        <w:rPr>
          <w:rFonts w:cs="Times New Roman"/>
          <w:szCs w:val="24"/>
        </w:rPr>
        <w:t>: Starting in 2019-2020, all sections of MGT 3303 adopted the 6</w:t>
      </w:r>
      <w:r w:rsidRPr="001326DE">
        <w:rPr>
          <w:rFonts w:cs="Times New Roman"/>
          <w:szCs w:val="24"/>
          <w:vertAlign w:val="superscript"/>
        </w:rPr>
        <w:t>th</w:t>
      </w:r>
      <w:r w:rsidRPr="001326DE">
        <w:rPr>
          <w:rFonts w:cs="Times New Roman"/>
          <w:szCs w:val="24"/>
        </w:rPr>
        <w:t xml:space="preserve"> edition of M: Management (published by McGraw-Hill Education).  As one of the more student-friendly, up-to-date, and affordable textbooks on the principles of management market, the current 6</w:t>
      </w:r>
      <w:r w:rsidRPr="001326DE">
        <w:rPr>
          <w:rFonts w:cs="Times New Roman"/>
          <w:szCs w:val="24"/>
          <w:vertAlign w:val="superscript"/>
        </w:rPr>
        <w:t>th</w:t>
      </w:r>
      <w:r w:rsidRPr="001326DE">
        <w:rPr>
          <w:rFonts w:cs="Times New Roman"/>
          <w:szCs w:val="24"/>
        </w:rPr>
        <w:t xml:space="preserve"> edition helped management students learn more thoroughly and deeply the content related to the learning objectives. </w:t>
      </w:r>
    </w:p>
    <w:p w14:paraId="7BE737C0" w14:textId="77777777" w:rsidR="001326DE" w:rsidRPr="001326DE" w:rsidRDefault="001326DE" w:rsidP="001326DE">
      <w:pPr>
        <w:snapToGrid w:val="0"/>
        <w:contextualSpacing/>
        <w:rPr>
          <w:b/>
        </w:rPr>
      </w:pPr>
    </w:p>
    <w:p w14:paraId="3F104259" w14:textId="77777777" w:rsidR="001326DE" w:rsidRPr="001326DE" w:rsidRDefault="001326DE" w:rsidP="001326DE">
      <w:pPr>
        <w:snapToGrid w:val="0"/>
        <w:contextualSpacing/>
        <w:rPr>
          <w:b/>
        </w:rPr>
      </w:pPr>
    </w:p>
    <w:p w14:paraId="6DCE2E5D" w14:textId="77777777" w:rsidR="001326DE" w:rsidRPr="001326DE" w:rsidRDefault="001326DE" w:rsidP="001326DE">
      <w:pPr>
        <w:snapToGrid w:val="0"/>
        <w:contextualSpacing/>
      </w:pPr>
      <w:r w:rsidRPr="001326DE">
        <w:rPr>
          <w:b/>
        </w:rPr>
        <w:t>Recommendations for Next Academic Year 2020-2021</w:t>
      </w:r>
    </w:p>
    <w:p w14:paraId="19D5A46B" w14:textId="77777777" w:rsidR="001326DE" w:rsidRPr="001326DE" w:rsidRDefault="001326DE" w:rsidP="001326DE">
      <w:pPr>
        <w:snapToGrid w:val="0"/>
        <w:contextualSpacing/>
      </w:pPr>
      <w:r w:rsidRPr="001326DE">
        <w:t>The 2019-2020 assurance of learning results were strong but that is no reason to maintain a status quo approach to teaching MGT 3303, Management of Organizations. With any programmatic assessment, there is always room for improvement.  The following steps will be implemented during the upcoming 2020-2021 academic year to ensure continuous improvement of learning:</w:t>
      </w:r>
    </w:p>
    <w:p w14:paraId="34114F73" w14:textId="77777777" w:rsidR="001326DE" w:rsidRPr="001326DE" w:rsidRDefault="001326DE" w:rsidP="001326DE"/>
    <w:p w14:paraId="1721B98F" w14:textId="77777777" w:rsidR="001326DE" w:rsidRPr="001326DE" w:rsidRDefault="001326DE" w:rsidP="001326DE">
      <w:pPr>
        <w:pStyle w:val="ListParagraph"/>
        <w:numPr>
          <w:ilvl w:val="0"/>
          <w:numId w:val="5"/>
        </w:numPr>
        <w:snapToGrid w:val="0"/>
        <w:rPr>
          <w:rFonts w:cs="Times New Roman"/>
          <w:szCs w:val="24"/>
        </w:rPr>
      </w:pPr>
      <w:r w:rsidRPr="001326DE">
        <w:rPr>
          <w:rFonts w:cs="Times New Roman"/>
          <w:szCs w:val="24"/>
          <w:u w:val="single"/>
        </w:rPr>
        <w:t>Online AoL Assessment</w:t>
      </w:r>
      <w:r w:rsidRPr="001326DE">
        <w:rPr>
          <w:rFonts w:cs="Times New Roman"/>
          <w:szCs w:val="24"/>
        </w:rPr>
        <w:t xml:space="preserve">: Beginning in the 2020-2021 academic year, we plan to move all assurance of learning assessment online. This move is beneficial because it will allow face-to-face instructors to spend more time covering course material instead of taking two 50-minute class periods to administer assurance of learning materials. Because the second measure (answering multiple choice questions on the digital learning platform) already </w:t>
      </w:r>
      <w:r w:rsidRPr="001326DE">
        <w:rPr>
          <w:rFonts w:cs="Times New Roman"/>
          <w:szCs w:val="24"/>
        </w:rPr>
        <w:lastRenderedPageBreak/>
        <w:t xml:space="preserve">takes place online, moving the first measure (embedded multiple-choice questions) to an online format will add congruence across measures. </w:t>
      </w:r>
    </w:p>
    <w:p w14:paraId="03D86112" w14:textId="77777777" w:rsidR="001326DE" w:rsidRPr="001326DE" w:rsidRDefault="001326DE" w:rsidP="001326DE">
      <w:pPr>
        <w:pStyle w:val="ListParagraph"/>
        <w:snapToGrid w:val="0"/>
        <w:rPr>
          <w:rFonts w:cs="Times New Roman"/>
          <w:szCs w:val="24"/>
        </w:rPr>
      </w:pPr>
    </w:p>
    <w:p w14:paraId="1F1092E8" w14:textId="77777777" w:rsidR="001326DE" w:rsidRPr="001326DE" w:rsidRDefault="001326DE" w:rsidP="001326DE">
      <w:pPr>
        <w:pStyle w:val="ListParagraph"/>
        <w:numPr>
          <w:ilvl w:val="0"/>
          <w:numId w:val="5"/>
        </w:numPr>
        <w:snapToGrid w:val="0"/>
        <w:contextualSpacing w:val="0"/>
        <w:rPr>
          <w:rFonts w:cs="Times New Roman"/>
          <w:szCs w:val="24"/>
          <w:u w:val="single"/>
        </w:rPr>
      </w:pPr>
      <w:r w:rsidRPr="001326DE">
        <w:rPr>
          <w:rFonts w:cs="Times New Roman"/>
          <w:szCs w:val="24"/>
          <w:u w:val="single"/>
        </w:rPr>
        <w:t>Required Assignments</w:t>
      </w:r>
      <w:r w:rsidRPr="001326DE">
        <w:rPr>
          <w:rFonts w:cs="Times New Roman"/>
          <w:szCs w:val="24"/>
        </w:rPr>
        <w:t xml:space="preserve">: Continuing in 2020-2021, all assurance of learning assignments in MGT 3303 will be required and count toward students’ final grades.  Prior to 2017-2018, the assignments were for extra credit and as such, students were not required to complete them.  </w:t>
      </w:r>
    </w:p>
    <w:p w14:paraId="59E09DEE" w14:textId="77777777" w:rsidR="001326DE" w:rsidRPr="001326DE" w:rsidRDefault="001326DE" w:rsidP="001326DE">
      <w:pPr>
        <w:snapToGrid w:val="0"/>
        <w:rPr>
          <w:u w:val="single"/>
        </w:rPr>
      </w:pPr>
    </w:p>
    <w:p w14:paraId="19179086" w14:textId="77777777" w:rsidR="001326DE" w:rsidRPr="001326DE" w:rsidRDefault="001326DE" w:rsidP="001326DE">
      <w:pPr>
        <w:pStyle w:val="ListParagraph"/>
        <w:numPr>
          <w:ilvl w:val="0"/>
          <w:numId w:val="5"/>
        </w:numPr>
        <w:snapToGrid w:val="0"/>
        <w:contextualSpacing w:val="0"/>
        <w:rPr>
          <w:rFonts w:cs="Times New Roman"/>
          <w:szCs w:val="24"/>
          <w:u w:val="single"/>
        </w:rPr>
      </w:pPr>
      <w:r w:rsidRPr="001326DE">
        <w:rPr>
          <w:rFonts w:cs="Times New Roman"/>
          <w:szCs w:val="24"/>
          <w:u w:val="single"/>
        </w:rPr>
        <w:t>Increased Participation of Instructors</w:t>
      </w:r>
      <w:r w:rsidRPr="001326DE">
        <w:rPr>
          <w:rFonts w:cs="Times New Roman"/>
          <w:szCs w:val="24"/>
        </w:rPr>
        <w:t>: Starting in 2020-2021, all instructors will be required to submit assurance of learning data except first-year instructors. This will provide a larger sample of the students in our courses and will incorporate instructors teaching the course for many years with those teaching it only a few semesters. We have chosen to not collect data from first-year instructors as they are mastering the content and teaching methods while getting feedback from the course coordinators on their teaching.</w:t>
      </w:r>
    </w:p>
    <w:p w14:paraId="38102F16" w14:textId="77777777" w:rsidR="001326DE" w:rsidRPr="001326DE" w:rsidRDefault="001326DE" w:rsidP="001326DE">
      <w:pPr>
        <w:snapToGrid w:val="0"/>
        <w:rPr>
          <w:u w:val="single"/>
        </w:rPr>
      </w:pPr>
    </w:p>
    <w:p w14:paraId="5FEB20A1" w14:textId="77777777" w:rsidR="001326DE" w:rsidRPr="001326DE" w:rsidRDefault="001326DE" w:rsidP="001326DE">
      <w:pPr>
        <w:pStyle w:val="ListParagraph"/>
        <w:numPr>
          <w:ilvl w:val="0"/>
          <w:numId w:val="5"/>
        </w:numPr>
        <w:snapToGrid w:val="0"/>
        <w:rPr>
          <w:rFonts w:cs="Times New Roman"/>
          <w:szCs w:val="24"/>
        </w:rPr>
      </w:pPr>
      <w:r w:rsidRPr="001326DE">
        <w:rPr>
          <w:rFonts w:cs="Times New Roman"/>
          <w:szCs w:val="24"/>
          <w:u w:val="single"/>
        </w:rPr>
        <w:t>Supplementary Activities</w:t>
      </w:r>
      <w:r w:rsidRPr="001326DE">
        <w:rPr>
          <w:rFonts w:cs="Times New Roman"/>
          <w:szCs w:val="24"/>
        </w:rPr>
        <w:t xml:space="preserve">: Course coordinators will review online supplementary application activities for chapters covering this learning objective and make suggestions of which instructors might consider for use in their classrooms. </w:t>
      </w:r>
    </w:p>
    <w:p w14:paraId="5A4F9ED2" w14:textId="77777777" w:rsidR="001326DE" w:rsidRPr="001326DE" w:rsidRDefault="001326DE" w:rsidP="001326DE">
      <w:pPr>
        <w:pStyle w:val="ListParagraph"/>
        <w:snapToGrid w:val="0"/>
        <w:rPr>
          <w:rFonts w:cs="Times New Roman"/>
          <w:szCs w:val="24"/>
        </w:rPr>
      </w:pPr>
    </w:p>
    <w:p w14:paraId="3B8CD26E" w14:textId="77777777" w:rsidR="001326DE" w:rsidRPr="001326DE" w:rsidRDefault="001326DE" w:rsidP="001326DE">
      <w:pPr>
        <w:pStyle w:val="ListParagraph"/>
        <w:numPr>
          <w:ilvl w:val="0"/>
          <w:numId w:val="5"/>
        </w:numPr>
        <w:snapToGrid w:val="0"/>
        <w:rPr>
          <w:rFonts w:cs="Times New Roman"/>
          <w:szCs w:val="24"/>
        </w:rPr>
      </w:pPr>
      <w:r w:rsidRPr="001326DE">
        <w:rPr>
          <w:rFonts w:cs="Times New Roman"/>
          <w:szCs w:val="24"/>
          <w:u w:val="single"/>
        </w:rPr>
        <w:t>Sharing of Results</w:t>
      </w:r>
      <w:r w:rsidRPr="001326DE">
        <w:rPr>
          <w:rFonts w:cs="Times New Roman"/>
          <w:szCs w:val="24"/>
        </w:rPr>
        <w:t>: The core course coordinators will share with MGT 3303 instructors the results of Program Goal 6 and encourage them to spend a similar amount of time as in the previous academic year covering Chapters 6.</w:t>
      </w:r>
    </w:p>
    <w:p w14:paraId="24718E45" w14:textId="77777777" w:rsidR="001326DE" w:rsidRPr="001326DE" w:rsidRDefault="001326DE" w:rsidP="001326DE">
      <w:pPr>
        <w:snapToGrid w:val="0"/>
      </w:pPr>
    </w:p>
    <w:p w14:paraId="336BAB68" w14:textId="77777777" w:rsidR="001326DE" w:rsidRPr="001326DE" w:rsidRDefault="001326DE" w:rsidP="001326DE">
      <w:pPr>
        <w:pStyle w:val="ListParagraph"/>
        <w:numPr>
          <w:ilvl w:val="0"/>
          <w:numId w:val="5"/>
        </w:numPr>
        <w:snapToGrid w:val="0"/>
        <w:rPr>
          <w:rFonts w:cs="Times New Roman"/>
          <w:szCs w:val="24"/>
        </w:rPr>
      </w:pPr>
      <w:r w:rsidRPr="001326DE">
        <w:rPr>
          <w:rFonts w:cs="Times New Roman"/>
          <w:szCs w:val="24"/>
          <w:u w:val="single"/>
        </w:rPr>
        <w:t>Instructor Feedback</w:t>
      </w:r>
      <w:r w:rsidRPr="001326DE">
        <w:rPr>
          <w:rFonts w:cs="Times New Roman"/>
          <w:szCs w:val="24"/>
        </w:rPr>
        <w:t xml:space="preserve">: The core course coordinators will seek instructor feedback regarding any and all suggested changes for the 2020-2021 academic year.  </w:t>
      </w:r>
    </w:p>
    <w:p w14:paraId="449B936A" w14:textId="77777777" w:rsidR="001326DE" w:rsidRPr="001326DE" w:rsidRDefault="001326DE" w:rsidP="001326DE">
      <w:pPr>
        <w:pStyle w:val="ListParagraph"/>
        <w:snapToGrid w:val="0"/>
        <w:rPr>
          <w:rFonts w:cs="Times New Roman"/>
          <w:szCs w:val="24"/>
        </w:rPr>
      </w:pPr>
    </w:p>
    <w:p w14:paraId="5A51A62E" w14:textId="77777777" w:rsidR="001326DE" w:rsidRDefault="001326DE" w:rsidP="004F733B">
      <w:pPr>
        <w:spacing w:line="480" w:lineRule="auto"/>
      </w:pPr>
    </w:p>
    <w:p w14:paraId="0B280895" w14:textId="77777777" w:rsidR="001326DE" w:rsidRPr="00DF1877" w:rsidRDefault="001326DE" w:rsidP="004F733B">
      <w:pPr>
        <w:spacing w:line="480" w:lineRule="auto"/>
      </w:pPr>
      <w:r w:rsidRPr="001326DE">
        <w:rPr>
          <w:b/>
          <w:bCs/>
          <w:u w:val="single"/>
        </w:rPr>
        <w:t>MKT 3343:</w:t>
      </w:r>
    </w:p>
    <w:p w14:paraId="1FBF2169" w14:textId="77777777" w:rsidR="00A96011" w:rsidRPr="0029477D" w:rsidRDefault="00A96011" w:rsidP="00A96011">
      <w:pPr>
        <w:pStyle w:val="ListParagraph"/>
        <w:numPr>
          <w:ilvl w:val="0"/>
          <w:numId w:val="6"/>
        </w:numPr>
        <w:spacing w:after="160" w:line="259" w:lineRule="auto"/>
        <w:rPr>
          <w:u w:val="single"/>
        </w:rPr>
      </w:pPr>
      <w:r>
        <w:t xml:space="preserve">In AY 2019 – 2020, all majors measured between 55% and 65% in Culture and Diversity.  While this is more than half of all the students who were assessed, our goal is reach greater than 75%. </w:t>
      </w:r>
    </w:p>
    <w:p w14:paraId="02717983" w14:textId="77777777" w:rsidR="00A96011" w:rsidRPr="0029477D" w:rsidRDefault="00A96011" w:rsidP="00A96011">
      <w:pPr>
        <w:pStyle w:val="ListParagraph"/>
        <w:numPr>
          <w:ilvl w:val="0"/>
          <w:numId w:val="6"/>
        </w:numPr>
        <w:spacing w:after="160" w:line="259" w:lineRule="auto"/>
        <w:rPr>
          <w:u w:val="single"/>
        </w:rPr>
      </w:pPr>
      <w:r>
        <w:t>One method that we will use to improve the results is more questions on the exams that are directly focused on this outcome.  Some of the questions in prior years had Culture and Diversity as one of two or three outcomes being measured and may not have been as clear as needed.</w:t>
      </w:r>
    </w:p>
    <w:p w14:paraId="564F4B30" w14:textId="77777777" w:rsidR="00A96011" w:rsidRPr="00E26246" w:rsidRDefault="00A96011" w:rsidP="00A96011">
      <w:pPr>
        <w:pStyle w:val="ListParagraph"/>
        <w:numPr>
          <w:ilvl w:val="0"/>
          <w:numId w:val="6"/>
        </w:numPr>
        <w:spacing w:after="160" w:line="259" w:lineRule="auto"/>
        <w:rPr>
          <w:u w:val="single"/>
        </w:rPr>
      </w:pPr>
      <w:r>
        <w:t>Each instructor in Marketing 3343 will also emphasize the importance of an appreciation of Culture and Diversity in the workplace and how the marketing discipline can do its part to in product development, product promotion, and the hiring process for marketing positions.</w:t>
      </w:r>
    </w:p>
    <w:p w14:paraId="3B045DE9" w14:textId="77777777" w:rsidR="00A96011" w:rsidRPr="00E26246" w:rsidRDefault="00A96011" w:rsidP="00A96011">
      <w:pPr>
        <w:pStyle w:val="ListParagraph"/>
        <w:numPr>
          <w:ilvl w:val="0"/>
          <w:numId w:val="6"/>
        </w:numPr>
        <w:spacing w:after="160" w:line="259" w:lineRule="auto"/>
        <w:rPr>
          <w:u w:val="single"/>
        </w:rPr>
      </w:pPr>
      <w:r>
        <w:t xml:space="preserve">With a recognition that marketing and business cannot be separated from everything else a consumer experiences, we will also use current events and societal changes, such as how the current virus pandemic affects various cultures, ethnic groups, and demographic cohorts. The recent and powerful impact of the “Black Lives Matter” movement is also </w:t>
      </w:r>
      <w:r>
        <w:lastRenderedPageBreak/>
        <w:t>an excellent teaching opportunity to give students examples of how marketing and business can be major players in equal opportunities in employment, promotions, and product availability.</w:t>
      </w:r>
    </w:p>
    <w:p w14:paraId="31938C96" w14:textId="77777777" w:rsidR="00A96011" w:rsidRPr="0029477D" w:rsidRDefault="00A96011" w:rsidP="00A96011">
      <w:pPr>
        <w:pStyle w:val="ListParagraph"/>
        <w:numPr>
          <w:ilvl w:val="0"/>
          <w:numId w:val="6"/>
        </w:numPr>
        <w:spacing w:after="160" w:line="259" w:lineRule="auto"/>
        <w:rPr>
          <w:u w:val="single"/>
        </w:rPr>
      </w:pPr>
      <w:r>
        <w:t>Students at Texas State University represent a vast collection of cultures and diversity in gender, sexual orientation, political leanings, and economic status.  Instructors are committed to leading discussions that involve all different groups and individuals and encouraging them to share their perspectives, experiences, and recommendations for how marketing can be a valuable tool in helping consumers and society at large improve the recognition of the value of culture and diversity inside and outside the workplace.</w:t>
      </w:r>
    </w:p>
    <w:p w14:paraId="217D0414" w14:textId="54124576" w:rsidR="00DF1877" w:rsidRDefault="00DF1877" w:rsidP="004F733B">
      <w:pPr>
        <w:spacing w:line="480" w:lineRule="auto"/>
      </w:pPr>
    </w:p>
    <w:p w14:paraId="5BFFA3AC" w14:textId="4AB92F24" w:rsidR="00DF1877" w:rsidRPr="002360C8" w:rsidRDefault="00DF1877" w:rsidP="00DF1877">
      <w:pPr>
        <w:pStyle w:val="ListParagraph"/>
        <w:numPr>
          <w:ilvl w:val="0"/>
          <w:numId w:val="1"/>
        </w:numPr>
        <w:spacing w:line="480" w:lineRule="auto"/>
        <w:rPr>
          <w:b/>
          <w:bCs/>
          <w:i/>
          <w:iCs/>
          <w:sz w:val="28"/>
          <w:szCs w:val="28"/>
        </w:rPr>
      </w:pPr>
      <w:r w:rsidRPr="002360C8">
        <w:rPr>
          <w:b/>
          <w:bCs/>
          <w:i/>
          <w:iCs/>
          <w:sz w:val="28"/>
          <w:szCs w:val="28"/>
        </w:rPr>
        <w:t>Assessment Methods by Goal and Course</w:t>
      </w:r>
    </w:p>
    <w:p w14:paraId="3D525D15" w14:textId="6CDF867A" w:rsidR="00DF1877" w:rsidRPr="00DF1877" w:rsidRDefault="00DF1877" w:rsidP="00DF1877">
      <w:pPr>
        <w:spacing w:line="480" w:lineRule="auto"/>
        <w:ind w:left="360"/>
        <w:rPr>
          <w:b/>
          <w:bCs/>
          <w:i/>
          <w:iCs/>
        </w:rPr>
      </w:pPr>
      <w:r w:rsidRPr="00DF1877">
        <w:rPr>
          <w:b/>
          <w:bCs/>
          <w:i/>
          <w:iCs/>
        </w:rPr>
        <w:t>Methods for BBA Goal 4—Understanding Ethical Behavior</w:t>
      </w:r>
    </w:p>
    <w:p w14:paraId="4952F8E1" w14:textId="77777777" w:rsidR="00DF1877" w:rsidRPr="00DF1877" w:rsidRDefault="00DF1877" w:rsidP="00DF1877">
      <w:pPr>
        <w:rPr>
          <w:b/>
          <w:bCs/>
          <w:u w:val="single"/>
        </w:rPr>
      </w:pPr>
      <w:r w:rsidRPr="00DF1877">
        <w:rPr>
          <w:b/>
          <w:bCs/>
          <w:u w:val="single"/>
        </w:rPr>
        <w:t>MGT 4335:</w:t>
      </w:r>
    </w:p>
    <w:p w14:paraId="74335FFD" w14:textId="0B940A12" w:rsidR="00DF1877" w:rsidRDefault="00DF1877" w:rsidP="00DF1877">
      <w:pPr>
        <w:ind w:left="720"/>
      </w:pPr>
      <w:r>
        <w:t>Sample Assessment Method: Exam questions asking students to identify ethical situations and apply basic ethical concepts to business situations.</w:t>
      </w:r>
    </w:p>
    <w:p w14:paraId="5636E5F6" w14:textId="0F22AD41" w:rsidR="00DF1877" w:rsidRDefault="00DF1877" w:rsidP="00DF1877">
      <w:pPr>
        <w:spacing w:line="480" w:lineRule="auto"/>
        <w:ind w:left="360"/>
      </w:pPr>
    </w:p>
    <w:p w14:paraId="405D3E1A" w14:textId="37BEEBFB" w:rsidR="00DF1877" w:rsidRPr="007A2B3E" w:rsidRDefault="00DF1877" w:rsidP="00DF1877">
      <w:pPr>
        <w:spacing w:line="480" w:lineRule="auto"/>
        <w:ind w:left="360"/>
        <w:rPr>
          <w:b/>
          <w:bCs/>
          <w:i/>
          <w:iCs/>
        </w:rPr>
      </w:pPr>
      <w:r w:rsidRPr="007A2B3E">
        <w:rPr>
          <w:b/>
          <w:bCs/>
          <w:i/>
          <w:iCs/>
        </w:rPr>
        <w:t>Methods for BBA Goal 6—Pluralism and Diversity</w:t>
      </w:r>
    </w:p>
    <w:p w14:paraId="326FD340" w14:textId="4BC2B661" w:rsidR="00C03183" w:rsidRDefault="007A2B3E" w:rsidP="00C03183">
      <w:pPr>
        <w:spacing w:line="480" w:lineRule="auto"/>
      </w:pPr>
      <w:r>
        <w:rPr>
          <w:b/>
          <w:bCs/>
          <w:u w:val="single"/>
        </w:rPr>
        <w:t>ECO 2315:</w:t>
      </w:r>
    </w:p>
    <w:p w14:paraId="07DB85F4" w14:textId="4B91DC99" w:rsidR="007A2B3E" w:rsidRPr="007A2B3E" w:rsidRDefault="007A2B3E" w:rsidP="007A2B3E">
      <w:pPr>
        <w:ind w:left="720"/>
      </w:pPr>
      <w:r>
        <w:t>The assessment method for evaluating the students was objective questions embedded in an in-class examination.</w:t>
      </w:r>
    </w:p>
    <w:p w14:paraId="7E96A075" w14:textId="7396ABED" w:rsidR="007A2B3E" w:rsidRPr="007A2B3E" w:rsidRDefault="007A2B3E" w:rsidP="00C03183">
      <w:pPr>
        <w:spacing w:line="480" w:lineRule="auto"/>
      </w:pPr>
      <w:r>
        <w:tab/>
      </w:r>
    </w:p>
    <w:p w14:paraId="6D7FA979" w14:textId="26ED90B5" w:rsidR="00DF1877" w:rsidRPr="007A2B3E" w:rsidRDefault="007A2B3E" w:rsidP="00DF1877">
      <w:pPr>
        <w:spacing w:line="480" w:lineRule="auto"/>
        <w:ind w:left="360"/>
        <w:rPr>
          <w:b/>
          <w:bCs/>
          <w:u w:val="single"/>
        </w:rPr>
      </w:pPr>
      <w:r w:rsidRPr="007A2B3E">
        <w:rPr>
          <w:b/>
          <w:bCs/>
          <w:u w:val="single"/>
        </w:rPr>
        <w:t>MGT 3303:</w:t>
      </w:r>
    </w:p>
    <w:p w14:paraId="4E9C5039" w14:textId="6CA42663" w:rsidR="007A2B3E" w:rsidRPr="007A2B3E" w:rsidRDefault="007A2B3E" w:rsidP="007A2B3E">
      <w:pPr>
        <w:snapToGrid w:val="0"/>
        <w:ind w:left="720"/>
        <w:contextualSpacing/>
      </w:pPr>
      <w:r w:rsidRPr="007A2B3E">
        <w:t>Two direct assessment measures were utilized in MGT 3303 to measure mastery of knowledge related to Goal 6.  The first measure consisted of ten multiple-choice questions that were developed by the core course coordinators with feedback from course instructors.  The second measure included multiple-choice items that were randomly generated by the digital learning platform that accompanies the required textbook. The identified goal is that a minimum of 70% of the management majors will earn a score of 70% or higher on the assessment questions.</w:t>
      </w:r>
    </w:p>
    <w:p w14:paraId="02D54A59" w14:textId="5C6DB9B4" w:rsidR="007A2B3E" w:rsidRDefault="007A2B3E" w:rsidP="00DF1877">
      <w:pPr>
        <w:spacing w:line="480" w:lineRule="auto"/>
        <w:ind w:left="360"/>
      </w:pPr>
    </w:p>
    <w:p w14:paraId="787A1929" w14:textId="266C3764" w:rsidR="007A2B3E" w:rsidRDefault="007A2B3E" w:rsidP="00DF1877">
      <w:pPr>
        <w:spacing w:line="480" w:lineRule="auto"/>
        <w:ind w:left="360"/>
      </w:pPr>
      <w:r w:rsidRPr="007A2B3E">
        <w:rPr>
          <w:b/>
          <w:bCs/>
          <w:u w:val="single"/>
        </w:rPr>
        <w:t>MKT 3343:</w:t>
      </w:r>
    </w:p>
    <w:p w14:paraId="2095B572" w14:textId="6F28008C" w:rsidR="00B402E7" w:rsidRPr="00B402E7" w:rsidRDefault="00597615" w:rsidP="00597615">
      <w:pPr>
        <w:ind w:left="720"/>
      </w:pPr>
      <w:r>
        <w:t>Assessment was performed using a series of multiple choice questions from exams and homework assignments reflecting the student’s understanding of cultural, global, and diversity issues.</w:t>
      </w:r>
    </w:p>
    <w:sectPr w:rsidR="00B402E7" w:rsidRPr="00B4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C1C"/>
    <w:multiLevelType w:val="hybridMultilevel"/>
    <w:tmpl w:val="1AA2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15A5"/>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6BA2"/>
    <w:multiLevelType w:val="hybridMultilevel"/>
    <w:tmpl w:val="62FA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4D34"/>
    <w:multiLevelType w:val="hybridMultilevel"/>
    <w:tmpl w:val="0FB633C8"/>
    <w:lvl w:ilvl="0" w:tplc="A35A1F2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32FB7"/>
    <w:multiLevelType w:val="hybridMultilevel"/>
    <w:tmpl w:val="C0BC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B2C50"/>
    <w:multiLevelType w:val="hybridMultilevel"/>
    <w:tmpl w:val="0FB633C8"/>
    <w:lvl w:ilvl="0" w:tplc="A35A1F2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A3"/>
    <w:rsid w:val="00052EEC"/>
    <w:rsid w:val="001326DE"/>
    <w:rsid w:val="00196AA3"/>
    <w:rsid w:val="001E3EEB"/>
    <w:rsid w:val="002360C8"/>
    <w:rsid w:val="00244607"/>
    <w:rsid w:val="004F733B"/>
    <w:rsid w:val="00597615"/>
    <w:rsid w:val="00727881"/>
    <w:rsid w:val="007A2B3E"/>
    <w:rsid w:val="008066B0"/>
    <w:rsid w:val="008A02D9"/>
    <w:rsid w:val="00901BF7"/>
    <w:rsid w:val="00981F10"/>
    <w:rsid w:val="009E0B6E"/>
    <w:rsid w:val="00A96011"/>
    <w:rsid w:val="00B25883"/>
    <w:rsid w:val="00B402E7"/>
    <w:rsid w:val="00C03183"/>
    <w:rsid w:val="00DE25AD"/>
    <w:rsid w:val="00DF1877"/>
    <w:rsid w:val="00F2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C230"/>
  <w15:chartTrackingRefBased/>
  <w15:docId w15:val="{56CF142C-9F19-420F-ACBB-15F1F724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A3"/>
    <w:rPr>
      <w:rFonts w:eastAsia="Batang"/>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07"/>
    <w:pPr>
      <w:ind w:left="720"/>
      <w:contextualSpacing/>
    </w:pPr>
    <w:rPr>
      <w:rFonts w:eastAsiaTheme="minorHAnsi" w:cstheme="minorBidi"/>
      <w:szCs w:val="22"/>
      <w:lang w:eastAsia="en-US"/>
    </w:rPr>
  </w:style>
  <w:style w:type="paragraph" w:styleId="BalloonText">
    <w:name w:val="Balloon Text"/>
    <w:basedOn w:val="Normal"/>
    <w:link w:val="BalloonTextChar"/>
    <w:uiPriority w:val="99"/>
    <w:semiHidden/>
    <w:unhideWhenUsed/>
    <w:rsid w:val="00DE2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AD"/>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0758">
      <w:bodyDiv w:val="1"/>
      <w:marLeft w:val="0"/>
      <w:marRight w:val="0"/>
      <w:marTop w:val="0"/>
      <w:marBottom w:val="0"/>
      <w:divBdr>
        <w:top w:val="none" w:sz="0" w:space="0" w:color="auto"/>
        <w:left w:val="none" w:sz="0" w:space="0" w:color="auto"/>
        <w:bottom w:val="none" w:sz="0" w:space="0" w:color="auto"/>
        <w:right w:val="none" w:sz="0" w:space="0" w:color="auto"/>
      </w:divBdr>
    </w:div>
    <w:div w:id="931282262">
      <w:bodyDiv w:val="1"/>
      <w:marLeft w:val="0"/>
      <w:marRight w:val="0"/>
      <w:marTop w:val="0"/>
      <w:marBottom w:val="0"/>
      <w:divBdr>
        <w:top w:val="none" w:sz="0" w:space="0" w:color="auto"/>
        <w:left w:val="none" w:sz="0" w:space="0" w:color="auto"/>
        <w:bottom w:val="none" w:sz="0" w:space="0" w:color="auto"/>
        <w:right w:val="none" w:sz="0" w:space="0" w:color="auto"/>
      </w:divBdr>
    </w:div>
    <w:div w:id="934090739">
      <w:bodyDiv w:val="1"/>
      <w:marLeft w:val="0"/>
      <w:marRight w:val="0"/>
      <w:marTop w:val="0"/>
      <w:marBottom w:val="0"/>
      <w:divBdr>
        <w:top w:val="none" w:sz="0" w:space="0" w:color="auto"/>
        <w:left w:val="none" w:sz="0" w:space="0" w:color="auto"/>
        <w:bottom w:val="none" w:sz="0" w:space="0" w:color="auto"/>
        <w:right w:val="none" w:sz="0" w:space="0" w:color="auto"/>
      </w:divBdr>
    </w:div>
    <w:div w:id="1431699880">
      <w:bodyDiv w:val="1"/>
      <w:marLeft w:val="0"/>
      <w:marRight w:val="0"/>
      <w:marTop w:val="0"/>
      <w:marBottom w:val="0"/>
      <w:divBdr>
        <w:top w:val="none" w:sz="0" w:space="0" w:color="auto"/>
        <w:left w:val="none" w:sz="0" w:space="0" w:color="auto"/>
        <w:bottom w:val="none" w:sz="0" w:space="0" w:color="auto"/>
        <w:right w:val="none" w:sz="0" w:space="0" w:color="auto"/>
      </w:divBdr>
    </w:div>
    <w:div w:id="14954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Lesseig, Vance</dc:creator>
  <cp:keywords/>
  <dc:description/>
  <cp:lastModifiedBy>Lane, Letitia L</cp:lastModifiedBy>
  <cp:revision>2</cp:revision>
  <dcterms:created xsi:type="dcterms:W3CDTF">2020-10-15T18:00:00Z</dcterms:created>
  <dcterms:modified xsi:type="dcterms:W3CDTF">2020-10-15T18:00:00Z</dcterms:modified>
</cp:coreProperties>
</file>