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0A8D" w:rsidRDefault="00F80A8D" w:rsidP="00F80A8D"/>
    <w:p w:rsidR="00F80A8D" w:rsidRDefault="00F80A8D" w:rsidP="00F80A8D"/>
    <w:p w:rsidR="00F80A8D" w:rsidRDefault="00F80A8D" w:rsidP="00F80A8D"/>
    <w:p w:rsidR="00F80A8D" w:rsidRDefault="00F80A8D" w:rsidP="00F80A8D"/>
    <w:p w:rsidR="00F80A8D" w:rsidRDefault="00F80A8D" w:rsidP="00F80A8D">
      <w:pPr>
        <w:jc w:val="center"/>
      </w:pPr>
      <w:r>
        <w:rPr>
          <w:noProof/>
          <w:lang w:eastAsia="en-US"/>
        </w:rPr>
        <w:drawing>
          <wp:inline distT="0" distB="0" distL="0" distR="0">
            <wp:extent cx="4429125" cy="1733550"/>
            <wp:effectExtent l="19050" t="0" r="9525" b="0"/>
            <wp:docPr id="1" name="Picture 1" descr="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
                    <pic:cNvPicPr>
                      <a:picLocks noChangeAspect="1" noChangeArrowheads="1"/>
                    </pic:cNvPicPr>
                  </pic:nvPicPr>
                  <pic:blipFill>
                    <a:blip r:embed="rId8" cstate="print"/>
                    <a:srcRect/>
                    <a:stretch>
                      <a:fillRect/>
                    </a:stretch>
                  </pic:blipFill>
                  <pic:spPr bwMode="auto">
                    <a:xfrm>
                      <a:off x="0" y="0"/>
                      <a:ext cx="4429125" cy="1733550"/>
                    </a:xfrm>
                    <a:prstGeom prst="rect">
                      <a:avLst/>
                    </a:prstGeom>
                    <a:noFill/>
                    <a:ln w="9525">
                      <a:noFill/>
                      <a:miter lim="800000"/>
                      <a:headEnd/>
                      <a:tailEnd/>
                    </a:ln>
                  </pic:spPr>
                </pic:pic>
              </a:graphicData>
            </a:graphic>
          </wp:inline>
        </w:drawing>
      </w:r>
    </w:p>
    <w:p w:rsidR="00F80A8D" w:rsidRDefault="00F80A8D" w:rsidP="00F80A8D"/>
    <w:p w:rsidR="00F80A8D" w:rsidRPr="000E2793" w:rsidRDefault="00F80A8D" w:rsidP="00F80A8D">
      <w:pPr>
        <w:rPr>
          <w:rFonts w:ascii="Arial Black" w:hAnsi="Arial Black"/>
        </w:rPr>
      </w:pPr>
    </w:p>
    <w:p w:rsidR="00F80A8D" w:rsidRDefault="00F80A8D" w:rsidP="00F80A8D">
      <w:pPr>
        <w:jc w:val="center"/>
        <w:rPr>
          <w:rFonts w:ascii="Arial" w:hAnsi="Arial" w:cs="Arial"/>
          <w:b/>
          <w:sz w:val="40"/>
          <w:szCs w:val="40"/>
        </w:rPr>
      </w:pPr>
      <w:r>
        <w:rPr>
          <w:rFonts w:ascii="Arial" w:hAnsi="Arial" w:cs="Arial"/>
          <w:b/>
          <w:sz w:val="40"/>
          <w:szCs w:val="40"/>
        </w:rPr>
        <w:t>DIRECT ASSESSMENT RESULTS</w:t>
      </w:r>
      <w:r w:rsidRPr="000E2793">
        <w:rPr>
          <w:rFonts w:ascii="Arial" w:hAnsi="Arial" w:cs="Arial"/>
          <w:b/>
          <w:sz w:val="40"/>
          <w:szCs w:val="40"/>
        </w:rPr>
        <w:t xml:space="preserve"> </w:t>
      </w:r>
    </w:p>
    <w:p w:rsidR="00BE2897" w:rsidRPr="000E2793" w:rsidRDefault="00BE2897" w:rsidP="00F80A8D">
      <w:pPr>
        <w:jc w:val="center"/>
        <w:rPr>
          <w:rFonts w:ascii="Arial" w:hAnsi="Arial" w:cs="Arial"/>
          <w:b/>
          <w:sz w:val="40"/>
          <w:szCs w:val="40"/>
        </w:rPr>
      </w:pPr>
    </w:p>
    <w:p w:rsidR="00BE2897" w:rsidRDefault="003074B9" w:rsidP="00F80A8D">
      <w:pPr>
        <w:jc w:val="center"/>
        <w:rPr>
          <w:rFonts w:ascii="Arial" w:hAnsi="Arial" w:cs="Arial"/>
          <w:b/>
          <w:sz w:val="40"/>
          <w:szCs w:val="40"/>
        </w:rPr>
      </w:pPr>
      <w:r>
        <w:rPr>
          <w:rFonts w:ascii="Arial" w:hAnsi="Arial" w:cs="Arial"/>
          <w:b/>
          <w:sz w:val="40"/>
          <w:szCs w:val="40"/>
        </w:rPr>
        <w:t>CRITICAL AND ANALYTICAL THINKING</w:t>
      </w:r>
    </w:p>
    <w:p w:rsidR="00BE2897" w:rsidRDefault="00BE2897" w:rsidP="00F80A8D">
      <w:pPr>
        <w:jc w:val="center"/>
        <w:rPr>
          <w:rFonts w:ascii="Arial" w:hAnsi="Arial" w:cs="Arial"/>
          <w:b/>
          <w:sz w:val="40"/>
          <w:szCs w:val="40"/>
        </w:rPr>
      </w:pPr>
    </w:p>
    <w:p w:rsidR="00F80A8D" w:rsidRPr="000E2793" w:rsidRDefault="003074B9" w:rsidP="00F80A8D">
      <w:pPr>
        <w:jc w:val="center"/>
        <w:rPr>
          <w:rFonts w:ascii="Arial" w:hAnsi="Arial" w:cs="Arial"/>
          <w:b/>
          <w:sz w:val="40"/>
          <w:szCs w:val="40"/>
        </w:rPr>
      </w:pPr>
      <w:r>
        <w:rPr>
          <w:rFonts w:ascii="Arial" w:hAnsi="Arial" w:cs="Arial"/>
          <w:b/>
          <w:sz w:val="40"/>
          <w:szCs w:val="40"/>
        </w:rPr>
        <w:t>INFORMATION TECHNOLOGY</w:t>
      </w:r>
      <w:r w:rsidR="00F80A8D" w:rsidRPr="000E2793">
        <w:rPr>
          <w:rFonts w:ascii="Arial" w:hAnsi="Arial" w:cs="Arial"/>
          <w:b/>
          <w:sz w:val="40"/>
          <w:szCs w:val="40"/>
        </w:rPr>
        <w:t xml:space="preserve"> </w:t>
      </w:r>
    </w:p>
    <w:p w:rsidR="00F80A8D" w:rsidRDefault="00F80A8D" w:rsidP="00F80A8D"/>
    <w:p w:rsidR="00F80A8D" w:rsidRDefault="00F80A8D" w:rsidP="00F80A8D"/>
    <w:p w:rsidR="00F80A8D" w:rsidRDefault="00F80A8D" w:rsidP="00F80A8D"/>
    <w:p w:rsidR="00F80A8D" w:rsidRDefault="00F80A8D" w:rsidP="00F80A8D"/>
    <w:p w:rsidR="00F80A8D" w:rsidRDefault="00F80A8D" w:rsidP="00F80A8D"/>
    <w:p w:rsidR="00F80A8D" w:rsidRDefault="00F80A8D" w:rsidP="00F80A8D"/>
    <w:p w:rsidR="00F80A8D" w:rsidRDefault="00F80A8D" w:rsidP="00F80A8D"/>
    <w:p w:rsidR="00F80A8D" w:rsidRDefault="00F80A8D" w:rsidP="00F80A8D"/>
    <w:p w:rsidR="00F80A8D" w:rsidRDefault="00F80A8D" w:rsidP="00F80A8D"/>
    <w:p w:rsidR="00F80A8D" w:rsidRDefault="00F80A8D" w:rsidP="00F80A8D"/>
    <w:p w:rsidR="00F80A8D" w:rsidRDefault="00F80A8D" w:rsidP="00F80A8D">
      <w:pPr>
        <w:jc w:val="center"/>
      </w:pPr>
      <w:r>
        <w:t>Prepared by the McCoy College Ass</w:t>
      </w:r>
      <w:r w:rsidR="009D466D">
        <w:t>urance of Learning</w:t>
      </w:r>
      <w:r>
        <w:t xml:space="preserve"> Committee:</w:t>
      </w:r>
    </w:p>
    <w:p w:rsidR="00F80A8D" w:rsidRDefault="00F80A8D" w:rsidP="00F80A8D">
      <w:pPr>
        <w:jc w:val="center"/>
      </w:pPr>
    </w:p>
    <w:p w:rsidR="00F80A8D" w:rsidRDefault="00F80A8D" w:rsidP="00F80A8D">
      <w:pPr>
        <w:jc w:val="center"/>
      </w:pPr>
      <w:r>
        <w:t>Dr. Michael Keeffe, Department of Management</w:t>
      </w:r>
    </w:p>
    <w:p w:rsidR="00F80A8D" w:rsidRDefault="00DA7443" w:rsidP="00F80A8D">
      <w:pPr>
        <w:jc w:val="center"/>
      </w:pPr>
      <w:r>
        <w:t>Prof. Jennifer Krou</w:t>
      </w:r>
      <w:r w:rsidR="00F80A8D">
        <w:t>, Department of CIS/QM</w:t>
      </w:r>
    </w:p>
    <w:p w:rsidR="00F80A8D" w:rsidRDefault="00F80A8D" w:rsidP="00F80A8D">
      <w:pPr>
        <w:jc w:val="center"/>
      </w:pPr>
      <w:r>
        <w:t>Dr. Taewon Suh, Department of Marketing</w:t>
      </w:r>
    </w:p>
    <w:p w:rsidR="00F80A8D" w:rsidRDefault="00F80A8D" w:rsidP="00F80A8D">
      <w:pPr>
        <w:jc w:val="center"/>
      </w:pPr>
      <w:r>
        <w:t xml:space="preserve">Prof. </w:t>
      </w:r>
      <w:r w:rsidR="00FB4138">
        <w:t>Diane Eure</w:t>
      </w:r>
      <w:r>
        <w:t>, Department of Accounting</w:t>
      </w:r>
    </w:p>
    <w:p w:rsidR="00F80A8D" w:rsidRDefault="00F80A8D" w:rsidP="00F80A8D">
      <w:pPr>
        <w:jc w:val="center"/>
      </w:pPr>
      <w:r>
        <w:t xml:space="preserve">Dr. </w:t>
      </w:r>
      <w:r w:rsidR="00FB4138">
        <w:t>Vance Lesseig</w:t>
      </w:r>
      <w:r>
        <w:t xml:space="preserve">, </w:t>
      </w:r>
      <w:r w:rsidR="008F1201">
        <w:t xml:space="preserve">Committee Chair, </w:t>
      </w:r>
      <w:r>
        <w:t>Department of Finance &amp; Economics</w:t>
      </w:r>
    </w:p>
    <w:p w:rsidR="00F80A8D" w:rsidRDefault="00F80A8D" w:rsidP="00F80A8D">
      <w:pPr>
        <w:jc w:val="center"/>
      </w:pPr>
      <w:r>
        <w:t xml:space="preserve">Dr. </w:t>
      </w:r>
      <w:r w:rsidR="00FB4138">
        <w:t>Mayur Mehta</w:t>
      </w:r>
      <w:r>
        <w:t>, Associate Dean, Ex-officio</w:t>
      </w:r>
    </w:p>
    <w:p w:rsidR="00F80A8D" w:rsidRDefault="00F80A8D" w:rsidP="00F80A8D"/>
    <w:p w:rsidR="00F80A8D" w:rsidRDefault="00F80A8D" w:rsidP="00F80A8D"/>
    <w:p w:rsidR="00F80A8D" w:rsidRPr="003F1354" w:rsidRDefault="00F80A8D" w:rsidP="00F80A8D">
      <w:pPr>
        <w:jc w:val="center"/>
        <w:rPr>
          <w:i/>
        </w:rPr>
      </w:pPr>
      <w:r w:rsidRPr="003F1354">
        <w:rPr>
          <w:i/>
        </w:rPr>
        <w:t xml:space="preserve">Document </w:t>
      </w:r>
      <w:r>
        <w:rPr>
          <w:i/>
        </w:rPr>
        <w:t xml:space="preserve">Submitted:  </w:t>
      </w:r>
      <w:r w:rsidR="00FF1BFD">
        <w:rPr>
          <w:i/>
        </w:rPr>
        <w:t>Fall 2016</w:t>
      </w:r>
    </w:p>
    <w:p w:rsidR="00F80A8D" w:rsidRDefault="00F80A8D" w:rsidP="00F80A8D"/>
    <w:p w:rsidR="00554603" w:rsidRPr="00D34F4B" w:rsidRDefault="00514483">
      <w:pPr>
        <w:rPr>
          <w:b/>
          <w:i/>
          <w:sz w:val="32"/>
          <w:szCs w:val="32"/>
        </w:rPr>
      </w:pPr>
      <w:r w:rsidRPr="00D34F4B">
        <w:rPr>
          <w:b/>
          <w:i/>
          <w:sz w:val="32"/>
          <w:szCs w:val="32"/>
        </w:rPr>
        <w:lastRenderedPageBreak/>
        <w:t>Embedded Assessment Results for</w:t>
      </w:r>
      <w:r w:rsidR="000516AA">
        <w:rPr>
          <w:b/>
          <w:i/>
          <w:sz w:val="32"/>
          <w:szCs w:val="32"/>
        </w:rPr>
        <w:t xml:space="preserve"> BBA Program</w:t>
      </w:r>
      <w:r w:rsidRPr="00D34F4B">
        <w:rPr>
          <w:b/>
          <w:i/>
          <w:sz w:val="32"/>
          <w:szCs w:val="32"/>
        </w:rPr>
        <w:t xml:space="preserve"> Goal</w:t>
      </w:r>
      <w:r w:rsidR="000516AA">
        <w:rPr>
          <w:b/>
          <w:i/>
          <w:sz w:val="32"/>
          <w:szCs w:val="32"/>
        </w:rPr>
        <w:t>s</w:t>
      </w:r>
      <w:r w:rsidRPr="00D34F4B">
        <w:rPr>
          <w:b/>
          <w:i/>
          <w:sz w:val="32"/>
          <w:szCs w:val="32"/>
        </w:rPr>
        <w:t xml:space="preserve"> 2 and </w:t>
      </w:r>
      <w:r w:rsidR="00D34F4B">
        <w:rPr>
          <w:b/>
          <w:i/>
          <w:sz w:val="32"/>
          <w:szCs w:val="32"/>
        </w:rPr>
        <w:t>3</w:t>
      </w:r>
    </w:p>
    <w:p w:rsidR="00514483" w:rsidRDefault="00514483"/>
    <w:p w:rsidR="00D34F4B" w:rsidRPr="00FF5156" w:rsidRDefault="00D34F4B"/>
    <w:p w:rsidR="00D34F4B" w:rsidRPr="00FF5156" w:rsidRDefault="00D34F4B">
      <w:pPr>
        <w:rPr>
          <w:b/>
          <w:i/>
        </w:rPr>
      </w:pPr>
      <w:r w:rsidRPr="00FF5156">
        <w:rPr>
          <w:b/>
          <w:i/>
        </w:rPr>
        <w:t>BBA Program Level Goal 2 and 3:</w:t>
      </w:r>
    </w:p>
    <w:p w:rsidR="00D34F4B" w:rsidRPr="00FF5156" w:rsidRDefault="00D34F4B" w:rsidP="00D34F4B"/>
    <w:p w:rsidR="001A05BA" w:rsidRPr="00FF5156" w:rsidRDefault="001A05BA" w:rsidP="001A05BA">
      <w:pPr>
        <w:pStyle w:val="Default"/>
        <w:rPr>
          <w:b/>
          <w:bCs/>
        </w:rPr>
      </w:pPr>
      <w:r w:rsidRPr="00FF5156">
        <w:rPr>
          <w:b/>
          <w:bCs/>
        </w:rPr>
        <w:t>Apply critical and reflective thinking skills and use analytical tools to evaluate information, solve problems, and make sound decisions.</w:t>
      </w:r>
    </w:p>
    <w:p w:rsidR="001A05BA" w:rsidRPr="00FF5156" w:rsidRDefault="001A05BA" w:rsidP="001A05BA">
      <w:pPr>
        <w:pStyle w:val="Default"/>
      </w:pPr>
      <w:r w:rsidRPr="00FF5156">
        <w:rPr>
          <w:b/>
          <w:bCs/>
        </w:rPr>
        <w:t xml:space="preserve"> </w:t>
      </w:r>
    </w:p>
    <w:p w:rsidR="001A05BA" w:rsidRPr="00FF5156" w:rsidRDefault="001A05BA" w:rsidP="001A05BA">
      <w:pPr>
        <w:pStyle w:val="Default"/>
      </w:pPr>
      <w:r w:rsidRPr="00FF5156">
        <w:t>Graduates should be able to carefully and logically analyze data, information, problems, and ideas from multiple perspectives. They may demonstrate these critical and reflective thinking skills through their ability, in a variety of circumstances, to synthesize information and evaluate its logic, validity, and relevance; arrive at reasoned conclusions, make informed decisions, and solve challenging problems; and generate or explore new questions.</w:t>
      </w:r>
    </w:p>
    <w:p w:rsidR="001A05BA" w:rsidRPr="00FF5156" w:rsidRDefault="001A05BA" w:rsidP="001A05BA">
      <w:pPr>
        <w:pStyle w:val="Default"/>
      </w:pPr>
      <w:r w:rsidRPr="00FF5156">
        <w:t xml:space="preserve"> </w:t>
      </w:r>
    </w:p>
    <w:p w:rsidR="00B869CD" w:rsidRPr="00FF5156" w:rsidRDefault="001A05BA" w:rsidP="001A05BA">
      <w:pPr>
        <w:pStyle w:val="Default"/>
        <w:rPr>
          <w:b/>
          <w:bCs/>
        </w:rPr>
      </w:pPr>
      <w:r w:rsidRPr="00FF5156">
        <w:rPr>
          <w:b/>
          <w:bCs/>
        </w:rPr>
        <w:t>Apply information technology skills to organizational problems and decisions.</w:t>
      </w:r>
    </w:p>
    <w:p w:rsidR="001A05BA" w:rsidRPr="00FF5156" w:rsidRDefault="001A05BA" w:rsidP="001A05BA">
      <w:pPr>
        <w:pStyle w:val="Default"/>
      </w:pPr>
      <w:r w:rsidRPr="00FF5156">
        <w:rPr>
          <w:b/>
          <w:bCs/>
        </w:rPr>
        <w:t xml:space="preserve"> </w:t>
      </w:r>
    </w:p>
    <w:p w:rsidR="001A05BA" w:rsidRPr="00FF5156" w:rsidRDefault="001A05BA" w:rsidP="001A05BA">
      <w:r w:rsidRPr="00FF5156">
        <w:t>Graduates should be able to use information technology in their work environment and to understand the impact of that technology in various organizational contexts</w:t>
      </w:r>
    </w:p>
    <w:p w:rsidR="001A05BA" w:rsidRPr="00FF5156" w:rsidRDefault="001A05BA" w:rsidP="001A05BA"/>
    <w:p w:rsidR="001A05BA" w:rsidRPr="00FF5156" w:rsidRDefault="001A05BA" w:rsidP="001A05BA">
      <w:r w:rsidRPr="00FF5156">
        <w:t>.</w:t>
      </w:r>
    </w:p>
    <w:p w:rsidR="00D34F4B" w:rsidRPr="00FF5156" w:rsidRDefault="00D34F4B" w:rsidP="00D34F4B">
      <w:pPr>
        <w:rPr>
          <w:b/>
          <w:i/>
        </w:rPr>
      </w:pPr>
      <w:r w:rsidRPr="00FF5156">
        <w:rPr>
          <w:b/>
          <w:i/>
        </w:rPr>
        <w:t>Method</w:t>
      </w:r>
      <w:r w:rsidR="00714E9D">
        <w:rPr>
          <w:b/>
          <w:i/>
        </w:rPr>
        <w:t>ology</w:t>
      </w:r>
      <w:r w:rsidR="00F35445" w:rsidRPr="00FF5156">
        <w:rPr>
          <w:b/>
          <w:i/>
        </w:rPr>
        <w:t>:</w:t>
      </w:r>
    </w:p>
    <w:p w:rsidR="00D34F4B" w:rsidRPr="00FF5156" w:rsidRDefault="00D34F4B" w:rsidP="00D34F4B"/>
    <w:p w:rsidR="00262F49" w:rsidRPr="00FF5156" w:rsidRDefault="00171119" w:rsidP="00D34F4B">
      <w:r w:rsidRPr="00FF5156">
        <w:t>The</w:t>
      </w:r>
      <w:r w:rsidR="00FD6561" w:rsidRPr="00FF5156">
        <w:t xml:space="preserve"> BBA Course Alignment Grid</w:t>
      </w:r>
      <w:r w:rsidRPr="00FF5156">
        <w:t xml:space="preserve"> identifies core courses that </w:t>
      </w:r>
      <w:r w:rsidR="002C73F6" w:rsidRPr="00FF5156">
        <w:t>both cover and assess</w:t>
      </w:r>
      <w:r w:rsidR="00FD6561" w:rsidRPr="00FF5156">
        <w:t xml:space="preserve"> critical thinking skills and informational technology skills.</w:t>
      </w:r>
      <w:r w:rsidRPr="00FF5156">
        <w:t xml:space="preserve">  Faculty in each of these </w:t>
      </w:r>
      <w:r w:rsidR="00F35445" w:rsidRPr="00FF5156">
        <w:t xml:space="preserve">core </w:t>
      </w:r>
      <w:r w:rsidR="00CC68EC" w:rsidRPr="00FF5156">
        <w:t>course-teaching</w:t>
      </w:r>
      <w:r w:rsidR="00F35445" w:rsidRPr="00FF5156">
        <w:t xml:space="preserve"> groups</w:t>
      </w:r>
      <w:r w:rsidRPr="00FF5156">
        <w:t xml:space="preserve"> participated in this assessment. </w:t>
      </w:r>
      <w:r w:rsidR="00F35445" w:rsidRPr="00FF5156">
        <w:t>F</w:t>
      </w:r>
      <w:r w:rsidR="00D1603F" w:rsidRPr="00FF5156">
        <w:t>aculty were asked to assess students</w:t>
      </w:r>
      <w:r w:rsidR="00A56C33" w:rsidRPr="00FF5156">
        <w:t xml:space="preserve">’ performance on college learning goals </w:t>
      </w:r>
      <w:r w:rsidR="00010042" w:rsidRPr="00FF5156">
        <w:t>using course specific criteria</w:t>
      </w:r>
      <w:r w:rsidR="005F5902" w:rsidRPr="00FF5156">
        <w:t xml:space="preserve"> and report results in the format of</w:t>
      </w:r>
      <w:r w:rsidR="00D1603F" w:rsidRPr="00FF5156">
        <w:t xml:space="preserve"> Exceeds Expectations, Meets </w:t>
      </w:r>
      <w:r w:rsidR="00FD6561" w:rsidRPr="00FF5156">
        <w:t xml:space="preserve">Expectations, or Does Not Meet Expectations. </w:t>
      </w:r>
      <w:r w:rsidR="00AD0622" w:rsidRPr="00FF5156">
        <w:t xml:space="preserve"> </w:t>
      </w:r>
      <w:r w:rsidR="00CC68EC" w:rsidRPr="00FF5156">
        <w:t xml:space="preserve">Working with faculty teaching core course sections, each core course coordinator chose their course’s common method of direct, course-embedded assessment, </w:t>
      </w:r>
      <w:r w:rsidR="00F622C5">
        <w:t xml:space="preserve">which </w:t>
      </w:r>
      <w:r w:rsidR="00CC68EC" w:rsidRPr="00FF5156">
        <w:t>includ</w:t>
      </w:r>
      <w:r w:rsidR="00F622C5">
        <w:t>ed</w:t>
      </w:r>
      <w:r w:rsidR="00CC68EC" w:rsidRPr="00FF5156">
        <w:t xml:space="preserve"> multiple methodologies ranging from common test questions and assignments to written assessment rubrics.  </w:t>
      </w:r>
      <w:r w:rsidR="00682F05" w:rsidRPr="00FF5156">
        <w:t>Methods</w:t>
      </w:r>
      <w:r w:rsidR="004712ED">
        <w:t>, by course, are discussed below and</w:t>
      </w:r>
      <w:r w:rsidR="00682F05" w:rsidRPr="00FF5156">
        <w:t xml:space="preserve"> are indicated on the composite table</w:t>
      </w:r>
      <w:r w:rsidR="0044339F" w:rsidRPr="00FF5156">
        <w:t xml:space="preserve"> after course numbers</w:t>
      </w:r>
      <w:r w:rsidR="00AD0622" w:rsidRPr="00FF5156">
        <w:t>.</w:t>
      </w:r>
    </w:p>
    <w:p w:rsidR="006E70FA" w:rsidRPr="00FF5156" w:rsidRDefault="006E70FA" w:rsidP="00D34F4B"/>
    <w:p w:rsidR="006E70FA" w:rsidRPr="00FF5156" w:rsidRDefault="006E70FA" w:rsidP="00D34F4B"/>
    <w:p w:rsidR="006E70FA" w:rsidRPr="00FF5156" w:rsidRDefault="00714E9D" w:rsidP="00D34F4B">
      <w:r w:rsidRPr="00714E9D">
        <w:rPr>
          <w:b/>
          <w:i/>
        </w:rPr>
        <w:t xml:space="preserve">Methods for </w:t>
      </w:r>
      <w:r w:rsidR="006E70FA" w:rsidRPr="00714E9D">
        <w:rPr>
          <w:b/>
          <w:i/>
        </w:rPr>
        <w:t>BBA Program Goal 2 – Critical and reflective thinking</w:t>
      </w:r>
      <w:r w:rsidR="006E70FA" w:rsidRPr="00FF5156">
        <w:t>.</w:t>
      </w:r>
    </w:p>
    <w:p w:rsidR="006E70FA" w:rsidRPr="00FF5156" w:rsidRDefault="006E70FA" w:rsidP="00D34F4B"/>
    <w:p w:rsidR="00B5696D" w:rsidRDefault="00F17264" w:rsidP="00B5696D">
      <w:r w:rsidRPr="00FF5156">
        <w:rPr>
          <w:b/>
          <w:i/>
        </w:rPr>
        <w:t>Accounting 2361</w:t>
      </w:r>
      <w:r w:rsidRPr="00FF5156">
        <w:t xml:space="preserve">.   </w:t>
      </w:r>
      <w:r w:rsidR="00B5696D">
        <w:t>Multiple choice questions were used</w:t>
      </w:r>
      <w:r w:rsidR="00B5696D" w:rsidRPr="00E8181F">
        <w:t xml:space="preserve"> </w:t>
      </w:r>
      <w:r w:rsidR="00B5696D">
        <w:t>to assess student learning of the program goal.  Fifteen (15) questions were embedded in the comprehensive final exam at the end of the semester.  The multiple choice questions required students to know the material, classify and interpret data, apply accounting concepts, and calculate solutions.  Students had to determine which items were relevant to the question being asked and apply the correct accounting process in order to correctly answer the question.</w:t>
      </w:r>
    </w:p>
    <w:p w:rsidR="00E9728D" w:rsidRPr="00FF5156" w:rsidRDefault="00B5696D" w:rsidP="00B5696D">
      <w:pPr>
        <w:rPr>
          <w:rFonts w:eastAsiaTheme="minorHAnsi"/>
          <w:lang w:eastAsia="en-US"/>
        </w:rPr>
      </w:pPr>
      <w:r>
        <w:t>The criteria used to determine if a student exceeds expectations was a score of 75.0% or better, for a student to meet expectations a score had to fall between 60.0 and 74.99%, and for a student to fail to meet expectations a score must have been less than 60.0%.  Of the 608 students participating in the assessment, 443 were students majoring in business.</w:t>
      </w:r>
    </w:p>
    <w:p w:rsidR="00E9728D" w:rsidRPr="00FF5156" w:rsidRDefault="00E9728D" w:rsidP="00F17264">
      <w:pPr>
        <w:rPr>
          <w:rFonts w:eastAsiaTheme="minorHAnsi"/>
          <w:lang w:eastAsia="en-US"/>
        </w:rPr>
      </w:pPr>
    </w:p>
    <w:p w:rsidR="00B5696D" w:rsidRDefault="00E9728D" w:rsidP="00B5696D">
      <w:r w:rsidRPr="00FF5156">
        <w:rPr>
          <w:rFonts w:eastAsiaTheme="minorHAnsi"/>
          <w:b/>
          <w:i/>
          <w:lang w:eastAsia="en-US"/>
        </w:rPr>
        <w:lastRenderedPageBreak/>
        <w:t>Accounting 2362</w:t>
      </w:r>
      <w:r w:rsidRPr="00FF5156">
        <w:rPr>
          <w:rFonts w:eastAsiaTheme="minorHAnsi"/>
          <w:lang w:eastAsia="en-US"/>
        </w:rPr>
        <w:t xml:space="preserve">.  </w:t>
      </w:r>
      <w:r w:rsidR="00B5696D">
        <w:t>To assess student learning of the program goal, multiple choice questions were used.  A total of 16 questions were embedded in 4 exams throughout the semester.  The multiple choice questions required students to know the material, classify and interpret data, apply accounting concepts, and calculate solutions.  Students had to determine which items were relevant to the question being asked and apply the correct accounting process in order to correctly answer the question.</w:t>
      </w:r>
    </w:p>
    <w:p w:rsidR="00B5696D" w:rsidRDefault="00B5696D" w:rsidP="00B5696D">
      <w:r>
        <w:t xml:space="preserve">The criteria used to determine if a student exceeds expectations was a score of 85.0% or better, for a student to meet expectations a score had to fall between 60.0 and 84.99%, and for a student to fail to meet expectations a score must have been less than 60.0%.  Of the </w:t>
      </w:r>
      <w:r w:rsidR="00460B15">
        <w:t>886</w:t>
      </w:r>
      <w:r>
        <w:t xml:space="preserve"> students participating in the assessment, </w:t>
      </w:r>
      <w:r w:rsidR="00460B15">
        <w:t>747</w:t>
      </w:r>
      <w:r>
        <w:t xml:space="preserve"> were students majoring in business.  </w:t>
      </w:r>
    </w:p>
    <w:p w:rsidR="00F070F1" w:rsidRPr="00FF5156" w:rsidRDefault="00F070F1" w:rsidP="00E9728D">
      <w:pPr>
        <w:rPr>
          <w:rFonts w:eastAsiaTheme="minorHAnsi"/>
          <w:lang w:eastAsia="en-US"/>
        </w:rPr>
      </w:pPr>
    </w:p>
    <w:p w:rsidR="006E70FA" w:rsidRPr="00FF5156" w:rsidRDefault="00E54E73" w:rsidP="00BF7ED3">
      <w:pPr>
        <w:pStyle w:val="Default"/>
      </w:pPr>
      <w:r w:rsidRPr="00FF5156">
        <w:rPr>
          <w:rFonts w:eastAsiaTheme="minorHAnsi"/>
          <w:b/>
          <w:i/>
        </w:rPr>
        <w:t>Economics 2314</w:t>
      </w:r>
      <w:r w:rsidR="00F070F1" w:rsidRPr="00FF5156">
        <w:rPr>
          <w:rFonts w:eastAsiaTheme="minorHAnsi"/>
        </w:rPr>
        <w:t>.</w:t>
      </w:r>
      <w:r w:rsidRPr="00FF5156">
        <w:rPr>
          <w:rFonts w:eastAsiaTheme="minorHAnsi"/>
        </w:rPr>
        <w:t xml:space="preserve">  </w:t>
      </w:r>
      <w:r w:rsidR="00FD56A5" w:rsidRPr="00FD56A5">
        <w:t xml:space="preserve">Three forms of the direct assessment method were used to assess student learning of the program goal. </w:t>
      </w:r>
      <w:r w:rsidR="00BF7ED3">
        <w:t>Each of the</w:t>
      </w:r>
      <w:r w:rsidR="00FD56A5" w:rsidRPr="00FD56A5">
        <w:t xml:space="preserve"> three forms </w:t>
      </w:r>
      <w:r w:rsidR="00511161" w:rsidRPr="00FD56A5">
        <w:t>involves</w:t>
      </w:r>
      <w:r w:rsidR="00FD56A5" w:rsidRPr="00FD56A5">
        <w:t xml:space="preserve"> answering seven embedded </w:t>
      </w:r>
      <w:r w:rsidR="00CC68EC" w:rsidRPr="00FD56A5">
        <w:t>multiple-choice</w:t>
      </w:r>
      <w:r w:rsidR="00FD56A5" w:rsidRPr="00FD56A5">
        <w:t xml:space="preserve"> questions on the final exam. The first form deals with the concepts of supply and demand and ability to analyze current economic issues across various market settings. The second form focus on analyzing microeconomic policy options and assessing their effect on social welfare and efficiency. </w:t>
      </w:r>
      <w:r w:rsidR="00C71A1D">
        <w:t>The third form required</w:t>
      </w:r>
      <w:r w:rsidR="00FD56A5" w:rsidRPr="00FD56A5">
        <w:t xml:space="preserve"> students</w:t>
      </w:r>
      <w:r w:rsidR="00C71A1D">
        <w:t xml:space="preserve"> t</w:t>
      </w:r>
      <w:r w:rsidR="00FD56A5" w:rsidRPr="00FD56A5">
        <w:t>o interpret and analyze economic data.</w:t>
      </w:r>
      <w:r w:rsidR="00BF7ED3">
        <w:t xml:space="preserve">  </w:t>
      </w:r>
      <w:r w:rsidR="00FD56A5" w:rsidRPr="00FF5156">
        <w:t xml:space="preserve">Each outcome was assessed using seven </w:t>
      </w:r>
      <w:r w:rsidR="00CC68EC" w:rsidRPr="00FF5156">
        <w:t>multiple-choice</w:t>
      </w:r>
      <w:r w:rsidR="00FD56A5" w:rsidRPr="00FF5156">
        <w:t xml:space="preserve"> questions embedded in final examinations of both semesters. There are a total of 21 objective questions. Students who score between 70- 89% are judged to meet expectations, and students who score 90% and above are judged to exceed expectations. Students who score 70 or lower are judged to fail to meet expectations.</w:t>
      </w:r>
    </w:p>
    <w:p w:rsidR="00E5203F" w:rsidRPr="00FF5156" w:rsidRDefault="00E5203F" w:rsidP="00FD56A5">
      <w:pPr>
        <w:rPr>
          <w:color w:val="000000"/>
          <w:lang w:eastAsia="en-US"/>
        </w:rPr>
      </w:pPr>
    </w:p>
    <w:p w:rsidR="00E5203F" w:rsidRPr="00FF5156" w:rsidRDefault="000140AD" w:rsidP="00FD56A5">
      <w:r w:rsidRPr="00FF5156">
        <w:rPr>
          <w:b/>
          <w:i/>
        </w:rPr>
        <w:t>Economics 2315</w:t>
      </w:r>
      <w:r w:rsidRPr="00FF5156">
        <w:t xml:space="preserve">.  </w:t>
      </w:r>
      <w:r w:rsidR="00B5696D">
        <w:t xml:space="preserve">During the Fall Semester 2015 and Spring Semester 2016, students in 9 sections of Economics 2315 - Principles of Macroeconomics, a McCoy College core course, were evaluated on the goal of understanding the importance of culture and diversity. The assessment method for evaluating the students was objective questions embedded in an in-class examination. A total of 771 students were assessed, </w:t>
      </w:r>
      <w:r w:rsidR="00DD47D7">
        <w:t>and 90% correct was the standard for ‘exceeds expectations’ and below 70% ‘did not meet expectations'.</w:t>
      </w:r>
    </w:p>
    <w:p w:rsidR="000140AD" w:rsidRPr="00FF5156" w:rsidRDefault="000140AD" w:rsidP="00FD56A5"/>
    <w:p w:rsidR="0080402C" w:rsidRDefault="00C66EFA" w:rsidP="0080402C">
      <w:r w:rsidRPr="00FF5156">
        <w:rPr>
          <w:b/>
          <w:i/>
        </w:rPr>
        <w:t>Qmst 2333 (Statistics)</w:t>
      </w:r>
      <w:r w:rsidRPr="00FF5156">
        <w:t xml:space="preserve">. </w:t>
      </w:r>
      <w:r w:rsidR="0080402C">
        <w:t xml:space="preserve">During the 2015-16 academic year, data were collected to assess student learning on Program Goals 2 and 3 in QMST 2333 Business Statistics, a core course of the McCoy College of Business Administration’s BBA degree. Program Goal 2 is: “Critical and Analytical Thinking”.  To assess student learning of the program goal we used a direct method consisting of exam imbedded items requiring application of analytical and solving skills.  The criteria used to determine if a student exceeds expectations were a score of 90.0% or better, for a student to meet expectations a score had to fall between 70.0 and 90.0%, and for a student to fail to meet expectations a score had to be less than 70.0%. </w:t>
      </w:r>
    </w:p>
    <w:p w:rsidR="001159E8" w:rsidRPr="00887B70" w:rsidRDefault="001159E8" w:rsidP="00887B70"/>
    <w:p w:rsidR="00887B70" w:rsidRDefault="00887B70" w:rsidP="002145F0">
      <w:pPr>
        <w:pStyle w:val="Default"/>
        <w:rPr>
          <w:b/>
          <w:i/>
        </w:rPr>
      </w:pPr>
    </w:p>
    <w:p w:rsidR="001D0807" w:rsidRDefault="001159E8" w:rsidP="001D0807">
      <w:pPr>
        <w:pStyle w:val="Default"/>
        <w:rPr>
          <w:sz w:val="23"/>
          <w:szCs w:val="23"/>
        </w:rPr>
      </w:pPr>
      <w:r w:rsidRPr="00FF5156">
        <w:rPr>
          <w:b/>
          <w:i/>
        </w:rPr>
        <w:t>Business Law 2361</w:t>
      </w:r>
      <w:r w:rsidRPr="00FF5156">
        <w:t xml:space="preserve">.  </w:t>
      </w:r>
      <w:r w:rsidR="002145F0" w:rsidRPr="00FF5156">
        <w:t xml:space="preserve"> </w:t>
      </w:r>
      <w:r w:rsidR="001D0807">
        <w:rPr>
          <w:sz w:val="23"/>
          <w:szCs w:val="23"/>
        </w:rPr>
        <w:t xml:space="preserve">To assess student learning of the program goal, eleven chapters were identified and one common critical thinking question per chapter was to be used in testing over the material in all sections of the course. Each instructor determined their administration of the questions based on the timing of coverage and testing over the relevant material.  The questions were multiple choice, requiring the students to identify the legal concept applicable, understand its application, and reason to a conclusion.  For the 2015-2016 academic year, results submitted were derived from the responses of 527 business majors and 733 non-business majors.  For the purposes of the business </w:t>
      </w:r>
      <w:r w:rsidR="001D0807">
        <w:rPr>
          <w:sz w:val="23"/>
          <w:szCs w:val="23"/>
        </w:rPr>
        <w:lastRenderedPageBreak/>
        <w:t xml:space="preserve">major percentages table below, only information relating to business majors is included.  The criteria used in the determination of the students’ success in meeting expectations were: </w:t>
      </w:r>
    </w:p>
    <w:p w:rsidR="001D0807" w:rsidRDefault="001D0807" w:rsidP="001D0807">
      <w:pPr>
        <w:pStyle w:val="Default"/>
        <w:spacing w:after="27"/>
        <w:ind w:left="720"/>
        <w:rPr>
          <w:sz w:val="23"/>
          <w:szCs w:val="23"/>
        </w:rPr>
      </w:pPr>
      <w:r>
        <w:rPr>
          <w:sz w:val="23"/>
          <w:szCs w:val="23"/>
        </w:rPr>
        <w:t>1. a score of 80.0% or more correct for all questions attempted was ranked as exceeding expectations;</w:t>
      </w:r>
    </w:p>
    <w:p w:rsidR="001D0807" w:rsidRDefault="001D0807" w:rsidP="001D0807">
      <w:pPr>
        <w:pStyle w:val="Default"/>
        <w:spacing w:after="27"/>
        <w:ind w:left="720"/>
        <w:rPr>
          <w:sz w:val="23"/>
          <w:szCs w:val="23"/>
        </w:rPr>
      </w:pPr>
      <w:r>
        <w:rPr>
          <w:sz w:val="23"/>
          <w:szCs w:val="23"/>
        </w:rPr>
        <w:t xml:space="preserve">2. a score equal to or greater than 60.0%, and less than 80.0% of attempted questions correct was ranked as meeting expectations; and, </w:t>
      </w:r>
    </w:p>
    <w:p w:rsidR="001D0807" w:rsidRDefault="001D0807" w:rsidP="001D0807">
      <w:pPr>
        <w:pStyle w:val="Default"/>
        <w:ind w:left="720"/>
        <w:rPr>
          <w:sz w:val="23"/>
          <w:szCs w:val="23"/>
        </w:rPr>
      </w:pPr>
      <w:r>
        <w:rPr>
          <w:sz w:val="23"/>
          <w:szCs w:val="23"/>
        </w:rPr>
        <w:t xml:space="preserve">3. a score less than 60.0% correct of all attempted questions was ranked as failing to meet expectations. </w:t>
      </w:r>
    </w:p>
    <w:p w:rsidR="001159E8" w:rsidRPr="00FF5156" w:rsidRDefault="001159E8" w:rsidP="00FD56A5"/>
    <w:p w:rsidR="00702CD6" w:rsidRPr="00FF5156" w:rsidRDefault="006F096E" w:rsidP="001D0807">
      <w:r w:rsidRPr="00FF5156">
        <w:rPr>
          <w:b/>
          <w:i/>
        </w:rPr>
        <w:t>Management 3303</w:t>
      </w:r>
      <w:r w:rsidRPr="00FF5156">
        <w:t xml:space="preserve">.  </w:t>
      </w:r>
      <w:r w:rsidR="001D0807">
        <w:t xml:space="preserve"> </w:t>
      </w:r>
      <w:r w:rsidR="001D0807" w:rsidRPr="00C01B62">
        <w:t>To assess student learning of the program goal, two forms of the direct method were used. The first form consisted of multiple choice questions focused primarily on definitions of key terms in the assigned course readings.  The second approach also consisted of multiple choice questions, but these questions were of an application orientation and required interpretation of business situations.  Students answered a total of 10 questions that were asked as part of an in-class exercise. The criterion used to determine if a student exceeded expectations was a score of 90.0% or better, for a student to meet expectations a score had to fall between 70.0 and 89.0%, and for a student to fail to meet expectations a score had to be less than 70.0%.</w:t>
      </w:r>
    </w:p>
    <w:p w:rsidR="006F096E" w:rsidRPr="00FF5156" w:rsidRDefault="006F096E" w:rsidP="00FD56A5"/>
    <w:p w:rsidR="006F096E" w:rsidRPr="00FF5156" w:rsidRDefault="006F096E" w:rsidP="00FD56A5">
      <w:r w:rsidRPr="00FF5156">
        <w:rPr>
          <w:b/>
          <w:i/>
        </w:rPr>
        <w:t>Finance 3312</w:t>
      </w:r>
      <w:r w:rsidRPr="00FF5156">
        <w:t xml:space="preserve">.  All </w:t>
      </w:r>
      <w:r w:rsidR="00FE7EAB">
        <w:t>teaching faculty of the course collaboratively agreed on</w:t>
      </w:r>
      <w:r w:rsidRPr="00FF5156">
        <w:t xml:space="preserve"> questions</w:t>
      </w:r>
      <w:r w:rsidR="00FE7EAB">
        <w:t xml:space="preserve"> involving critical/analytical thinking for financial problems </w:t>
      </w:r>
      <w:r w:rsidRPr="00FF5156">
        <w:t>on exams for this assessment.  When dete</w:t>
      </w:r>
      <w:r w:rsidR="00FE7EAB">
        <w:t>rmining</w:t>
      </w:r>
      <w:r w:rsidRPr="00FF5156">
        <w:t xml:space="preserve"> the assessment </w:t>
      </w:r>
      <w:r w:rsidR="00CC68EC" w:rsidRPr="00FF5156">
        <w:t>questions,</w:t>
      </w:r>
      <w:r w:rsidRPr="00FF5156">
        <w:t xml:space="preserve"> previous assessment questions</w:t>
      </w:r>
      <w:r w:rsidR="00FE7EAB">
        <w:t xml:space="preserve"> were considered</w:t>
      </w:r>
      <w:r w:rsidRPr="00FF5156">
        <w:t xml:space="preserve"> for continuity</w:t>
      </w:r>
      <w:r w:rsidR="00B02E9C">
        <w:t>.</w:t>
      </w:r>
      <w:r w:rsidRPr="00FF5156">
        <w:t xml:space="preserve">  </w:t>
      </w:r>
      <w:r w:rsidR="00FE7EAB">
        <w:t xml:space="preserve">The data were aggregated for all </w:t>
      </w:r>
      <w:r w:rsidR="00B02E9C">
        <w:t>sections</w:t>
      </w:r>
      <w:r w:rsidR="00FE7EAB">
        <w:t>, and</w:t>
      </w:r>
      <w:r w:rsidR="00B02E9C">
        <w:t xml:space="preserve"> a score of</w:t>
      </w:r>
      <w:r w:rsidR="00FE7EAB">
        <w:t xml:space="preserve"> 90% ‘exceeded expectations, 70% to 89% ‘met expectations’, and 69% and below ‘did not meet expectations’.</w:t>
      </w:r>
    </w:p>
    <w:p w:rsidR="006F096E" w:rsidRPr="00FF5156" w:rsidRDefault="006F096E" w:rsidP="00FD56A5"/>
    <w:p w:rsidR="001D0807" w:rsidRPr="001D0807" w:rsidRDefault="00740ABC" w:rsidP="001D0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F5156">
        <w:rPr>
          <w:b/>
          <w:i/>
        </w:rPr>
        <w:t>Management 3353</w:t>
      </w:r>
      <w:r w:rsidRPr="00FF5156">
        <w:t xml:space="preserve">.  </w:t>
      </w:r>
      <w:r w:rsidR="001D0807" w:rsidRPr="001D0807">
        <w:rPr>
          <w:color w:val="000000"/>
        </w:rPr>
        <w:t xml:space="preserve">To assess student learning of Program Goal 2 (critical thinking), three forms of direct method assessment were used: </w:t>
      </w:r>
    </w:p>
    <w:p w:rsidR="001D0807" w:rsidRPr="001D0807" w:rsidRDefault="001D0807" w:rsidP="001D080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D0807">
        <w:rPr>
          <w:color w:val="000000"/>
        </w:rPr>
        <w:t>Analytical writing assignment, graded with a common rubric</w:t>
      </w:r>
    </w:p>
    <w:p w:rsidR="001D0807" w:rsidRPr="001D0807" w:rsidRDefault="001D0807" w:rsidP="001D080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D0807">
        <w:rPr>
          <w:color w:val="000000"/>
        </w:rPr>
        <w:t>Combination multiple choice &amp; true/false exam of 10 standardized questions that covered critical thinking of business communication topics</w:t>
      </w:r>
    </w:p>
    <w:p w:rsidR="001D0807" w:rsidRPr="001D0807" w:rsidRDefault="001D0807" w:rsidP="001D080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D0807">
        <w:rPr>
          <w:color w:val="000000"/>
        </w:rPr>
        <w:t>Oral presentation summarizing research findings graded with a common rubric</w:t>
      </w:r>
    </w:p>
    <w:p w:rsidR="001D0807" w:rsidRPr="001D0807" w:rsidRDefault="001D0807" w:rsidP="001D0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1"/>
        <w:rPr>
          <w:color w:val="000000"/>
        </w:rPr>
      </w:pPr>
    </w:p>
    <w:p w:rsidR="001D0807" w:rsidRPr="001D0807" w:rsidRDefault="001D0807" w:rsidP="001D0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D0807">
        <w:rPr>
          <w:color w:val="000000"/>
        </w:rPr>
        <w:t>For assessment purposes, four sections of MGT 3353/3453 were included in a representative sample of students enrolled at the main campus. This includes two large</w:t>
      </w:r>
      <w:r w:rsidRPr="001D0807">
        <w:t xml:space="preserve"> lectures (with 16 associated labs of ~25 students each) and two combined lecture/lab sections, all taught by day, totaling 455 students enrolled in Fall 2015 and Spring 2016.  </w:t>
      </w:r>
    </w:p>
    <w:p w:rsidR="001D0807" w:rsidRPr="001D0807" w:rsidRDefault="001D0807" w:rsidP="001D0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D0807" w:rsidRPr="001D0807" w:rsidRDefault="001D0807" w:rsidP="001D0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D0807">
        <w:rPr>
          <w:color w:val="000000"/>
        </w:rPr>
        <w:t>The following criteria were used to determine if students exceeded, met, or failed to meet expectations:</w:t>
      </w:r>
    </w:p>
    <w:p w:rsidR="001D0807" w:rsidRPr="001D0807" w:rsidRDefault="001D0807" w:rsidP="001D080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D0807">
        <w:rPr>
          <w:color w:val="000000"/>
        </w:rPr>
        <w:t>Exceeded expectations</w:t>
      </w:r>
      <w:r w:rsidRPr="001D0807">
        <w:rPr>
          <w:color w:val="000000"/>
        </w:rPr>
        <w:tab/>
        <w:t>= students who earned 90 percent or better</w:t>
      </w:r>
    </w:p>
    <w:p w:rsidR="001D0807" w:rsidRPr="001D0807" w:rsidRDefault="001D0807" w:rsidP="001D080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D0807">
        <w:rPr>
          <w:color w:val="000000"/>
        </w:rPr>
        <w:t xml:space="preserve">Met expectations </w:t>
      </w:r>
      <w:r w:rsidRPr="001D0807">
        <w:rPr>
          <w:color w:val="000000"/>
        </w:rPr>
        <w:tab/>
      </w:r>
      <w:r w:rsidRPr="001D0807">
        <w:rPr>
          <w:color w:val="000000"/>
        </w:rPr>
        <w:tab/>
        <w:t xml:space="preserve">= students who earned between 80 and 89 percent </w:t>
      </w:r>
    </w:p>
    <w:p w:rsidR="001D0807" w:rsidRPr="001D0807" w:rsidRDefault="001D0807" w:rsidP="001D080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D0807">
        <w:rPr>
          <w:color w:val="000000"/>
        </w:rPr>
        <w:t xml:space="preserve">Below expectations </w:t>
      </w:r>
      <w:r w:rsidRPr="001D0807">
        <w:rPr>
          <w:color w:val="000000"/>
        </w:rPr>
        <w:tab/>
        <w:t>= students who earned below 80 percent</w:t>
      </w:r>
    </w:p>
    <w:p w:rsidR="006F096E" w:rsidRPr="00FF5156" w:rsidRDefault="006F096E" w:rsidP="00FD56A5">
      <w:pPr>
        <w:rPr>
          <w:color w:val="000000"/>
        </w:rPr>
      </w:pPr>
    </w:p>
    <w:p w:rsidR="00740ABC" w:rsidRPr="00FF5156" w:rsidRDefault="00740ABC" w:rsidP="00FD56A5">
      <w:pPr>
        <w:rPr>
          <w:color w:val="000000"/>
        </w:rPr>
      </w:pPr>
    </w:p>
    <w:p w:rsidR="00740ABC" w:rsidRPr="00FF5156" w:rsidRDefault="001C1171" w:rsidP="00FD56A5">
      <w:pPr>
        <w:rPr>
          <w:rFonts w:eastAsia="Times New Roman"/>
        </w:rPr>
      </w:pPr>
      <w:r w:rsidRPr="00FF5156">
        <w:rPr>
          <w:b/>
          <w:i/>
        </w:rPr>
        <w:t>Marketing 3343</w:t>
      </w:r>
      <w:r w:rsidRPr="00FF5156">
        <w:t xml:space="preserve">.  </w:t>
      </w:r>
      <w:r w:rsidR="00DF6319">
        <w:rPr>
          <w:rFonts w:eastAsia="Times New Roman"/>
        </w:rPr>
        <w:t>The assessment of</w:t>
      </w:r>
      <w:r w:rsidRPr="00FF5156">
        <w:rPr>
          <w:rFonts w:eastAsia="Times New Roman"/>
        </w:rPr>
        <w:t xml:space="preserve"> student learning </w:t>
      </w:r>
      <w:r w:rsidR="00DF6319">
        <w:rPr>
          <w:rFonts w:eastAsia="Times New Roman"/>
        </w:rPr>
        <w:t xml:space="preserve">consisted of </w:t>
      </w:r>
      <w:r w:rsidRPr="00FF5156">
        <w:rPr>
          <w:rFonts w:eastAsia="Times New Roman"/>
        </w:rPr>
        <w:t xml:space="preserve">ten embedded questions in the final exam that required students to take information given in the question, use deductive reasoning, consider multiple alternatives, and compare possible solutions given the constraints </w:t>
      </w:r>
      <w:r w:rsidRPr="00FF5156">
        <w:rPr>
          <w:rFonts w:eastAsia="Times New Roman"/>
        </w:rPr>
        <w:lastRenderedPageBreak/>
        <w:t>listed in the information available to them.  These ten questions were embedded in a 100 question exam. The criteria used to determine if a student exceeded expectations was a score of 90% or better.  A student who met expectations had to have a percentage of correct answers between 70% and 89%.  Those who failed to meet expectations had scores below 70%.</w:t>
      </w:r>
    </w:p>
    <w:p w:rsidR="00AC3640" w:rsidRPr="00FF5156" w:rsidRDefault="00AC3640" w:rsidP="00FD56A5">
      <w:pPr>
        <w:rPr>
          <w:rFonts w:eastAsia="Times New Roman"/>
        </w:rPr>
      </w:pPr>
    </w:p>
    <w:p w:rsidR="00887B70" w:rsidRPr="003315E8" w:rsidRDefault="00AC3640" w:rsidP="00887B70">
      <w:pPr>
        <w:rPr>
          <w:color w:val="FF0000"/>
          <w:sz w:val="28"/>
          <w:szCs w:val="28"/>
        </w:rPr>
      </w:pPr>
      <w:r w:rsidRPr="00FF5156">
        <w:rPr>
          <w:rFonts w:eastAsia="Times New Roman"/>
          <w:b/>
          <w:i/>
        </w:rPr>
        <w:t>CIS 3380</w:t>
      </w:r>
      <w:r w:rsidRPr="00FF5156">
        <w:rPr>
          <w:rFonts w:eastAsia="Times New Roman"/>
        </w:rPr>
        <w:t xml:space="preserve">.  </w:t>
      </w:r>
      <w:r w:rsidR="00887B70" w:rsidRPr="001D0807">
        <w:t>To assess student learning of program goal 2, one form of direct assessment was used.  This assessment/exercise provide learning opportunities in which student to access data sets, manipulate the data and make decisions based upon first hand individual discovery during the data investigation.   The assessment consist</w:t>
      </w:r>
      <w:r w:rsidR="001D0807">
        <w:t>s</w:t>
      </w:r>
      <w:r w:rsidR="00887B70" w:rsidRPr="001D0807">
        <w:t xml:space="preserve"> of student completing assignment/exercise using Excel spreadsheet and Access database.  The students export data from</w:t>
      </w:r>
      <w:r w:rsidR="003315E8">
        <w:t xml:space="preserve"> the</w:t>
      </w:r>
      <w:r w:rsidR="00887B70" w:rsidRPr="001D0807">
        <w:t xml:space="preserve"> database to </w:t>
      </w:r>
      <w:r w:rsidR="003315E8">
        <w:t>E</w:t>
      </w:r>
      <w:r w:rsidR="00887B70" w:rsidRPr="001D0807">
        <w:t xml:space="preserve">xcel (technology skill), creates appropriate pivot tables (technology and critical skills) and uses pivot tables to make decisions (analytical, critical and reflective skills) regarding improving sales at </w:t>
      </w:r>
      <w:r w:rsidR="003315E8">
        <w:t xml:space="preserve">a </w:t>
      </w:r>
      <w:r w:rsidR="00887B70" w:rsidRPr="001D0807">
        <w:t>grocery store chain.</w:t>
      </w:r>
      <w:r w:rsidR="00887B70">
        <w:rPr>
          <w:sz w:val="28"/>
          <w:szCs w:val="28"/>
        </w:rPr>
        <w:t xml:space="preserve">  </w:t>
      </w:r>
    </w:p>
    <w:p w:rsidR="00DF6319" w:rsidRPr="00DF6319" w:rsidRDefault="00DF6319" w:rsidP="00DF6319">
      <w:r w:rsidRPr="00DF6319">
        <w:t>The criteria used to determine if a student exceeds expectations was a score of 80% or greater, for a student to meet expectations the score had to fall between 60.0-% and 79.9%, and for a student to fail to meet expectations the score had to fall below 60%.</w:t>
      </w:r>
    </w:p>
    <w:p w:rsidR="00AC3640" w:rsidRPr="00FF5156" w:rsidRDefault="00AC3640" w:rsidP="00FD56A5">
      <w:pPr>
        <w:rPr>
          <w:rFonts w:eastAsia="Times New Roman"/>
        </w:rPr>
      </w:pPr>
    </w:p>
    <w:p w:rsidR="00FF5156" w:rsidRDefault="00FF5156" w:rsidP="00FF5156">
      <w:r w:rsidRPr="00FF5156">
        <w:rPr>
          <w:b/>
          <w:i/>
        </w:rPr>
        <w:t>Management 4335</w:t>
      </w:r>
      <w:r w:rsidRPr="00FF5156">
        <w:t>.  Students work individually on a strategic analysis of a major corporation.  This culminates in a written paper addressing corporate- and business-level analyses (including financial analyses), recommendations, tables, and references.  Students also analyze a current business situation, including the historical background, all pertinent data, internal and external analysis, and recommendation.  This is presented to the class in an oral presentation of approximately 45 minutes in length.</w:t>
      </w:r>
      <w:r>
        <w:t xml:space="preserve">  Assignments are evaluated on a common rubric, and a score of 90% or greater ‘exceeds expectations’, 70% to 89% ‘meets expectations’, and 69% and below ‘does not meet expectations’.</w:t>
      </w:r>
    </w:p>
    <w:p w:rsidR="00FF5156" w:rsidRDefault="00FF5156" w:rsidP="00FF5156"/>
    <w:p w:rsidR="005A0984" w:rsidRDefault="005A0984" w:rsidP="00D34F4B">
      <w:pPr>
        <w:rPr>
          <w:b/>
          <w:sz w:val="22"/>
          <w:szCs w:val="22"/>
        </w:rPr>
      </w:pPr>
    </w:p>
    <w:p w:rsidR="005A0984" w:rsidRDefault="005A0984">
      <w:pPr>
        <w:rPr>
          <w:b/>
          <w:sz w:val="22"/>
          <w:szCs w:val="22"/>
        </w:rPr>
      </w:pPr>
      <w:r>
        <w:rPr>
          <w:b/>
          <w:sz w:val="22"/>
          <w:szCs w:val="22"/>
        </w:rPr>
        <w:br w:type="page"/>
      </w:r>
    </w:p>
    <w:p w:rsidR="006E70FA" w:rsidRDefault="00154A8A" w:rsidP="00D34F4B">
      <w:pPr>
        <w:rPr>
          <w:sz w:val="22"/>
          <w:szCs w:val="22"/>
        </w:rPr>
      </w:pPr>
      <w:r>
        <w:rPr>
          <w:b/>
          <w:sz w:val="22"/>
          <w:szCs w:val="22"/>
        </w:rPr>
        <w:lastRenderedPageBreak/>
        <w:t>Results for Program Goal 2—Critical Thinking</w:t>
      </w:r>
    </w:p>
    <w:p w:rsidR="00154A8A" w:rsidRDefault="00154A8A" w:rsidP="00D34F4B">
      <w:pPr>
        <w:rPr>
          <w:sz w:val="22"/>
          <w:szCs w:val="22"/>
        </w:rPr>
      </w:pPr>
    </w:p>
    <w:tbl>
      <w:tblPr>
        <w:tblW w:w="10020" w:type="dxa"/>
        <w:tblLook w:val="04A0" w:firstRow="1" w:lastRow="0" w:firstColumn="1" w:lastColumn="0" w:noHBand="0" w:noVBand="1"/>
      </w:tblPr>
      <w:tblGrid>
        <w:gridCol w:w="2788"/>
        <w:gridCol w:w="1126"/>
        <w:gridCol w:w="1037"/>
        <w:gridCol w:w="1059"/>
        <w:gridCol w:w="1238"/>
        <w:gridCol w:w="1278"/>
        <w:gridCol w:w="1494"/>
      </w:tblGrid>
      <w:tr w:rsidR="00C35280" w:rsidRPr="00C35280" w:rsidTr="00C35280">
        <w:trPr>
          <w:trHeight w:val="648"/>
        </w:trPr>
        <w:tc>
          <w:tcPr>
            <w:tcW w:w="8520" w:type="dxa"/>
            <w:gridSpan w:val="6"/>
            <w:tcBorders>
              <w:top w:val="single" w:sz="8" w:space="0" w:color="auto"/>
              <w:left w:val="single" w:sz="8" w:space="0" w:color="auto"/>
              <w:bottom w:val="nil"/>
              <w:right w:val="single" w:sz="8" w:space="0" w:color="000000"/>
            </w:tcBorders>
            <w:shd w:val="clear" w:color="auto" w:fill="auto"/>
            <w:vAlign w:val="bottom"/>
            <w:hideMark/>
          </w:tcPr>
          <w:p w:rsidR="00C35280" w:rsidRPr="00C35280" w:rsidRDefault="00C35280" w:rsidP="00C35280">
            <w:pPr>
              <w:jc w:val="center"/>
              <w:rPr>
                <w:rFonts w:ascii="Calibri" w:eastAsia="Times New Roman" w:hAnsi="Calibri"/>
                <w:b/>
                <w:bCs/>
                <w:color w:val="000000"/>
                <w:sz w:val="22"/>
                <w:szCs w:val="22"/>
                <w:lang w:eastAsia="en-US"/>
              </w:rPr>
            </w:pPr>
            <w:r w:rsidRPr="00C35280">
              <w:rPr>
                <w:rFonts w:ascii="Calibri" w:eastAsia="Times New Roman" w:hAnsi="Calibri"/>
                <w:b/>
                <w:bCs/>
                <w:color w:val="000000"/>
                <w:sz w:val="22"/>
                <w:szCs w:val="22"/>
                <w:lang w:eastAsia="en-US"/>
              </w:rPr>
              <w:t> </w:t>
            </w:r>
          </w:p>
        </w:tc>
        <w:tc>
          <w:tcPr>
            <w:tcW w:w="1500" w:type="dxa"/>
            <w:tcBorders>
              <w:top w:val="single" w:sz="8" w:space="0" w:color="auto"/>
              <w:left w:val="nil"/>
              <w:bottom w:val="nil"/>
              <w:right w:val="single" w:sz="8" w:space="0" w:color="auto"/>
            </w:tcBorders>
            <w:shd w:val="clear" w:color="auto" w:fill="auto"/>
            <w:vAlign w:val="bottom"/>
            <w:hideMark/>
          </w:tcPr>
          <w:p w:rsidR="00C35280" w:rsidRPr="00C35280" w:rsidRDefault="00C35280" w:rsidP="00C35280">
            <w:pPr>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 </w:t>
            </w:r>
          </w:p>
        </w:tc>
      </w:tr>
      <w:tr w:rsidR="00C35280" w:rsidRPr="00C35280" w:rsidTr="00C35280">
        <w:trPr>
          <w:trHeight w:val="612"/>
        </w:trPr>
        <w:tc>
          <w:tcPr>
            <w:tcW w:w="2800" w:type="dxa"/>
            <w:tcBorders>
              <w:top w:val="nil"/>
              <w:left w:val="single" w:sz="8" w:space="0" w:color="auto"/>
              <w:bottom w:val="single" w:sz="8" w:space="0" w:color="auto"/>
              <w:right w:val="nil"/>
            </w:tcBorders>
            <w:shd w:val="clear" w:color="auto" w:fill="auto"/>
            <w:vAlign w:val="bottom"/>
            <w:hideMark/>
          </w:tcPr>
          <w:p w:rsidR="00C35280" w:rsidRPr="00C35280" w:rsidRDefault="00C35280" w:rsidP="00C35280">
            <w:pPr>
              <w:rPr>
                <w:rFonts w:ascii="Calibri" w:eastAsia="Times New Roman" w:hAnsi="Calibri"/>
                <w:b/>
                <w:bCs/>
                <w:color w:val="000000"/>
                <w:sz w:val="22"/>
                <w:szCs w:val="22"/>
                <w:lang w:eastAsia="en-US"/>
              </w:rPr>
            </w:pPr>
            <w:r w:rsidRPr="00C35280">
              <w:rPr>
                <w:rFonts w:ascii="Calibri" w:eastAsia="Times New Roman" w:hAnsi="Calibri"/>
                <w:b/>
                <w:bCs/>
                <w:color w:val="000000"/>
                <w:sz w:val="22"/>
                <w:szCs w:val="22"/>
                <w:lang w:eastAsia="en-US"/>
              </w:rPr>
              <w:t>Course and evaluation method</w:t>
            </w:r>
          </w:p>
        </w:tc>
        <w:tc>
          <w:tcPr>
            <w:tcW w:w="1100" w:type="dxa"/>
            <w:tcBorders>
              <w:top w:val="nil"/>
              <w:left w:val="single" w:sz="4" w:space="0" w:color="auto"/>
              <w:bottom w:val="single" w:sz="8" w:space="0" w:color="auto"/>
              <w:right w:val="nil"/>
            </w:tcBorders>
            <w:shd w:val="clear" w:color="auto" w:fill="auto"/>
            <w:vAlign w:val="bottom"/>
            <w:hideMark/>
          </w:tcPr>
          <w:p w:rsidR="00C35280" w:rsidRPr="00C35280" w:rsidRDefault="00C35280" w:rsidP="00C35280">
            <w:pPr>
              <w:rPr>
                <w:rFonts w:ascii="Calibri" w:eastAsia="Times New Roman" w:hAnsi="Calibri"/>
                <w:b/>
                <w:bCs/>
                <w:color w:val="000000"/>
                <w:sz w:val="22"/>
                <w:szCs w:val="22"/>
                <w:lang w:eastAsia="en-US"/>
              </w:rPr>
            </w:pPr>
            <w:r w:rsidRPr="00C35280">
              <w:rPr>
                <w:rFonts w:ascii="Calibri" w:eastAsia="Times New Roman" w:hAnsi="Calibri"/>
                <w:b/>
                <w:bCs/>
                <w:color w:val="000000"/>
                <w:sz w:val="22"/>
                <w:szCs w:val="22"/>
                <w:lang w:eastAsia="en-US"/>
              </w:rPr>
              <w:t>Students evaluated</w:t>
            </w:r>
          </w:p>
        </w:tc>
        <w:tc>
          <w:tcPr>
            <w:tcW w:w="1040" w:type="dxa"/>
            <w:tcBorders>
              <w:top w:val="nil"/>
              <w:left w:val="single" w:sz="4" w:space="0" w:color="auto"/>
              <w:bottom w:val="single" w:sz="8" w:space="0" w:color="auto"/>
              <w:right w:val="nil"/>
            </w:tcBorders>
            <w:shd w:val="clear" w:color="auto" w:fill="auto"/>
            <w:vAlign w:val="bottom"/>
            <w:hideMark/>
          </w:tcPr>
          <w:p w:rsidR="00C35280" w:rsidRPr="00C35280" w:rsidRDefault="00C35280" w:rsidP="00C35280">
            <w:pPr>
              <w:rPr>
                <w:rFonts w:ascii="Calibri" w:eastAsia="Times New Roman" w:hAnsi="Calibri"/>
                <w:b/>
                <w:bCs/>
                <w:color w:val="000000"/>
                <w:sz w:val="22"/>
                <w:szCs w:val="22"/>
                <w:lang w:eastAsia="en-US"/>
              </w:rPr>
            </w:pPr>
            <w:r w:rsidRPr="00C35280">
              <w:rPr>
                <w:rFonts w:ascii="Calibri" w:eastAsia="Times New Roman" w:hAnsi="Calibri"/>
                <w:b/>
                <w:bCs/>
                <w:color w:val="000000"/>
                <w:sz w:val="22"/>
                <w:szCs w:val="22"/>
                <w:lang w:eastAsia="en-US"/>
              </w:rPr>
              <w:t>% Failing to Meet</w:t>
            </w:r>
          </w:p>
        </w:tc>
        <w:tc>
          <w:tcPr>
            <w:tcW w:w="1060" w:type="dxa"/>
            <w:tcBorders>
              <w:top w:val="nil"/>
              <w:left w:val="single" w:sz="4" w:space="0" w:color="auto"/>
              <w:bottom w:val="single" w:sz="8" w:space="0" w:color="auto"/>
              <w:right w:val="nil"/>
            </w:tcBorders>
            <w:shd w:val="clear" w:color="auto" w:fill="auto"/>
            <w:vAlign w:val="bottom"/>
            <w:hideMark/>
          </w:tcPr>
          <w:p w:rsidR="00C35280" w:rsidRPr="00C35280" w:rsidRDefault="00C35280" w:rsidP="00C35280">
            <w:pPr>
              <w:rPr>
                <w:rFonts w:ascii="Calibri" w:eastAsia="Times New Roman" w:hAnsi="Calibri"/>
                <w:b/>
                <w:bCs/>
                <w:color w:val="000000"/>
                <w:sz w:val="22"/>
                <w:szCs w:val="22"/>
                <w:lang w:eastAsia="en-US"/>
              </w:rPr>
            </w:pPr>
            <w:r w:rsidRPr="00C35280">
              <w:rPr>
                <w:rFonts w:ascii="Calibri" w:eastAsia="Times New Roman" w:hAnsi="Calibri"/>
                <w:b/>
                <w:bCs/>
                <w:color w:val="000000"/>
                <w:sz w:val="22"/>
                <w:szCs w:val="22"/>
                <w:lang w:eastAsia="en-US"/>
              </w:rPr>
              <w:t>% Meeting</w:t>
            </w:r>
          </w:p>
        </w:tc>
        <w:tc>
          <w:tcPr>
            <w:tcW w:w="1240" w:type="dxa"/>
            <w:tcBorders>
              <w:top w:val="nil"/>
              <w:left w:val="single" w:sz="4" w:space="0" w:color="auto"/>
              <w:bottom w:val="single" w:sz="8" w:space="0" w:color="auto"/>
              <w:right w:val="nil"/>
            </w:tcBorders>
            <w:shd w:val="clear" w:color="auto" w:fill="auto"/>
            <w:vAlign w:val="bottom"/>
            <w:hideMark/>
          </w:tcPr>
          <w:p w:rsidR="00C35280" w:rsidRPr="00C35280" w:rsidRDefault="00C35280" w:rsidP="00C35280">
            <w:pPr>
              <w:rPr>
                <w:rFonts w:ascii="Calibri" w:eastAsia="Times New Roman" w:hAnsi="Calibri"/>
                <w:b/>
                <w:bCs/>
                <w:color w:val="000000"/>
                <w:sz w:val="22"/>
                <w:szCs w:val="22"/>
                <w:lang w:eastAsia="en-US"/>
              </w:rPr>
            </w:pPr>
            <w:r w:rsidRPr="00C35280">
              <w:rPr>
                <w:rFonts w:ascii="Calibri" w:eastAsia="Times New Roman" w:hAnsi="Calibri"/>
                <w:b/>
                <w:bCs/>
                <w:color w:val="000000"/>
                <w:sz w:val="22"/>
                <w:szCs w:val="22"/>
                <w:lang w:eastAsia="en-US"/>
              </w:rPr>
              <w:t>% Exceeding</w:t>
            </w:r>
          </w:p>
        </w:tc>
        <w:tc>
          <w:tcPr>
            <w:tcW w:w="1280" w:type="dxa"/>
            <w:tcBorders>
              <w:top w:val="nil"/>
              <w:left w:val="single" w:sz="4" w:space="0" w:color="auto"/>
              <w:bottom w:val="single" w:sz="8" w:space="0" w:color="auto"/>
              <w:right w:val="single" w:sz="8" w:space="0" w:color="auto"/>
            </w:tcBorders>
            <w:shd w:val="clear" w:color="auto" w:fill="auto"/>
            <w:vAlign w:val="bottom"/>
            <w:hideMark/>
          </w:tcPr>
          <w:p w:rsidR="00C35280" w:rsidRPr="00C35280" w:rsidRDefault="00C35280" w:rsidP="00C35280">
            <w:pPr>
              <w:rPr>
                <w:rFonts w:ascii="Calibri" w:eastAsia="Times New Roman" w:hAnsi="Calibri"/>
                <w:b/>
                <w:bCs/>
                <w:color w:val="000000"/>
                <w:sz w:val="22"/>
                <w:szCs w:val="22"/>
                <w:lang w:eastAsia="en-US"/>
              </w:rPr>
            </w:pPr>
            <w:r w:rsidRPr="00C35280">
              <w:rPr>
                <w:rFonts w:ascii="Calibri" w:eastAsia="Times New Roman" w:hAnsi="Calibri"/>
                <w:b/>
                <w:bCs/>
                <w:color w:val="000000"/>
                <w:sz w:val="22"/>
                <w:szCs w:val="22"/>
                <w:lang w:eastAsia="en-US"/>
              </w:rPr>
              <w:t>% Meeting or Exceeding</w:t>
            </w:r>
          </w:p>
        </w:tc>
        <w:tc>
          <w:tcPr>
            <w:tcW w:w="1500" w:type="dxa"/>
            <w:tcBorders>
              <w:top w:val="nil"/>
              <w:left w:val="nil"/>
              <w:bottom w:val="single" w:sz="8" w:space="0" w:color="auto"/>
              <w:right w:val="single" w:sz="8" w:space="0" w:color="auto"/>
            </w:tcBorders>
            <w:shd w:val="clear" w:color="auto" w:fill="auto"/>
            <w:vAlign w:val="bottom"/>
            <w:hideMark/>
          </w:tcPr>
          <w:p w:rsidR="00C35280" w:rsidRPr="00C35280" w:rsidRDefault="00C35280" w:rsidP="00C35280">
            <w:pPr>
              <w:rPr>
                <w:rFonts w:ascii="Calibri" w:eastAsia="Times New Roman" w:hAnsi="Calibri"/>
                <w:b/>
                <w:bCs/>
                <w:color w:val="000000"/>
                <w:sz w:val="22"/>
                <w:szCs w:val="22"/>
                <w:lang w:eastAsia="en-US"/>
              </w:rPr>
            </w:pPr>
            <w:r w:rsidRPr="00C35280">
              <w:rPr>
                <w:rFonts w:ascii="Calibri" w:eastAsia="Times New Roman" w:hAnsi="Calibri"/>
                <w:b/>
                <w:bCs/>
                <w:color w:val="000000"/>
                <w:sz w:val="22"/>
                <w:szCs w:val="22"/>
                <w:lang w:eastAsia="en-US"/>
              </w:rPr>
              <w:t>% Meeting or Exceeding 2013</w:t>
            </w:r>
          </w:p>
        </w:tc>
      </w:tr>
      <w:tr w:rsidR="00C35280" w:rsidRPr="00C35280" w:rsidTr="00C35280">
        <w:trPr>
          <w:trHeight w:val="576"/>
        </w:trPr>
        <w:tc>
          <w:tcPr>
            <w:tcW w:w="2800" w:type="dxa"/>
            <w:tcBorders>
              <w:top w:val="nil"/>
              <w:left w:val="single" w:sz="8" w:space="0" w:color="auto"/>
              <w:bottom w:val="nil"/>
              <w:right w:val="nil"/>
            </w:tcBorders>
            <w:shd w:val="clear" w:color="auto" w:fill="auto"/>
            <w:vAlign w:val="bottom"/>
            <w:hideMark/>
          </w:tcPr>
          <w:p w:rsidR="00C35280" w:rsidRPr="00C35280" w:rsidRDefault="00C35280" w:rsidP="00C35280">
            <w:pPr>
              <w:rPr>
                <w:rFonts w:ascii="Calibri" w:eastAsia="Times New Roman" w:hAnsi="Calibri"/>
                <w:color w:val="000000"/>
                <w:sz w:val="22"/>
                <w:szCs w:val="22"/>
                <w:lang w:eastAsia="en-US"/>
              </w:rPr>
            </w:pPr>
            <w:r w:rsidRPr="00C35280">
              <w:rPr>
                <w:rFonts w:ascii="Calibri" w:eastAsia="Times New Roman" w:hAnsi="Calibri"/>
                <w:b/>
                <w:bCs/>
                <w:color w:val="000000"/>
                <w:sz w:val="22"/>
                <w:szCs w:val="22"/>
                <w:lang w:eastAsia="en-US"/>
              </w:rPr>
              <w:t xml:space="preserve">ACC 2361 </w:t>
            </w:r>
            <w:r w:rsidRPr="00C35280">
              <w:rPr>
                <w:rFonts w:ascii="Calibri" w:eastAsia="Times New Roman" w:hAnsi="Calibri"/>
                <w:color w:val="000000"/>
                <w:sz w:val="22"/>
                <w:szCs w:val="22"/>
                <w:lang w:eastAsia="en-US"/>
              </w:rPr>
              <w:t>- common test questions/problems</w:t>
            </w:r>
          </w:p>
        </w:tc>
        <w:tc>
          <w:tcPr>
            <w:tcW w:w="110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443</w:t>
            </w:r>
          </w:p>
        </w:tc>
        <w:tc>
          <w:tcPr>
            <w:tcW w:w="104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32.51%</w:t>
            </w:r>
          </w:p>
        </w:tc>
        <w:tc>
          <w:tcPr>
            <w:tcW w:w="106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44.02%</w:t>
            </w:r>
          </w:p>
        </w:tc>
        <w:tc>
          <w:tcPr>
            <w:tcW w:w="124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23.48%</w:t>
            </w:r>
          </w:p>
        </w:tc>
        <w:tc>
          <w:tcPr>
            <w:tcW w:w="1280" w:type="dxa"/>
            <w:tcBorders>
              <w:top w:val="nil"/>
              <w:left w:val="single" w:sz="4" w:space="0" w:color="auto"/>
              <w:bottom w:val="nil"/>
              <w:right w:val="single" w:sz="8" w:space="0" w:color="auto"/>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67.49%</w:t>
            </w:r>
          </w:p>
        </w:tc>
        <w:tc>
          <w:tcPr>
            <w:tcW w:w="1500" w:type="dxa"/>
            <w:tcBorders>
              <w:top w:val="nil"/>
              <w:left w:val="nil"/>
              <w:bottom w:val="nil"/>
              <w:right w:val="single" w:sz="8" w:space="0" w:color="auto"/>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64.86%</w:t>
            </w:r>
          </w:p>
        </w:tc>
      </w:tr>
      <w:tr w:rsidR="00C35280" w:rsidRPr="00C35280" w:rsidTr="00C35280">
        <w:trPr>
          <w:trHeight w:val="576"/>
        </w:trPr>
        <w:tc>
          <w:tcPr>
            <w:tcW w:w="2800" w:type="dxa"/>
            <w:tcBorders>
              <w:top w:val="nil"/>
              <w:left w:val="single" w:sz="8" w:space="0" w:color="auto"/>
              <w:bottom w:val="nil"/>
              <w:right w:val="nil"/>
            </w:tcBorders>
            <w:shd w:val="clear" w:color="000000" w:fill="D9D9D9"/>
            <w:vAlign w:val="bottom"/>
            <w:hideMark/>
          </w:tcPr>
          <w:p w:rsidR="00C35280" w:rsidRPr="00C35280" w:rsidRDefault="00C35280" w:rsidP="00C35280">
            <w:pPr>
              <w:rPr>
                <w:rFonts w:ascii="Calibri" w:eastAsia="Times New Roman" w:hAnsi="Calibri"/>
                <w:color w:val="000000"/>
                <w:sz w:val="22"/>
                <w:szCs w:val="22"/>
                <w:lang w:eastAsia="en-US"/>
              </w:rPr>
            </w:pPr>
            <w:r w:rsidRPr="00C35280">
              <w:rPr>
                <w:rFonts w:ascii="Calibri" w:eastAsia="Times New Roman" w:hAnsi="Calibri"/>
                <w:b/>
                <w:bCs/>
                <w:color w:val="000000"/>
                <w:sz w:val="22"/>
                <w:szCs w:val="22"/>
                <w:lang w:eastAsia="en-US"/>
              </w:rPr>
              <w:t xml:space="preserve">ACC 2362 </w:t>
            </w:r>
            <w:r w:rsidRPr="00C35280">
              <w:rPr>
                <w:rFonts w:ascii="Calibri" w:eastAsia="Times New Roman" w:hAnsi="Calibri"/>
                <w:color w:val="000000"/>
                <w:sz w:val="22"/>
                <w:szCs w:val="22"/>
                <w:lang w:eastAsia="en-US"/>
              </w:rPr>
              <w:t>- common test questions/problems</w:t>
            </w:r>
          </w:p>
        </w:tc>
        <w:tc>
          <w:tcPr>
            <w:tcW w:w="110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747</w:t>
            </w:r>
          </w:p>
        </w:tc>
        <w:tc>
          <w:tcPr>
            <w:tcW w:w="104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22.22%</w:t>
            </w:r>
          </w:p>
        </w:tc>
        <w:tc>
          <w:tcPr>
            <w:tcW w:w="106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55.15%</w:t>
            </w:r>
          </w:p>
        </w:tc>
        <w:tc>
          <w:tcPr>
            <w:tcW w:w="124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22.62%</w:t>
            </w:r>
          </w:p>
        </w:tc>
        <w:tc>
          <w:tcPr>
            <w:tcW w:w="1280" w:type="dxa"/>
            <w:tcBorders>
              <w:top w:val="nil"/>
              <w:left w:val="single" w:sz="4" w:space="0" w:color="auto"/>
              <w:bottom w:val="nil"/>
              <w:right w:val="single" w:sz="8" w:space="0" w:color="auto"/>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77.78%</w:t>
            </w:r>
          </w:p>
        </w:tc>
        <w:tc>
          <w:tcPr>
            <w:tcW w:w="1500" w:type="dxa"/>
            <w:tcBorders>
              <w:top w:val="nil"/>
              <w:left w:val="nil"/>
              <w:bottom w:val="nil"/>
              <w:right w:val="single" w:sz="8" w:space="0" w:color="auto"/>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76.05%</w:t>
            </w:r>
          </w:p>
        </w:tc>
      </w:tr>
      <w:tr w:rsidR="00C35280" w:rsidRPr="00C35280" w:rsidTr="00C35280">
        <w:trPr>
          <w:trHeight w:val="576"/>
        </w:trPr>
        <w:tc>
          <w:tcPr>
            <w:tcW w:w="2800" w:type="dxa"/>
            <w:tcBorders>
              <w:top w:val="nil"/>
              <w:left w:val="single" w:sz="8" w:space="0" w:color="auto"/>
              <w:bottom w:val="nil"/>
              <w:right w:val="nil"/>
            </w:tcBorders>
            <w:shd w:val="clear" w:color="auto" w:fill="auto"/>
            <w:vAlign w:val="bottom"/>
            <w:hideMark/>
          </w:tcPr>
          <w:p w:rsidR="00C35280" w:rsidRPr="00C35280" w:rsidRDefault="00C35280" w:rsidP="00C35280">
            <w:pPr>
              <w:rPr>
                <w:rFonts w:ascii="Calibri" w:eastAsia="Times New Roman" w:hAnsi="Calibri"/>
                <w:color w:val="000000"/>
                <w:sz w:val="22"/>
                <w:szCs w:val="22"/>
                <w:lang w:eastAsia="en-US"/>
              </w:rPr>
            </w:pPr>
            <w:r w:rsidRPr="00C35280">
              <w:rPr>
                <w:rFonts w:ascii="Calibri" w:eastAsia="Times New Roman" w:hAnsi="Calibri"/>
                <w:b/>
                <w:bCs/>
                <w:color w:val="000000"/>
                <w:sz w:val="22"/>
                <w:szCs w:val="22"/>
                <w:lang w:eastAsia="en-US"/>
              </w:rPr>
              <w:t>ECO 2314</w:t>
            </w:r>
            <w:r w:rsidRPr="00C35280">
              <w:rPr>
                <w:rFonts w:ascii="Calibri" w:eastAsia="Times New Roman" w:hAnsi="Calibri"/>
                <w:color w:val="000000"/>
                <w:sz w:val="22"/>
                <w:szCs w:val="22"/>
                <w:lang w:eastAsia="en-US"/>
              </w:rPr>
              <w:t xml:space="preserve"> - multiple approaches</w:t>
            </w:r>
          </w:p>
        </w:tc>
        <w:tc>
          <w:tcPr>
            <w:tcW w:w="110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634</w:t>
            </w:r>
          </w:p>
        </w:tc>
        <w:tc>
          <w:tcPr>
            <w:tcW w:w="104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55.99%</w:t>
            </w:r>
          </w:p>
        </w:tc>
        <w:tc>
          <w:tcPr>
            <w:tcW w:w="106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20.03%</w:t>
            </w:r>
          </w:p>
        </w:tc>
        <w:tc>
          <w:tcPr>
            <w:tcW w:w="124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23.97%</w:t>
            </w:r>
          </w:p>
        </w:tc>
        <w:tc>
          <w:tcPr>
            <w:tcW w:w="1280" w:type="dxa"/>
            <w:tcBorders>
              <w:top w:val="nil"/>
              <w:left w:val="single" w:sz="4" w:space="0" w:color="auto"/>
              <w:bottom w:val="nil"/>
              <w:right w:val="single" w:sz="8" w:space="0" w:color="auto"/>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44.01%</w:t>
            </w:r>
          </w:p>
        </w:tc>
        <w:tc>
          <w:tcPr>
            <w:tcW w:w="1500" w:type="dxa"/>
            <w:tcBorders>
              <w:top w:val="nil"/>
              <w:left w:val="nil"/>
              <w:bottom w:val="nil"/>
              <w:right w:val="single" w:sz="8" w:space="0" w:color="auto"/>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46.00%</w:t>
            </w:r>
          </w:p>
        </w:tc>
      </w:tr>
      <w:tr w:rsidR="00C35280" w:rsidRPr="00C35280" w:rsidTr="00C35280">
        <w:trPr>
          <w:trHeight w:val="576"/>
        </w:trPr>
        <w:tc>
          <w:tcPr>
            <w:tcW w:w="2800" w:type="dxa"/>
            <w:tcBorders>
              <w:top w:val="nil"/>
              <w:left w:val="single" w:sz="8" w:space="0" w:color="auto"/>
              <w:bottom w:val="nil"/>
              <w:right w:val="nil"/>
            </w:tcBorders>
            <w:shd w:val="clear" w:color="000000" w:fill="D9D9D9"/>
            <w:vAlign w:val="bottom"/>
            <w:hideMark/>
          </w:tcPr>
          <w:p w:rsidR="00C35280" w:rsidRPr="00C35280" w:rsidRDefault="00C35280" w:rsidP="00C35280">
            <w:pPr>
              <w:rPr>
                <w:rFonts w:ascii="Calibri" w:eastAsia="Times New Roman" w:hAnsi="Calibri"/>
                <w:color w:val="000000"/>
                <w:sz w:val="22"/>
                <w:szCs w:val="22"/>
                <w:lang w:eastAsia="en-US"/>
              </w:rPr>
            </w:pPr>
            <w:r w:rsidRPr="00C35280">
              <w:rPr>
                <w:rFonts w:ascii="Calibri" w:eastAsia="Times New Roman" w:hAnsi="Calibri"/>
                <w:b/>
                <w:bCs/>
                <w:color w:val="000000"/>
                <w:sz w:val="22"/>
                <w:szCs w:val="22"/>
                <w:lang w:eastAsia="en-US"/>
              </w:rPr>
              <w:t>ECO 2315</w:t>
            </w:r>
            <w:r w:rsidRPr="00C35280">
              <w:rPr>
                <w:rFonts w:ascii="Calibri" w:eastAsia="Times New Roman" w:hAnsi="Calibri"/>
                <w:color w:val="000000"/>
                <w:sz w:val="22"/>
                <w:szCs w:val="22"/>
                <w:lang w:eastAsia="en-US"/>
              </w:rPr>
              <w:t xml:space="preserve"> - multiple approaches</w:t>
            </w:r>
          </w:p>
        </w:tc>
        <w:tc>
          <w:tcPr>
            <w:tcW w:w="110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527</w:t>
            </w:r>
          </w:p>
        </w:tc>
        <w:tc>
          <w:tcPr>
            <w:tcW w:w="104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54.81%</w:t>
            </w:r>
          </w:p>
        </w:tc>
        <w:tc>
          <w:tcPr>
            <w:tcW w:w="106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20.38%</w:t>
            </w:r>
          </w:p>
        </w:tc>
        <w:tc>
          <w:tcPr>
            <w:tcW w:w="124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24.81%</w:t>
            </w:r>
          </w:p>
        </w:tc>
        <w:tc>
          <w:tcPr>
            <w:tcW w:w="1280" w:type="dxa"/>
            <w:tcBorders>
              <w:top w:val="nil"/>
              <w:left w:val="single" w:sz="4" w:space="0" w:color="auto"/>
              <w:bottom w:val="nil"/>
              <w:right w:val="single" w:sz="8" w:space="0" w:color="auto"/>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45.19%</w:t>
            </w:r>
          </w:p>
        </w:tc>
        <w:tc>
          <w:tcPr>
            <w:tcW w:w="1500" w:type="dxa"/>
            <w:tcBorders>
              <w:top w:val="nil"/>
              <w:left w:val="nil"/>
              <w:bottom w:val="nil"/>
              <w:right w:val="single" w:sz="8" w:space="0" w:color="auto"/>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59.50%</w:t>
            </w:r>
          </w:p>
        </w:tc>
      </w:tr>
      <w:tr w:rsidR="00C35280" w:rsidRPr="00C35280" w:rsidTr="00C35280">
        <w:trPr>
          <w:trHeight w:val="564"/>
        </w:trPr>
        <w:tc>
          <w:tcPr>
            <w:tcW w:w="2800" w:type="dxa"/>
            <w:tcBorders>
              <w:top w:val="nil"/>
              <w:left w:val="single" w:sz="8" w:space="0" w:color="auto"/>
              <w:bottom w:val="nil"/>
              <w:right w:val="nil"/>
            </w:tcBorders>
            <w:shd w:val="clear" w:color="auto" w:fill="auto"/>
            <w:vAlign w:val="bottom"/>
            <w:hideMark/>
          </w:tcPr>
          <w:p w:rsidR="00C35280" w:rsidRPr="00C35280" w:rsidRDefault="00C35280" w:rsidP="00C35280">
            <w:pPr>
              <w:rPr>
                <w:rFonts w:ascii="Calibri" w:eastAsia="Times New Roman" w:hAnsi="Calibri"/>
                <w:color w:val="000000"/>
                <w:sz w:val="22"/>
                <w:szCs w:val="22"/>
                <w:lang w:eastAsia="en-US"/>
              </w:rPr>
            </w:pPr>
            <w:r w:rsidRPr="00C35280">
              <w:rPr>
                <w:rFonts w:ascii="Calibri" w:eastAsia="Times New Roman" w:hAnsi="Calibri"/>
                <w:b/>
                <w:bCs/>
                <w:color w:val="000000"/>
                <w:sz w:val="22"/>
                <w:szCs w:val="22"/>
                <w:lang w:eastAsia="en-US"/>
              </w:rPr>
              <w:t>QMST 2333</w:t>
            </w:r>
            <w:r w:rsidRPr="00C35280">
              <w:rPr>
                <w:rFonts w:ascii="Calibri" w:eastAsia="Times New Roman" w:hAnsi="Calibri"/>
                <w:color w:val="000000"/>
                <w:sz w:val="22"/>
                <w:szCs w:val="22"/>
                <w:lang w:eastAsia="en-US"/>
              </w:rPr>
              <w:t xml:space="preserve"> - application/problem questions</w:t>
            </w:r>
          </w:p>
        </w:tc>
        <w:tc>
          <w:tcPr>
            <w:tcW w:w="110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1008</w:t>
            </w:r>
          </w:p>
        </w:tc>
        <w:tc>
          <w:tcPr>
            <w:tcW w:w="104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32.84%</w:t>
            </w:r>
          </w:p>
        </w:tc>
        <w:tc>
          <w:tcPr>
            <w:tcW w:w="106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46.13%</w:t>
            </w:r>
          </w:p>
        </w:tc>
        <w:tc>
          <w:tcPr>
            <w:tcW w:w="124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21.03%</w:t>
            </w:r>
          </w:p>
        </w:tc>
        <w:tc>
          <w:tcPr>
            <w:tcW w:w="1280" w:type="dxa"/>
            <w:tcBorders>
              <w:top w:val="nil"/>
              <w:left w:val="single" w:sz="4" w:space="0" w:color="auto"/>
              <w:bottom w:val="nil"/>
              <w:right w:val="single" w:sz="8" w:space="0" w:color="auto"/>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67.16%</w:t>
            </w:r>
          </w:p>
        </w:tc>
        <w:tc>
          <w:tcPr>
            <w:tcW w:w="1500" w:type="dxa"/>
            <w:tcBorders>
              <w:top w:val="nil"/>
              <w:left w:val="nil"/>
              <w:bottom w:val="nil"/>
              <w:right w:val="single" w:sz="8" w:space="0" w:color="auto"/>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84.00%</w:t>
            </w:r>
          </w:p>
        </w:tc>
      </w:tr>
      <w:tr w:rsidR="00C35280" w:rsidRPr="00C35280" w:rsidTr="00C35280">
        <w:trPr>
          <w:trHeight w:val="576"/>
        </w:trPr>
        <w:tc>
          <w:tcPr>
            <w:tcW w:w="2800" w:type="dxa"/>
            <w:tcBorders>
              <w:top w:val="nil"/>
              <w:left w:val="single" w:sz="8" w:space="0" w:color="auto"/>
              <w:bottom w:val="nil"/>
              <w:right w:val="nil"/>
            </w:tcBorders>
            <w:shd w:val="clear" w:color="000000" w:fill="D9D9D9"/>
            <w:vAlign w:val="bottom"/>
            <w:hideMark/>
          </w:tcPr>
          <w:p w:rsidR="00C35280" w:rsidRPr="00C35280" w:rsidRDefault="00C35280" w:rsidP="00C35280">
            <w:pPr>
              <w:rPr>
                <w:rFonts w:ascii="Calibri" w:eastAsia="Times New Roman" w:hAnsi="Calibri"/>
                <w:color w:val="000000"/>
                <w:sz w:val="22"/>
                <w:szCs w:val="22"/>
                <w:lang w:eastAsia="en-US"/>
              </w:rPr>
            </w:pPr>
            <w:r w:rsidRPr="00C35280">
              <w:rPr>
                <w:rFonts w:ascii="Calibri" w:eastAsia="Times New Roman" w:hAnsi="Calibri"/>
                <w:b/>
                <w:bCs/>
                <w:color w:val="000000"/>
                <w:sz w:val="22"/>
                <w:szCs w:val="22"/>
                <w:lang w:eastAsia="en-US"/>
              </w:rPr>
              <w:t>BLAW 2361</w:t>
            </w:r>
            <w:r w:rsidRPr="00C35280">
              <w:rPr>
                <w:rFonts w:ascii="Calibri" w:eastAsia="Times New Roman" w:hAnsi="Calibri"/>
                <w:color w:val="000000"/>
                <w:sz w:val="22"/>
                <w:szCs w:val="22"/>
                <w:lang w:eastAsia="en-US"/>
              </w:rPr>
              <w:t xml:space="preserve"> - common test questions/problems</w:t>
            </w:r>
          </w:p>
        </w:tc>
        <w:tc>
          <w:tcPr>
            <w:tcW w:w="110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527</w:t>
            </w:r>
          </w:p>
        </w:tc>
        <w:tc>
          <w:tcPr>
            <w:tcW w:w="104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19.17%</w:t>
            </w:r>
          </w:p>
        </w:tc>
        <w:tc>
          <w:tcPr>
            <w:tcW w:w="106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33.78%</w:t>
            </w:r>
          </w:p>
        </w:tc>
        <w:tc>
          <w:tcPr>
            <w:tcW w:w="124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47.06%</w:t>
            </w:r>
          </w:p>
        </w:tc>
        <w:tc>
          <w:tcPr>
            <w:tcW w:w="1280" w:type="dxa"/>
            <w:tcBorders>
              <w:top w:val="nil"/>
              <w:left w:val="single" w:sz="4" w:space="0" w:color="auto"/>
              <w:bottom w:val="nil"/>
              <w:right w:val="single" w:sz="8" w:space="0" w:color="auto"/>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80.83%</w:t>
            </w:r>
          </w:p>
        </w:tc>
        <w:tc>
          <w:tcPr>
            <w:tcW w:w="1500" w:type="dxa"/>
            <w:tcBorders>
              <w:top w:val="nil"/>
              <w:left w:val="nil"/>
              <w:bottom w:val="nil"/>
              <w:right w:val="single" w:sz="8" w:space="0" w:color="auto"/>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67.95%</w:t>
            </w:r>
          </w:p>
        </w:tc>
      </w:tr>
      <w:tr w:rsidR="00C35280" w:rsidRPr="00C35280" w:rsidTr="00C35280">
        <w:trPr>
          <w:trHeight w:val="876"/>
        </w:trPr>
        <w:tc>
          <w:tcPr>
            <w:tcW w:w="2800" w:type="dxa"/>
            <w:tcBorders>
              <w:top w:val="nil"/>
              <w:left w:val="single" w:sz="8" w:space="0" w:color="auto"/>
              <w:bottom w:val="nil"/>
              <w:right w:val="nil"/>
            </w:tcBorders>
            <w:shd w:val="clear" w:color="auto" w:fill="auto"/>
            <w:vAlign w:val="bottom"/>
            <w:hideMark/>
          </w:tcPr>
          <w:p w:rsidR="00C35280" w:rsidRPr="00C35280" w:rsidRDefault="00C35280" w:rsidP="00C35280">
            <w:pPr>
              <w:rPr>
                <w:rFonts w:ascii="Calibri" w:eastAsia="Times New Roman" w:hAnsi="Calibri"/>
                <w:color w:val="000000"/>
                <w:sz w:val="22"/>
                <w:szCs w:val="22"/>
                <w:lang w:eastAsia="en-US"/>
              </w:rPr>
            </w:pPr>
            <w:r w:rsidRPr="00C35280">
              <w:rPr>
                <w:rFonts w:ascii="Calibri" w:eastAsia="Times New Roman" w:hAnsi="Calibri"/>
                <w:b/>
                <w:bCs/>
                <w:color w:val="000000"/>
                <w:sz w:val="22"/>
                <w:szCs w:val="22"/>
                <w:lang w:eastAsia="en-US"/>
              </w:rPr>
              <w:t>MGT 3303</w:t>
            </w:r>
            <w:r w:rsidRPr="00C35280">
              <w:rPr>
                <w:rFonts w:ascii="Calibri" w:eastAsia="Times New Roman" w:hAnsi="Calibri"/>
                <w:color w:val="000000"/>
                <w:sz w:val="22"/>
                <w:szCs w:val="22"/>
                <w:lang w:eastAsia="en-US"/>
              </w:rPr>
              <w:t xml:space="preserve"> - terms/applications exam questions</w:t>
            </w:r>
          </w:p>
        </w:tc>
        <w:tc>
          <w:tcPr>
            <w:tcW w:w="110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376</w:t>
            </w:r>
          </w:p>
        </w:tc>
        <w:tc>
          <w:tcPr>
            <w:tcW w:w="104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30.05%</w:t>
            </w:r>
          </w:p>
        </w:tc>
        <w:tc>
          <w:tcPr>
            <w:tcW w:w="106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43.88%</w:t>
            </w:r>
          </w:p>
        </w:tc>
        <w:tc>
          <w:tcPr>
            <w:tcW w:w="124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26.06%</w:t>
            </w:r>
          </w:p>
        </w:tc>
        <w:tc>
          <w:tcPr>
            <w:tcW w:w="1280" w:type="dxa"/>
            <w:tcBorders>
              <w:top w:val="nil"/>
              <w:left w:val="single" w:sz="4" w:space="0" w:color="auto"/>
              <w:bottom w:val="nil"/>
              <w:right w:val="single" w:sz="8" w:space="0" w:color="auto"/>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69.95%</w:t>
            </w:r>
          </w:p>
        </w:tc>
        <w:tc>
          <w:tcPr>
            <w:tcW w:w="1500" w:type="dxa"/>
            <w:tcBorders>
              <w:top w:val="nil"/>
              <w:left w:val="nil"/>
              <w:bottom w:val="nil"/>
              <w:right w:val="single" w:sz="8" w:space="0" w:color="auto"/>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86.00%</w:t>
            </w:r>
          </w:p>
        </w:tc>
      </w:tr>
      <w:tr w:rsidR="00C35280" w:rsidRPr="00C35280" w:rsidTr="00C35280">
        <w:trPr>
          <w:trHeight w:val="576"/>
        </w:trPr>
        <w:tc>
          <w:tcPr>
            <w:tcW w:w="2800" w:type="dxa"/>
            <w:tcBorders>
              <w:top w:val="nil"/>
              <w:left w:val="single" w:sz="8" w:space="0" w:color="auto"/>
              <w:bottom w:val="nil"/>
              <w:right w:val="nil"/>
            </w:tcBorders>
            <w:shd w:val="clear" w:color="000000" w:fill="D9D9D9"/>
            <w:vAlign w:val="bottom"/>
            <w:hideMark/>
          </w:tcPr>
          <w:p w:rsidR="00C35280" w:rsidRPr="00C35280" w:rsidRDefault="00C35280" w:rsidP="00C35280">
            <w:pPr>
              <w:rPr>
                <w:rFonts w:ascii="Calibri" w:eastAsia="Times New Roman" w:hAnsi="Calibri"/>
                <w:color w:val="000000"/>
                <w:sz w:val="22"/>
                <w:szCs w:val="22"/>
                <w:lang w:eastAsia="en-US"/>
              </w:rPr>
            </w:pPr>
            <w:r w:rsidRPr="00C35280">
              <w:rPr>
                <w:rFonts w:ascii="Calibri" w:eastAsia="Times New Roman" w:hAnsi="Calibri"/>
                <w:b/>
                <w:bCs/>
                <w:color w:val="000000"/>
                <w:sz w:val="22"/>
                <w:szCs w:val="22"/>
                <w:lang w:eastAsia="en-US"/>
              </w:rPr>
              <w:t>FIN 3312</w:t>
            </w:r>
            <w:r w:rsidRPr="00C35280">
              <w:rPr>
                <w:rFonts w:ascii="Calibri" w:eastAsia="Times New Roman" w:hAnsi="Calibri"/>
                <w:color w:val="000000"/>
                <w:sz w:val="22"/>
                <w:szCs w:val="22"/>
                <w:lang w:eastAsia="en-US"/>
              </w:rPr>
              <w:t xml:space="preserve"> - common test questions/problems</w:t>
            </w:r>
          </w:p>
        </w:tc>
        <w:tc>
          <w:tcPr>
            <w:tcW w:w="110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369</w:t>
            </w:r>
          </w:p>
        </w:tc>
        <w:tc>
          <w:tcPr>
            <w:tcW w:w="104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34.69%</w:t>
            </w:r>
          </w:p>
        </w:tc>
        <w:tc>
          <w:tcPr>
            <w:tcW w:w="106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33.33%</w:t>
            </w:r>
          </w:p>
        </w:tc>
        <w:tc>
          <w:tcPr>
            <w:tcW w:w="124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31.98%</w:t>
            </w:r>
          </w:p>
        </w:tc>
        <w:tc>
          <w:tcPr>
            <w:tcW w:w="1280" w:type="dxa"/>
            <w:tcBorders>
              <w:top w:val="nil"/>
              <w:left w:val="single" w:sz="4" w:space="0" w:color="auto"/>
              <w:bottom w:val="nil"/>
              <w:right w:val="single" w:sz="8" w:space="0" w:color="auto"/>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65.31%</w:t>
            </w:r>
          </w:p>
        </w:tc>
        <w:tc>
          <w:tcPr>
            <w:tcW w:w="1500" w:type="dxa"/>
            <w:tcBorders>
              <w:top w:val="nil"/>
              <w:left w:val="nil"/>
              <w:bottom w:val="nil"/>
              <w:right w:val="single" w:sz="8" w:space="0" w:color="auto"/>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81.00%</w:t>
            </w:r>
          </w:p>
        </w:tc>
      </w:tr>
      <w:tr w:rsidR="00C35280" w:rsidRPr="00C35280" w:rsidTr="00C35280">
        <w:trPr>
          <w:trHeight w:val="576"/>
        </w:trPr>
        <w:tc>
          <w:tcPr>
            <w:tcW w:w="2800" w:type="dxa"/>
            <w:tcBorders>
              <w:top w:val="nil"/>
              <w:left w:val="single" w:sz="8" w:space="0" w:color="auto"/>
              <w:bottom w:val="nil"/>
              <w:right w:val="nil"/>
            </w:tcBorders>
            <w:shd w:val="clear" w:color="auto" w:fill="auto"/>
            <w:vAlign w:val="bottom"/>
            <w:hideMark/>
          </w:tcPr>
          <w:p w:rsidR="00C35280" w:rsidRPr="00C35280" w:rsidRDefault="00C35280" w:rsidP="00C35280">
            <w:pPr>
              <w:rPr>
                <w:rFonts w:ascii="Calibri" w:eastAsia="Times New Roman" w:hAnsi="Calibri"/>
                <w:color w:val="000000"/>
                <w:sz w:val="22"/>
                <w:szCs w:val="22"/>
                <w:lang w:eastAsia="en-US"/>
              </w:rPr>
            </w:pPr>
            <w:r w:rsidRPr="00C35280">
              <w:rPr>
                <w:rFonts w:ascii="Calibri" w:eastAsia="Times New Roman" w:hAnsi="Calibri"/>
                <w:b/>
                <w:bCs/>
                <w:color w:val="000000"/>
                <w:sz w:val="22"/>
                <w:szCs w:val="22"/>
                <w:lang w:eastAsia="en-US"/>
              </w:rPr>
              <w:t>MGT 3353</w:t>
            </w:r>
            <w:r w:rsidRPr="00C35280">
              <w:rPr>
                <w:rFonts w:ascii="Calibri" w:eastAsia="Times New Roman" w:hAnsi="Calibri"/>
                <w:color w:val="000000"/>
                <w:sz w:val="22"/>
                <w:szCs w:val="22"/>
                <w:lang w:eastAsia="en-US"/>
              </w:rPr>
              <w:t xml:space="preserve"> - analytical report/presentation</w:t>
            </w:r>
          </w:p>
        </w:tc>
        <w:tc>
          <w:tcPr>
            <w:tcW w:w="110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455</w:t>
            </w:r>
          </w:p>
        </w:tc>
        <w:tc>
          <w:tcPr>
            <w:tcW w:w="104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35.38%</w:t>
            </w:r>
          </w:p>
        </w:tc>
        <w:tc>
          <w:tcPr>
            <w:tcW w:w="106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23.96%</w:t>
            </w:r>
          </w:p>
        </w:tc>
        <w:tc>
          <w:tcPr>
            <w:tcW w:w="124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40.66%</w:t>
            </w:r>
          </w:p>
        </w:tc>
        <w:tc>
          <w:tcPr>
            <w:tcW w:w="1280" w:type="dxa"/>
            <w:tcBorders>
              <w:top w:val="nil"/>
              <w:left w:val="single" w:sz="4" w:space="0" w:color="auto"/>
              <w:bottom w:val="nil"/>
              <w:right w:val="single" w:sz="8" w:space="0" w:color="auto"/>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64.62%</w:t>
            </w:r>
          </w:p>
        </w:tc>
        <w:tc>
          <w:tcPr>
            <w:tcW w:w="1500" w:type="dxa"/>
            <w:tcBorders>
              <w:top w:val="nil"/>
              <w:left w:val="nil"/>
              <w:bottom w:val="nil"/>
              <w:right w:val="single" w:sz="8" w:space="0" w:color="auto"/>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88.01%</w:t>
            </w:r>
          </w:p>
        </w:tc>
      </w:tr>
      <w:tr w:rsidR="00C35280" w:rsidRPr="00C35280" w:rsidTr="00C35280">
        <w:trPr>
          <w:trHeight w:val="576"/>
        </w:trPr>
        <w:tc>
          <w:tcPr>
            <w:tcW w:w="2800" w:type="dxa"/>
            <w:tcBorders>
              <w:top w:val="nil"/>
              <w:left w:val="single" w:sz="8" w:space="0" w:color="auto"/>
              <w:bottom w:val="nil"/>
              <w:right w:val="nil"/>
            </w:tcBorders>
            <w:shd w:val="clear" w:color="000000" w:fill="D9D9D9"/>
            <w:vAlign w:val="bottom"/>
            <w:hideMark/>
          </w:tcPr>
          <w:p w:rsidR="00C35280" w:rsidRPr="00C35280" w:rsidRDefault="00C35280" w:rsidP="00C35280">
            <w:pPr>
              <w:rPr>
                <w:rFonts w:ascii="Calibri" w:eastAsia="Times New Roman" w:hAnsi="Calibri"/>
                <w:color w:val="000000"/>
                <w:sz w:val="22"/>
                <w:szCs w:val="22"/>
                <w:lang w:eastAsia="en-US"/>
              </w:rPr>
            </w:pPr>
            <w:r w:rsidRPr="00C35280">
              <w:rPr>
                <w:rFonts w:ascii="Calibri" w:eastAsia="Times New Roman" w:hAnsi="Calibri"/>
                <w:b/>
                <w:bCs/>
                <w:color w:val="000000"/>
                <w:sz w:val="22"/>
                <w:szCs w:val="22"/>
                <w:lang w:eastAsia="en-US"/>
              </w:rPr>
              <w:t>MKT</w:t>
            </w:r>
            <w:r w:rsidRPr="00C35280">
              <w:rPr>
                <w:rFonts w:ascii="Calibri" w:eastAsia="Times New Roman" w:hAnsi="Calibri"/>
                <w:color w:val="000000"/>
                <w:sz w:val="22"/>
                <w:szCs w:val="22"/>
                <w:lang w:eastAsia="en-US"/>
              </w:rPr>
              <w:t xml:space="preserve"> </w:t>
            </w:r>
            <w:r w:rsidRPr="00C35280">
              <w:rPr>
                <w:rFonts w:ascii="Calibri" w:eastAsia="Times New Roman" w:hAnsi="Calibri"/>
                <w:b/>
                <w:bCs/>
                <w:color w:val="000000"/>
                <w:sz w:val="22"/>
                <w:szCs w:val="22"/>
                <w:lang w:eastAsia="en-US"/>
              </w:rPr>
              <w:t>3343</w:t>
            </w:r>
            <w:r w:rsidRPr="00C35280">
              <w:rPr>
                <w:rFonts w:ascii="Calibri" w:eastAsia="Times New Roman" w:hAnsi="Calibri"/>
                <w:color w:val="000000"/>
                <w:sz w:val="22"/>
                <w:szCs w:val="22"/>
                <w:lang w:eastAsia="en-US"/>
              </w:rPr>
              <w:t xml:space="preserve"> - common test questions/problems</w:t>
            </w:r>
          </w:p>
        </w:tc>
        <w:tc>
          <w:tcPr>
            <w:tcW w:w="110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1891</w:t>
            </w:r>
          </w:p>
        </w:tc>
        <w:tc>
          <w:tcPr>
            <w:tcW w:w="104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16.08%</w:t>
            </w:r>
          </w:p>
        </w:tc>
        <w:tc>
          <w:tcPr>
            <w:tcW w:w="106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44.69%</w:t>
            </w:r>
          </w:p>
        </w:tc>
        <w:tc>
          <w:tcPr>
            <w:tcW w:w="1240" w:type="dxa"/>
            <w:tcBorders>
              <w:top w:val="nil"/>
              <w:left w:val="single" w:sz="4" w:space="0" w:color="auto"/>
              <w:bottom w:val="nil"/>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39.24%</w:t>
            </w:r>
          </w:p>
        </w:tc>
        <w:tc>
          <w:tcPr>
            <w:tcW w:w="1280" w:type="dxa"/>
            <w:tcBorders>
              <w:top w:val="nil"/>
              <w:left w:val="single" w:sz="4" w:space="0" w:color="auto"/>
              <w:bottom w:val="nil"/>
              <w:right w:val="single" w:sz="8" w:space="0" w:color="auto"/>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83.92%</w:t>
            </w:r>
          </w:p>
        </w:tc>
        <w:tc>
          <w:tcPr>
            <w:tcW w:w="1500" w:type="dxa"/>
            <w:tcBorders>
              <w:top w:val="nil"/>
              <w:left w:val="nil"/>
              <w:bottom w:val="nil"/>
              <w:right w:val="single" w:sz="8" w:space="0" w:color="auto"/>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88.08%</w:t>
            </w:r>
          </w:p>
        </w:tc>
      </w:tr>
      <w:tr w:rsidR="00C35280" w:rsidRPr="00C35280" w:rsidTr="00C35280">
        <w:trPr>
          <w:trHeight w:val="864"/>
        </w:trPr>
        <w:tc>
          <w:tcPr>
            <w:tcW w:w="2800" w:type="dxa"/>
            <w:tcBorders>
              <w:top w:val="nil"/>
              <w:left w:val="single" w:sz="8" w:space="0" w:color="auto"/>
              <w:bottom w:val="nil"/>
              <w:right w:val="nil"/>
            </w:tcBorders>
            <w:shd w:val="clear" w:color="auto" w:fill="auto"/>
            <w:vAlign w:val="bottom"/>
            <w:hideMark/>
          </w:tcPr>
          <w:p w:rsidR="00C35280" w:rsidRPr="00C35280" w:rsidRDefault="00C35280" w:rsidP="00C35280">
            <w:pPr>
              <w:rPr>
                <w:rFonts w:ascii="Calibri" w:eastAsia="Times New Roman" w:hAnsi="Calibri"/>
                <w:color w:val="000000"/>
                <w:sz w:val="22"/>
                <w:szCs w:val="22"/>
                <w:lang w:eastAsia="en-US"/>
              </w:rPr>
            </w:pPr>
            <w:r w:rsidRPr="00C35280">
              <w:rPr>
                <w:rFonts w:ascii="Calibri" w:eastAsia="Times New Roman" w:hAnsi="Calibri"/>
                <w:b/>
                <w:bCs/>
                <w:color w:val="000000"/>
                <w:sz w:val="22"/>
                <w:szCs w:val="22"/>
                <w:lang w:eastAsia="en-US"/>
              </w:rPr>
              <w:t>CIS</w:t>
            </w:r>
            <w:r w:rsidRPr="00C35280">
              <w:rPr>
                <w:rFonts w:ascii="Calibri" w:eastAsia="Times New Roman" w:hAnsi="Calibri"/>
                <w:color w:val="000000"/>
                <w:sz w:val="22"/>
                <w:szCs w:val="22"/>
                <w:lang w:eastAsia="en-US"/>
              </w:rPr>
              <w:t xml:space="preserve"> </w:t>
            </w:r>
            <w:r w:rsidRPr="00C35280">
              <w:rPr>
                <w:rFonts w:ascii="Calibri" w:eastAsia="Times New Roman" w:hAnsi="Calibri"/>
                <w:b/>
                <w:bCs/>
                <w:color w:val="000000"/>
                <w:sz w:val="22"/>
                <w:szCs w:val="22"/>
                <w:lang w:eastAsia="en-US"/>
              </w:rPr>
              <w:t>3380</w:t>
            </w:r>
            <w:r w:rsidRPr="00C35280">
              <w:rPr>
                <w:rFonts w:ascii="Calibri" w:eastAsia="Times New Roman" w:hAnsi="Calibri"/>
                <w:color w:val="000000"/>
                <w:sz w:val="22"/>
                <w:szCs w:val="22"/>
                <w:lang w:eastAsia="en-US"/>
              </w:rPr>
              <w:t xml:space="preserve"> -application/problem questions</w:t>
            </w:r>
          </w:p>
        </w:tc>
        <w:tc>
          <w:tcPr>
            <w:tcW w:w="110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1041</w:t>
            </w:r>
          </w:p>
        </w:tc>
        <w:tc>
          <w:tcPr>
            <w:tcW w:w="104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17.00%</w:t>
            </w:r>
          </w:p>
        </w:tc>
        <w:tc>
          <w:tcPr>
            <w:tcW w:w="106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13.64%</w:t>
            </w:r>
          </w:p>
        </w:tc>
        <w:tc>
          <w:tcPr>
            <w:tcW w:w="1240" w:type="dxa"/>
            <w:tcBorders>
              <w:top w:val="nil"/>
              <w:left w:val="single" w:sz="4" w:space="0" w:color="auto"/>
              <w:bottom w:val="nil"/>
              <w:right w:val="nil"/>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69.36%</w:t>
            </w:r>
          </w:p>
        </w:tc>
        <w:tc>
          <w:tcPr>
            <w:tcW w:w="1280" w:type="dxa"/>
            <w:tcBorders>
              <w:top w:val="nil"/>
              <w:left w:val="single" w:sz="4" w:space="0" w:color="auto"/>
              <w:bottom w:val="nil"/>
              <w:right w:val="single" w:sz="8" w:space="0" w:color="auto"/>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83.00%</w:t>
            </w:r>
          </w:p>
        </w:tc>
        <w:tc>
          <w:tcPr>
            <w:tcW w:w="1500" w:type="dxa"/>
            <w:tcBorders>
              <w:top w:val="nil"/>
              <w:left w:val="nil"/>
              <w:bottom w:val="nil"/>
              <w:right w:val="single" w:sz="8" w:space="0" w:color="auto"/>
            </w:tcBorders>
            <w:shd w:val="clear" w:color="auto" w:fill="auto"/>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81.42%</w:t>
            </w:r>
          </w:p>
        </w:tc>
      </w:tr>
      <w:tr w:rsidR="00C35280" w:rsidRPr="00C35280" w:rsidTr="00C35280">
        <w:trPr>
          <w:trHeight w:val="588"/>
        </w:trPr>
        <w:tc>
          <w:tcPr>
            <w:tcW w:w="2800" w:type="dxa"/>
            <w:tcBorders>
              <w:top w:val="nil"/>
              <w:left w:val="single" w:sz="8" w:space="0" w:color="auto"/>
              <w:bottom w:val="single" w:sz="8" w:space="0" w:color="auto"/>
              <w:right w:val="nil"/>
            </w:tcBorders>
            <w:shd w:val="clear" w:color="000000" w:fill="D9D9D9"/>
            <w:vAlign w:val="bottom"/>
            <w:hideMark/>
          </w:tcPr>
          <w:p w:rsidR="00C35280" w:rsidRPr="00C35280" w:rsidRDefault="00C35280" w:rsidP="00C35280">
            <w:pPr>
              <w:rPr>
                <w:rFonts w:ascii="Calibri" w:eastAsia="Times New Roman" w:hAnsi="Calibri"/>
                <w:color w:val="000000"/>
                <w:sz w:val="22"/>
                <w:szCs w:val="22"/>
                <w:lang w:eastAsia="en-US"/>
              </w:rPr>
            </w:pPr>
            <w:r w:rsidRPr="00C35280">
              <w:rPr>
                <w:rFonts w:ascii="Calibri" w:eastAsia="Times New Roman" w:hAnsi="Calibri"/>
                <w:b/>
                <w:bCs/>
                <w:color w:val="000000"/>
                <w:sz w:val="22"/>
                <w:szCs w:val="22"/>
                <w:lang w:eastAsia="en-US"/>
              </w:rPr>
              <w:t>MGT</w:t>
            </w:r>
            <w:r w:rsidRPr="00C35280">
              <w:rPr>
                <w:rFonts w:ascii="Calibri" w:eastAsia="Times New Roman" w:hAnsi="Calibri"/>
                <w:color w:val="000000"/>
                <w:sz w:val="22"/>
                <w:szCs w:val="22"/>
                <w:lang w:eastAsia="en-US"/>
              </w:rPr>
              <w:t xml:space="preserve"> </w:t>
            </w:r>
            <w:r w:rsidRPr="00C35280">
              <w:rPr>
                <w:rFonts w:ascii="Calibri" w:eastAsia="Times New Roman" w:hAnsi="Calibri"/>
                <w:b/>
                <w:bCs/>
                <w:color w:val="000000"/>
                <w:sz w:val="22"/>
                <w:szCs w:val="22"/>
                <w:lang w:eastAsia="en-US"/>
              </w:rPr>
              <w:t>4335</w:t>
            </w:r>
            <w:r w:rsidRPr="00C35280">
              <w:rPr>
                <w:rFonts w:ascii="Calibri" w:eastAsia="Times New Roman" w:hAnsi="Calibri"/>
                <w:color w:val="000000"/>
                <w:sz w:val="22"/>
                <w:szCs w:val="22"/>
                <w:lang w:eastAsia="en-US"/>
              </w:rPr>
              <w:t xml:space="preserve"> - corporate strategy analysis</w:t>
            </w:r>
          </w:p>
        </w:tc>
        <w:tc>
          <w:tcPr>
            <w:tcW w:w="1100" w:type="dxa"/>
            <w:tcBorders>
              <w:top w:val="nil"/>
              <w:left w:val="single" w:sz="4" w:space="0" w:color="auto"/>
              <w:bottom w:val="single" w:sz="8" w:space="0" w:color="auto"/>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242</w:t>
            </w:r>
          </w:p>
        </w:tc>
        <w:tc>
          <w:tcPr>
            <w:tcW w:w="1040" w:type="dxa"/>
            <w:tcBorders>
              <w:top w:val="nil"/>
              <w:left w:val="single" w:sz="4" w:space="0" w:color="auto"/>
              <w:bottom w:val="single" w:sz="8" w:space="0" w:color="auto"/>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9.50%</w:t>
            </w:r>
          </w:p>
        </w:tc>
        <w:tc>
          <w:tcPr>
            <w:tcW w:w="1060" w:type="dxa"/>
            <w:tcBorders>
              <w:top w:val="nil"/>
              <w:left w:val="single" w:sz="4" w:space="0" w:color="auto"/>
              <w:bottom w:val="single" w:sz="8" w:space="0" w:color="auto"/>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56.61%</w:t>
            </w:r>
          </w:p>
        </w:tc>
        <w:tc>
          <w:tcPr>
            <w:tcW w:w="1240" w:type="dxa"/>
            <w:tcBorders>
              <w:top w:val="nil"/>
              <w:left w:val="single" w:sz="4" w:space="0" w:color="auto"/>
              <w:bottom w:val="single" w:sz="8" w:space="0" w:color="auto"/>
              <w:right w:val="nil"/>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33.88%</w:t>
            </w:r>
          </w:p>
        </w:tc>
        <w:tc>
          <w:tcPr>
            <w:tcW w:w="1280" w:type="dxa"/>
            <w:tcBorders>
              <w:top w:val="nil"/>
              <w:left w:val="single" w:sz="4" w:space="0" w:color="auto"/>
              <w:bottom w:val="single" w:sz="8" w:space="0" w:color="auto"/>
              <w:right w:val="single" w:sz="8" w:space="0" w:color="auto"/>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90.50%</w:t>
            </w:r>
          </w:p>
        </w:tc>
        <w:tc>
          <w:tcPr>
            <w:tcW w:w="1500" w:type="dxa"/>
            <w:tcBorders>
              <w:top w:val="nil"/>
              <w:left w:val="nil"/>
              <w:bottom w:val="single" w:sz="8" w:space="0" w:color="auto"/>
              <w:right w:val="single" w:sz="8" w:space="0" w:color="auto"/>
            </w:tcBorders>
            <w:shd w:val="clear" w:color="000000" w:fill="D9D9D9"/>
            <w:vAlign w:val="bottom"/>
            <w:hideMark/>
          </w:tcPr>
          <w:p w:rsidR="00C35280" w:rsidRPr="00C35280" w:rsidRDefault="00C35280" w:rsidP="00C35280">
            <w:pPr>
              <w:jc w:val="right"/>
              <w:rPr>
                <w:rFonts w:ascii="Calibri" w:eastAsia="Times New Roman" w:hAnsi="Calibri"/>
                <w:color w:val="000000"/>
                <w:sz w:val="22"/>
                <w:szCs w:val="22"/>
                <w:lang w:eastAsia="en-US"/>
              </w:rPr>
            </w:pPr>
            <w:r w:rsidRPr="00C35280">
              <w:rPr>
                <w:rFonts w:ascii="Calibri" w:eastAsia="Times New Roman" w:hAnsi="Calibri"/>
                <w:color w:val="000000"/>
                <w:sz w:val="22"/>
                <w:szCs w:val="22"/>
                <w:lang w:eastAsia="en-US"/>
              </w:rPr>
              <w:t>92.00%</w:t>
            </w:r>
          </w:p>
        </w:tc>
      </w:tr>
    </w:tbl>
    <w:p w:rsidR="00154A8A" w:rsidRDefault="00154A8A" w:rsidP="00D34F4B">
      <w:pPr>
        <w:rPr>
          <w:sz w:val="22"/>
          <w:szCs w:val="22"/>
        </w:rPr>
      </w:pPr>
    </w:p>
    <w:p w:rsidR="00154A8A" w:rsidRDefault="00154A8A" w:rsidP="00D34F4B">
      <w:pPr>
        <w:rPr>
          <w:sz w:val="22"/>
          <w:szCs w:val="22"/>
        </w:rPr>
      </w:pPr>
    </w:p>
    <w:p w:rsidR="00154A8A" w:rsidRDefault="00154A8A" w:rsidP="00D34F4B">
      <w:pPr>
        <w:rPr>
          <w:sz w:val="22"/>
          <w:szCs w:val="22"/>
        </w:rPr>
      </w:pPr>
    </w:p>
    <w:p w:rsidR="00154A8A" w:rsidRDefault="00154A8A" w:rsidP="00D34F4B">
      <w:pPr>
        <w:rPr>
          <w:sz w:val="22"/>
          <w:szCs w:val="22"/>
        </w:rPr>
      </w:pPr>
    </w:p>
    <w:p w:rsidR="00154A8A" w:rsidRDefault="00154A8A" w:rsidP="00D34F4B">
      <w:pPr>
        <w:rPr>
          <w:sz w:val="22"/>
          <w:szCs w:val="22"/>
        </w:rPr>
      </w:pPr>
    </w:p>
    <w:p w:rsidR="005A0984" w:rsidRDefault="005A0984">
      <w:pPr>
        <w:rPr>
          <w:rFonts w:eastAsiaTheme="minorHAnsi"/>
          <w:b/>
          <w:i/>
          <w:lang w:eastAsia="en-US"/>
        </w:rPr>
      </w:pPr>
      <w:r>
        <w:rPr>
          <w:rFonts w:eastAsiaTheme="minorHAnsi"/>
          <w:b/>
          <w:i/>
          <w:lang w:eastAsia="en-US"/>
        </w:rPr>
        <w:br w:type="page"/>
      </w:r>
    </w:p>
    <w:p w:rsidR="00040F4A" w:rsidRPr="0047752C" w:rsidRDefault="00040F4A" w:rsidP="00040F4A">
      <w:pPr>
        <w:spacing w:line="276" w:lineRule="auto"/>
        <w:rPr>
          <w:rFonts w:eastAsiaTheme="minorHAnsi"/>
          <w:b/>
          <w:i/>
          <w:lang w:eastAsia="en-US"/>
        </w:rPr>
      </w:pPr>
      <w:r>
        <w:rPr>
          <w:rFonts w:eastAsiaTheme="minorHAnsi"/>
          <w:b/>
          <w:i/>
          <w:lang w:eastAsia="en-US"/>
        </w:rPr>
        <w:lastRenderedPageBreak/>
        <w:t>Round Rock Classes Results.</w:t>
      </w:r>
    </w:p>
    <w:p w:rsidR="00040F4A" w:rsidRDefault="00040F4A" w:rsidP="00040F4A">
      <w:pPr>
        <w:spacing w:line="276" w:lineRule="auto"/>
        <w:rPr>
          <w:rFonts w:eastAsiaTheme="minorHAnsi"/>
          <w:lang w:eastAsia="en-US"/>
        </w:rPr>
      </w:pPr>
    </w:p>
    <w:p w:rsidR="00040F4A" w:rsidRDefault="00040F4A" w:rsidP="00040F4A">
      <w:pPr>
        <w:spacing w:line="276" w:lineRule="auto"/>
        <w:rPr>
          <w:rFonts w:eastAsiaTheme="minorHAnsi"/>
          <w:lang w:eastAsia="en-US"/>
        </w:rPr>
      </w:pPr>
      <w:r>
        <w:rPr>
          <w:rFonts w:eastAsiaTheme="minorHAnsi"/>
          <w:lang w:eastAsia="en-US"/>
        </w:rPr>
        <w:t>Some core class sections were taught at the Round Rock campus during the 2012-2013 academic year measuring goal 2.  Methodologies and standards of performance are the same as stated previously.</w:t>
      </w:r>
    </w:p>
    <w:p w:rsidR="00040F4A" w:rsidRDefault="00040F4A" w:rsidP="00040F4A">
      <w:pPr>
        <w:spacing w:line="276" w:lineRule="auto"/>
        <w:rPr>
          <w:rFonts w:eastAsiaTheme="minorHAnsi"/>
          <w:lang w:eastAsia="en-US"/>
        </w:rPr>
      </w:pPr>
    </w:p>
    <w:tbl>
      <w:tblPr>
        <w:tblW w:w="8520" w:type="dxa"/>
        <w:tblLook w:val="04A0" w:firstRow="1" w:lastRow="0" w:firstColumn="1" w:lastColumn="0" w:noHBand="0" w:noVBand="1"/>
      </w:tblPr>
      <w:tblGrid>
        <w:gridCol w:w="2784"/>
        <w:gridCol w:w="1126"/>
        <w:gridCol w:w="1037"/>
        <w:gridCol w:w="1058"/>
        <w:gridCol w:w="1238"/>
        <w:gridCol w:w="1277"/>
      </w:tblGrid>
      <w:tr w:rsidR="00C01D67" w:rsidRPr="00C01D67" w:rsidTr="00C01D67">
        <w:trPr>
          <w:trHeight w:val="648"/>
        </w:trPr>
        <w:tc>
          <w:tcPr>
            <w:tcW w:w="8520" w:type="dxa"/>
            <w:gridSpan w:val="6"/>
            <w:tcBorders>
              <w:top w:val="single" w:sz="8" w:space="0" w:color="auto"/>
              <w:left w:val="single" w:sz="8" w:space="0" w:color="auto"/>
              <w:bottom w:val="nil"/>
              <w:right w:val="single" w:sz="8" w:space="0" w:color="000000"/>
            </w:tcBorders>
            <w:shd w:val="clear" w:color="auto" w:fill="auto"/>
            <w:vAlign w:val="bottom"/>
            <w:hideMark/>
          </w:tcPr>
          <w:p w:rsidR="00C01D67" w:rsidRPr="00C01D67" w:rsidRDefault="00C01D67" w:rsidP="00C01D67">
            <w:pPr>
              <w:jc w:val="center"/>
              <w:rPr>
                <w:rFonts w:ascii="Calibri" w:eastAsia="Times New Roman" w:hAnsi="Calibri"/>
                <w:b/>
                <w:bCs/>
                <w:color w:val="000000"/>
                <w:sz w:val="22"/>
                <w:szCs w:val="22"/>
                <w:lang w:eastAsia="en-US"/>
              </w:rPr>
            </w:pPr>
            <w:r w:rsidRPr="00C01D67">
              <w:rPr>
                <w:rFonts w:ascii="Calibri" w:eastAsia="Times New Roman" w:hAnsi="Calibri"/>
                <w:b/>
                <w:bCs/>
                <w:color w:val="000000"/>
                <w:sz w:val="22"/>
                <w:szCs w:val="22"/>
                <w:lang w:eastAsia="en-US"/>
              </w:rPr>
              <w:t> </w:t>
            </w:r>
          </w:p>
        </w:tc>
      </w:tr>
      <w:tr w:rsidR="00C01D67" w:rsidRPr="00C01D67" w:rsidTr="00C01D67">
        <w:trPr>
          <w:trHeight w:val="612"/>
        </w:trPr>
        <w:tc>
          <w:tcPr>
            <w:tcW w:w="2800" w:type="dxa"/>
            <w:tcBorders>
              <w:top w:val="nil"/>
              <w:left w:val="single" w:sz="8" w:space="0" w:color="auto"/>
              <w:bottom w:val="single" w:sz="8" w:space="0" w:color="auto"/>
              <w:right w:val="nil"/>
            </w:tcBorders>
            <w:shd w:val="clear" w:color="auto" w:fill="auto"/>
            <w:vAlign w:val="bottom"/>
            <w:hideMark/>
          </w:tcPr>
          <w:p w:rsidR="00C01D67" w:rsidRPr="00C01D67" w:rsidRDefault="00C01D67" w:rsidP="00C01D67">
            <w:pPr>
              <w:rPr>
                <w:rFonts w:ascii="Calibri" w:eastAsia="Times New Roman" w:hAnsi="Calibri"/>
                <w:b/>
                <w:bCs/>
                <w:color w:val="000000"/>
                <w:sz w:val="22"/>
                <w:szCs w:val="22"/>
                <w:lang w:eastAsia="en-US"/>
              </w:rPr>
            </w:pPr>
            <w:r w:rsidRPr="00C01D67">
              <w:rPr>
                <w:rFonts w:ascii="Calibri" w:eastAsia="Times New Roman" w:hAnsi="Calibri"/>
                <w:b/>
                <w:bCs/>
                <w:color w:val="000000"/>
                <w:sz w:val="22"/>
                <w:szCs w:val="22"/>
                <w:lang w:eastAsia="en-US"/>
              </w:rPr>
              <w:t>Course and evaluation method</w:t>
            </w:r>
          </w:p>
        </w:tc>
        <w:tc>
          <w:tcPr>
            <w:tcW w:w="1100" w:type="dxa"/>
            <w:tcBorders>
              <w:top w:val="nil"/>
              <w:left w:val="single" w:sz="4" w:space="0" w:color="auto"/>
              <w:bottom w:val="single" w:sz="8" w:space="0" w:color="auto"/>
              <w:right w:val="nil"/>
            </w:tcBorders>
            <w:shd w:val="clear" w:color="auto" w:fill="auto"/>
            <w:vAlign w:val="bottom"/>
            <w:hideMark/>
          </w:tcPr>
          <w:p w:rsidR="00C01D67" w:rsidRPr="00C01D67" w:rsidRDefault="00C01D67" w:rsidP="00C01D67">
            <w:pPr>
              <w:rPr>
                <w:rFonts w:ascii="Calibri" w:eastAsia="Times New Roman" w:hAnsi="Calibri"/>
                <w:b/>
                <w:bCs/>
                <w:color w:val="000000"/>
                <w:sz w:val="22"/>
                <w:szCs w:val="22"/>
                <w:lang w:eastAsia="en-US"/>
              </w:rPr>
            </w:pPr>
            <w:r w:rsidRPr="00C01D67">
              <w:rPr>
                <w:rFonts w:ascii="Calibri" w:eastAsia="Times New Roman" w:hAnsi="Calibri"/>
                <w:b/>
                <w:bCs/>
                <w:color w:val="000000"/>
                <w:sz w:val="22"/>
                <w:szCs w:val="22"/>
                <w:lang w:eastAsia="en-US"/>
              </w:rPr>
              <w:t>Students evaluated</w:t>
            </w:r>
          </w:p>
        </w:tc>
        <w:tc>
          <w:tcPr>
            <w:tcW w:w="1040" w:type="dxa"/>
            <w:tcBorders>
              <w:top w:val="nil"/>
              <w:left w:val="single" w:sz="4" w:space="0" w:color="auto"/>
              <w:bottom w:val="single" w:sz="8" w:space="0" w:color="auto"/>
              <w:right w:val="nil"/>
            </w:tcBorders>
            <w:shd w:val="clear" w:color="auto" w:fill="auto"/>
            <w:vAlign w:val="bottom"/>
            <w:hideMark/>
          </w:tcPr>
          <w:p w:rsidR="00C01D67" w:rsidRPr="00C01D67" w:rsidRDefault="00C01D67" w:rsidP="00C01D67">
            <w:pPr>
              <w:rPr>
                <w:rFonts w:ascii="Calibri" w:eastAsia="Times New Roman" w:hAnsi="Calibri"/>
                <w:b/>
                <w:bCs/>
                <w:color w:val="000000"/>
                <w:sz w:val="22"/>
                <w:szCs w:val="22"/>
                <w:lang w:eastAsia="en-US"/>
              </w:rPr>
            </w:pPr>
            <w:r w:rsidRPr="00C01D67">
              <w:rPr>
                <w:rFonts w:ascii="Calibri" w:eastAsia="Times New Roman" w:hAnsi="Calibri"/>
                <w:b/>
                <w:bCs/>
                <w:color w:val="000000"/>
                <w:sz w:val="22"/>
                <w:szCs w:val="22"/>
                <w:lang w:eastAsia="en-US"/>
              </w:rPr>
              <w:t>% Failing to Meet</w:t>
            </w:r>
          </w:p>
        </w:tc>
        <w:tc>
          <w:tcPr>
            <w:tcW w:w="1060" w:type="dxa"/>
            <w:tcBorders>
              <w:top w:val="nil"/>
              <w:left w:val="single" w:sz="4" w:space="0" w:color="auto"/>
              <w:bottom w:val="single" w:sz="8" w:space="0" w:color="auto"/>
              <w:right w:val="nil"/>
            </w:tcBorders>
            <w:shd w:val="clear" w:color="auto" w:fill="auto"/>
            <w:vAlign w:val="bottom"/>
            <w:hideMark/>
          </w:tcPr>
          <w:p w:rsidR="00C01D67" w:rsidRPr="00C01D67" w:rsidRDefault="00C01D67" w:rsidP="00C01D67">
            <w:pPr>
              <w:rPr>
                <w:rFonts w:ascii="Calibri" w:eastAsia="Times New Roman" w:hAnsi="Calibri"/>
                <w:b/>
                <w:bCs/>
                <w:color w:val="000000"/>
                <w:sz w:val="22"/>
                <w:szCs w:val="22"/>
                <w:lang w:eastAsia="en-US"/>
              </w:rPr>
            </w:pPr>
            <w:r w:rsidRPr="00C01D67">
              <w:rPr>
                <w:rFonts w:ascii="Calibri" w:eastAsia="Times New Roman" w:hAnsi="Calibri"/>
                <w:b/>
                <w:bCs/>
                <w:color w:val="000000"/>
                <w:sz w:val="22"/>
                <w:szCs w:val="22"/>
                <w:lang w:eastAsia="en-US"/>
              </w:rPr>
              <w:t>% Meeting</w:t>
            </w:r>
          </w:p>
        </w:tc>
        <w:tc>
          <w:tcPr>
            <w:tcW w:w="1240" w:type="dxa"/>
            <w:tcBorders>
              <w:top w:val="nil"/>
              <w:left w:val="single" w:sz="4" w:space="0" w:color="auto"/>
              <w:bottom w:val="single" w:sz="8" w:space="0" w:color="auto"/>
              <w:right w:val="single" w:sz="4" w:space="0" w:color="auto"/>
            </w:tcBorders>
            <w:shd w:val="clear" w:color="auto" w:fill="auto"/>
            <w:vAlign w:val="bottom"/>
            <w:hideMark/>
          </w:tcPr>
          <w:p w:rsidR="00C01D67" w:rsidRPr="00C01D67" w:rsidRDefault="00C01D67" w:rsidP="00C01D67">
            <w:pPr>
              <w:rPr>
                <w:rFonts w:ascii="Calibri" w:eastAsia="Times New Roman" w:hAnsi="Calibri"/>
                <w:b/>
                <w:bCs/>
                <w:color w:val="000000"/>
                <w:sz w:val="22"/>
                <w:szCs w:val="22"/>
                <w:lang w:eastAsia="en-US"/>
              </w:rPr>
            </w:pPr>
            <w:r w:rsidRPr="00C01D67">
              <w:rPr>
                <w:rFonts w:ascii="Calibri" w:eastAsia="Times New Roman" w:hAnsi="Calibri"/>
                <w:b/>
                <w:bCs/>
                <w:color w:val="000000"/>
                <w:sz w:val="22"/>
                <w:szCs w:val="22"/>
                <w:lang w:eastAsia="en-US"/>
              </w:rPr>
              <w:t>% Exceeding</w:t>
            </w:r>
          </w:p>
        </w:tc>
        <w:tc>
          <w:tcPr>
            <w:tcW w:w="1280" w:type="dxa"/>
            <w:tcBorders>
              <w:top w:val="nil"/>
              <w:left w:val="nil"/>
              <w:bottom w:val="single" w:sz="8" w:space="0" w:color="auto"/>
              <w:right w:val="single" w:sz="8" w:space="0" w:color="auto"/>
            </w:tcBorders>
            <w:shd w:val="clear" w:color="auto" w:fill="auto"/>
            <w:vAlign w:val="bottom"/>
            <w:hideMark/>
          </w:tcPr>
          <w:p w:rsidR="00C01D67" w:rsidRPr="00C01D67" w:rsidRDefault="00C01D67" w:rsidP="00C01D67">
            <w:pPr>
              <w:rPr>
                <w:rFonts w:ascii="Calibri" w:eastAsia="Times New Roman" w:hAnsi="Calibri"/>
                <w:b/>
                <w:bCs/>
                <w:color w:val="000000"/>
                <w:sz w:val="22"/>
                <w:szCs w:val="22"/>
                <w:lang w:eastAsia="en-US"/>
              </w:rPr>
            </w:pPr>
            <w:r w:rsidRPr="00C01D67">
              <w:rPr>
                <w:rFonts w:ascii="Calibri" w:eastAsia="Times New Roman" w:hAnsi="Calibri"/>
                <w:b/>
                <w:bCs/>
                <w:color w:val="000000"/>
                <w:sz w:val="22"/>
                <w:szCs w:val="22"/>
                <w:lang w:eastAsia="en-US"/>
              </w:rPr>
              <w:t>% Meeting or Exceeding</w:t>
            </w:r>
          </w:p>
        </w:tc>
      </w:tr>
      <w:tr w:rsidR="00C01D67" w:rsidRPr="00C01D67" w:rsidTr="00C01D67">
        <w:trPr>
          <w:trHeight w:val="876"/>
        </w:trPr>
        <w:tc>
          <w:tcPr>
            <w:tcW w:w="2800" w:type="dxa"/>
            <w:tcBorders>
              <w:top w:val="nil"/>
              <w:left w:val="single" w:sz="8" w:space="0" w:color="auto"/>
              <w:bottom w:val="nil"/>
              <w:right w:val="nil"/>
            </w:tcBorders>
            <w:shd w:val="clear" w:color="auto" w:fill="auto"/>
            <w:vAlign w:val="bottom"/>
            <w:hideMark/>
          </w:tcPr>
          <w:p w:rsidR="00C01D67" w:rsidRPr="00C01D67" w:rsidRDefault="00C01D67" w:rsidP="00C01D67">
            <w:pPr>
              <w:rPr>
                <w:rFonts w:ascii="Calibri" w:eastAsia="Times New Roman" w:hAnsi="Calibri"/>
                <w:color w:val="000000"/>
                <w:sz w:val="22"/>
                <w:szCs w:val="22"/>
                <w:lang w:eastAsia="en-US"/>
              </w:rPr>
            </w:pPr>
            <w:r w:rsidRPr="00C01D67">
              <w:rPr>
                <w:rFonts w:ascii="Calibri" w:eastAsia="Times New Roman" w:hAnsi="Calibri"/>
                <w:b/>
                <w:bCs/>
                <w:color w:val="000000"/>
                <w:sz w:val="22"/>
                <w:szCs w:val="22"/>
                <w:lang w:eastAsia="en-US"/>
              </w:rPr>
              <w:t>MGT 3303</w:t>
            </w:r>
            <w:r w:rsidRPr="00C01D67">
              <w:rPr>
                <w:rFonts w:ascii="Calibri" w:eastAsia="Times New Roman" w:hAnsi="Calibri"/>
                <w:color w:val="000000"/>
                <w:sz w:val="22"/>
                <w:szCs w:val="22"/>
                <w:lang w:eastAsia="en-US"/>
              </w:rPr>
              <w:t xml:space="preserve"> - terms/applications exam questions</w:t>
            </w:r>
          </w:p>
        </w:tc>
        <w:tc>
          <w:tcPr>
            <w:tcW w:w="1100" w:type="dxa"/>
            <w:tcBorders>
              <w:top w:val="nil"/>
              <w:left w:val="single" w:sz="4" w:space="0" w:color="auto"/>
              <w:bottom w:val="nil"/>
              <w:right w:val="nil"/>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45</w:t>
            </w:r>
          </w:p>
        </w:tc>
        <w:tc>
          <w:tcPr>
            <w:tcW w:w="1040" w:type="dxa"/>
            <w:tcBorders>
              <w:top w:val="nil"/>
              <w:left w:val="single" w:sz="4" w:space="0" w:color="auto"/>
              <w:bottom w:val="nil"/>
              <w:right w:val="nil"/>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33.33%</w:t>
            </w:r>
          </w:p>
        </w:tc>
        <w:tc>
          <w:tcPr>
            <w:tcW w:w="1060" w:type="dxa"/>
            <w:tcBorders>
              <w:top w:val="nil"/>
              <w:left w:val="single" w:sz="4" w:space="0" w:color="auto"/>
              <w:bottom w:val="nil"/>
              <w:right w:val="nil"/>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44.44%</w:t>
            </w:r>
          </w:p>
        </w:tc>
        <w:tc>
          <w:tcPr>
            <w:tcW w:w="1240" w:type="dxa"/>
            <w:tcBorders>
              <w:top w:val="nil"/>
              <w:left w:val="single" w:sz="4" w:space="0" w:color="auto"/>
              <w:bottom w:val="nil"/>
              <w:right w:val="single" w:sz="4" w:space="0" w:color="auto"/>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22.22%</w:t>
            </w:r>
          </w:p>
        </w:tc>
        <w:tc>
          <w:tcPr>
            <w:tcW w:w="1280" w:type="dxa"/>
            <w:tcBorders>
              <w:top w:val="nil"/>
              <w:left w:val="nil"/>
              <w:bottom w:val="nil"/>
              <w:right w:val="single" w:sz="8" w:space="0" w:color="auto"/>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66.67%</w:t>
            </w:r>
          </w:p>
        </w:tc>
      </w:tr>
      <w:tr w:rsidR="00C01D67" w:rsidRPr="00C01D67" w:rsidTr="00C01D67">
        <w:trPr>
          <w:trHeight w:val="576"/>
        </w:trPr>
        <w:tc>
          <w:tcPr>
            <w:tcW w:w="2800" w:type="dxa"/>
            <w:tcBorders>
              <w:top w:val="nil"/>
              <w:left w:val="single" w:sz="8" w:space="0" w:color="auto"/>
              <w:bottom w:val="nil"/>
              <w:right w:val="nil"/>
            </w:tcBorders>
            <w:shd w:val="clear" w:color="000000" w:fill="D9D9D9"/>
            <w:vAlign w:val="bottom"/>
            <w:hideMark/>
          </w:tcPr>
          <w:p w:rsidR="00C01D67" w:rsidRPr="00C01D67" w:rsidRDefault="00C01D67" w:rsidP="00C01D67">
            <w:pPr>
              <w:rPr>
                <w:rFonts w:ascii="Calibri" w:eastAsia="Times New Roman" w:hAnsi="Calibri"/>
                <w:color w:val="000000"/>
                <w:sz w:val="22"/>
                <w:szCs w:val="22"/>
                <w:lang w:eastAsia="en-US"/>
              </w:rPr>
            </w:pPr>
            <w:r w:rsidRPr="00C01D67">
              <w:rPr>
                <w:rFonts w:ascii="Calibri" w:eastAsia="Times New Roman" w:hAnsi="Calibri"/>
                <w:b/>
                <w:bCs/>
                <w:color w:val="000000"/>
                <w:sz w:val="22"/>
                <w:szCs w:val="22"/>
                <w:lang w:eastAsia="en-US"/>
              </w:rPr>
              <w:t>FIN 3312</w:t>
            </w:r>
            <w:r w:rsidRPr="00C01D67">
              <w:rPr>
                <w:rFonts w:ascii="Calibri" w:eastAsia="Times New Roman" w:hAnsi="Calibri"/>
                <w:color w:val="000000"/>
                <w:sz w:val="22"/>
                <w:szCs w:val="22"/>
                <w:lang w:eastAsia="en-US"/>
              </w:rPr>
              <w:t xml:space="preserve"> - common test questions/problems</w:t>
            </w:r>
          </w:p>
        </w:tc>
        <w:tc>
          <w:tcPr>
            <w:tcW w:w="1100" w:type="dxa"/>
            <w:tcBorders>
              <w:top w:val="nil"/>
              <w:left w:val="single" w:sz="4" w:space="0" w:color="auto"/>
              <w:bottom w:val="nil"/>
              <w:right w:val="nil"/>
            </w:tcBorders>
            <w:shd w:val="clear" w:color="000000" w:fill="D9D9D9"/>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46</w:t>
            </w:r>
          </w:p>
        </w:tc>
        <w:tc>
          <w:tcPr>
            <w:tcW w:w="1040" w:type="dxa"/>
            <w:tcBorders>
              <w:top w:val="nil"/>
              <w:left w:val="single" w:sz="4" w:space="0" w:color="auto"/>
              <w:bottom w:val="nil"/>
              <w:right w:val="nil"/>
            </w:tcBorders>
            <w:shd w:val="clear" w:color="000000" w:fill="D9D9D9"/>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28.26%</w:t>
            </w:r>
          </w:p>
        </w:tc>
        <w:tc>
          <w:tcPr>
            <w:tcW w:w="1060" w:type="dxa"/>
            <w:tcBorders>
              <w:top w:val="nil"/>
              <w:left w:val="single" w:sz="4" w:space="0" w:color="auto"/>
              <w:bottom w:val="nil"/>
              <w:right w:val="nil"/>
            </w:tcBorders>
            <w:shd w:val="clear" w:color="000000" w:fill="D9D9D9"/>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34.78%</w:t>
            </w:r>
          </w:p>
        </w:tc>
        <w:tc>
          <w:tcPr>
            <w:tcW w:w="1240" w:type="dxa"/>
            <w:tcBorders>
              <w:top w:val="nil"/>
              <w:left w:val="single" w:sz="4" w:space="0" w:color="auto"/>
              <w:bottom w:val="nil"/>
              <w:right w:val="single" w:sz="4" w:space="0" w:color="auto"/>
            </w:tcBorders>
            <w:shd w:val="clear" w:color="000000" w:fill="D9D9D9"/>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36.96%</w:t>
            </w:r>
          </w:p>
        </w:tc>
        <w:tc>
          <w:tcPr>
            <w:tcW w:w="1280" w:type="dxa"/>
            <w:tcBorders>
              <w:top w:val="nil"/>
              <w:left w:val="nil"/>
              <w:bottom w:val="nil"/>
              <w:right w:val="single" w:sz="8" w:space="0" w:color="auto"/>
            </w:tcBorders>
            <w:shd w:val="clear" w:color="000000" w:fill="D9D9D9"/>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71.74%</w:t>
            </w:r>
          </w:p>
        </w:tc>
      </w:tr>
      <w:tr w:rsidR="00C01D67" w:rsidRPr="00C01D67" w:rsidTr="00C01D67">
        <w:trPr>
          <w:trHeight w:val="576"/>
        </w:trPr>
        <w:tc>
          <w:tcPr>
            <w:tcW w:w="2800" w:type="dxa"/>
            <w:tcBorders>
              <w:top w:val="nil"/>
              <w:left w:val="single" w:sz="8" w:space="0" w:color="auto"/>
              <w:bottom w:val="nil"/>
              <w:right w:val="nil"/>
            </w:tcBorders>
            <w:shd w:val="clear" w:color="auto" w:fill="auto"/>
            <w:vAlign w:val="bottom"/>
            <w:hideMark/>
          </w:tcPr>
          <w:p w:rsidR="00C01D67" w:rsidRPr="00C01D67" w:rsidRDefault="00C01D67" w:rsidP="00C01D67">
            <w:pPr>
              <w:rPr>
                <w:rFonts w:ascii="Calibri" w:eastAsia="Times New Roman" w:hAnsi="Calibri"/>
                <w:color w:val="000000"/>
                <w:sz w:val="22"/>
                <w:szCs w:val="22"/>
                <w:lang w:eastAsia="en-US"/>
              </w:rPr>
            </w:pPr>
            <w:r w:rsidRPr="00C01D67">
              <w:rPr>
                <w:rFonts w:ascii="Calibri" w:eastAsia="Times New Roman" w:hAnsi="Calibri"/>
                <w:b/>
                <w:bCs/>
                <w:color w:val="000000"/>
                <w:sz w:val="22"/>
                <w:szCs w:val="22"/>
                <w:lang w:eastAsia="en-US"/>
              </w:rPr>
              <w:t>MGT 3353</w:t>
            </w:r>
            <w:r w:rsidRPr="00C01D67">
              <w:rPr>
                <w:rFonts w:ascii="Calibri" w:eastAsia="Times New Roman" w:hAnsi="Calibri"/>
                <w:color w:val="000000"/>
                <w:sz w:val="22"/>
                <w:szCs w:val="22"/>
                <w:lang w:eastAsia="en-US"/>
              </w:rPr>
              <w:t xml:space="preserve"> - analytical report/presentation</w:t>
            </w:r>
          </w:p>
        </w:tc>
        <w:tc>
          <w:tcPr>
            <w:tcW w:w="1100" w:type="dxa"/>
            <w:tcBorders>
              <w:top w:val="nil"/>
              <w:left w:val="single" w:sz="4" w:space="0" w:color="auto"/>
              <w:bottom w:val="nil"/>
              <w:right w:val="nil"/>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59</w:t>
            </w:r>
          </w:p>
        </w:tc>
        <w:tc>
          <w:tcPr>
            <w:tcW w:w="1040" w:type="dxa"/>
            <w:tcBorders>
              <w:top w:val="nil"/>
              <w:left w:val="single" w:sz="4" w:space="0" w:color="auto"/>
              <w:bottom w:val="nil"/>
              <w:right w:val="nil"/>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32.20%</w:t>
            </w:r>
          </w:p>
        </w:tc>
        <w:tc>
          <w:tcPr>
            <w:tcW w:w="1060" w:type="dxa"/>
            <w:tcBorders>
              <w:top w:val="nil"/>
              <w:left w:val="single" w:sz="4" w:space="0" w:color="auto"/>
              <w:bottom w:val="nil"/>
              <w:right w:val="nil"/>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33.90%</w:t>
            </w:r>
          </w:p>
        </w:tc>
        <w:tc>
          <w:tcPr>
            <w:tcW w:w="1240" w:type="dxa"/>
            <w:tcBorders>
              <w:top w:val="nil"/>
              <w:left w:val="single" w:sz="4" w:space="0" w:color="auto"/>
              <w:bottom w:val="nil"/>
              <w:right w:val="single" w:sz="4" w:space="0" w:color="auto"/>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33.90%</w:t>
            </w:r>
          </w:p>
        </w:tc>
        <w:tc>
          <w:tcPr>
            <w:tcW w:w="1280" w:type="dxa"/>
            <w:tcBorders>
              <w:top w:val="nil"/>
              <w:left w:val="nil"/>
              <w:bottom w:val="nil"/>
              <w:right w:val="single" w:sz="8" w:space="0" w:color="auto"/>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67.80%</w:t>
            </w:r>
          </w:p>
        </w:tc>
      </w:tr>
      <w:tr w:rsidR="00C01D67" w:rsidRPr="00C01D67" w:rsidTr="00C01D67">
        <w:trPr>
          <w:trHeight w:val="576"/>
        </w:trPr>
        <w:tc>
          <w:tcPr>
            <w:tcW w:w="2800" w:type="dxa"/>
            <w:tcBorders>
              <w:top w:val="nil"/>
              <w:left w:val="single" w:sz="8" w:space="0" w:color="auto"/>
              <w:bottom w:val="nil"/>
              <w:right w:val="nil"/>
            </w:tcBorders>
            <w:shd w:val="clear" w:color="000000" w:fill="D9D9D9"/>
            <w:vAlign w:val="bottom"/>
            <w:hideMark/>
          </w:tcPr>
          <w:p w:rsidR="00C01D67" w:rsidRPr="00C01D67" w:rsidRDefault="00C01D67" w:rsidP="00C01D67">
            <w:pPr>
              <w:rPr>
                <w:rFonts w:ascii="Calibri" w:eastAsia="Times New Roman" w:hAnsi="Calibri"/>
                <w:color w:val="000000"/>
                <w:sz w:val="22"/>
                <w:szCs w:val="22"/>
                <w:lang w:eastAsia="en-US"/>
              </w:rPr>
            </w:pPr>
            <w:r w:rsidRPr="00C01D67">
              <w:rPr>
                <w:rFonts w:ascii="Calibri" w:eastAsia="Times New Roman" w:hAnsi="Calibri"/>
                <w:b/>
                <w:bCs/>
                <w:color w:val="000000"/>
                <w:sz w:val="22"/>
                <w:szCs w:val="22"/>
                <w:lang w:eastAsia="en-US"/>
              </w:rPr>
              <w:t>MKT</w:t>
            </w:r>
            <w:r w:rsidRPr="00C01D67">
              <w:rPr>
                <w:rFonts w:ascii="Calibri" w:eastAsia="Times New Roman" w:hAnsi="Calibri"/>
                <w:color w:val="000000"/>
                <w:sz w:val="22"/>
                <w:szCs w:val="22"/>
                <w:lang w:eastAsia="en-US"/>
              </w:rPr>
              <w:t xml:space="preserve"> </w:t>
            </w:r>
            <w:r w:rsidRPr="00C01D67">
              <w:rPr>
                <w:rFonts w:ascii="Calibri" w:eastAsia="Times New Roman" w:hAnsi="Calibri"/>
                <w:b/>
                <w:bCs/>
                <w:color w:val="000000"/>
                <w:sz w:val="22"/>
                <w:szCs w:val="22"/>
                <w:lang w:eastAsia="en-US"/>
              </w:rPr>
              <w:t>3343</w:t>
            </w:r>
            <w:r w:rsidRPr="00C01D67">
              <w:rPr>
                <w:rFonts w:ascii="Calibri" w:eastAsia="Times New Roman" w:hAnsi="Calibri"/>
                <w:color w:val="000000"/>
                <w:sz w:val="22"/>
                <w:szCs w:val="22"/>
                <w:lang w:eastAsia="en-US"/>
              </w:rPr>
              <w:t xml:space="preserve"> - common test questions/problems</w:t>
            </w:r>
          </w:p>
        </w:tc>
        <w:tc>
          <w:tcPr>
            <w:tcW w:w="1100" w:type="dxa"/>
            <w:tcBorders>
              <w:top w:val="nil"/>
              <w:left w:val="single" w:sz="4" w:space="0" w:color="auto"/>
              <w:bottom w:val="nil"/>
              <w:right w:val="nil"/>
            </w:tcBorders>
            <w:shd w:val="clear" w:color="000000" w:fill="D9D9D9"/>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280</w:t>
            </w:r>
          </w:p>
        </w:tc>
        <w:tc>
          <w:tcPr>
            <w:tcW w:w="1040" w:type="dxa"/>
            <w:tcBorders>
              <w:top w:val="nil"/>
              <w:left w:val="single" w:sz="4" w:space="0" w:color="auto"/>
              <w:bottom w:val="nil"/>
              <w:right w:val="nil"/>
            </w:tcBorders>
            <w:shd w:val="clear" w:color="000000" w:fill="D9D9D9"/>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30.36%</w:t>
            </w:r>
          </w:p>
        </w:tc>
        <w:tc>
          <w:tcPr>
            <w:tcW w:w="1060" w:type="dxa"/>
            <w:tcBorders>
              <w:top w:val="nil"/>
              <w:left w:val="single" w:sz="4" w:space="0" w:color="auto"/>
              <w:bottom w:val="nil"/>
              <w:right w:val="nil"/>
            </w:tcBorders>
            <w:shd w:val="clear" w:color="000000" w:fill="D9D9D9"/>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24.64%</w:t>
            </w:r>
          </w:p>
        </w:tc>
        <w:tc>
          <w:tcPr>
            <w:tcW w:w="1240" w:type="dxa"/>
            <w:tcBorders>
              <w:top w:val="nil"/>
              <w:left w:val="single" w:sz="4" w:space="0" w:color="auto"/>
              <w:bottom w:val="nil"/>
              <w:right w:val="single" w:sz="4" w:space="0" w:color="auto"/>
            </w:tcBorders>
            <w:shd w:val="clear" w:color="000000" w:fill="D9D9D9"/>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45.00%</w:t>
            </w:r>
          </w:p>
        </w:tc>
        <w:tc>
          <w:tcPr>
            <w:tcW w:w="1280" w:type="dxa"/>
            <w:tcBorders>
              <w:top w:val="nil"/>
              <w:left w:val="nil"/>
              <w:bottom w:val="nil"/>
              <w:right w:val="single" w:sz="8" w:space="0" w:color="auto"/>
            </w:tcBorders>
            <w:shd w:val="clear" w:color="000000" w:fill="D9D9D9"/>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69.64%</w:t>
            </w:r>
          </w:p>
        </w:tc>
      </w:tr>
      <w:tr w:rsidR="00C01D67" w:rsidRPr="00C01D67" w:rsidTr="00C01D67">
        <w:trPr>
          <w:trHeight w:val="588"/>
        </w:trPr>
        <w:tc>
          <w:tcPr>
            <w:tcW w:w="2800" w:type="dxa"/>
            <w:tcBorders>
              <w:top w:val="nil"/>
              <w:left w:val="single" w:sz="8" w:space="0" w:color="auto"/>
              <w:bottom w:val="single" w:sz="8" w:space="0" w:color="auto"/>
              <w:right w:val="nil"/>
            </w:tcBorders>
            <w:shd w:val="clear" w:color="auto" w:fill="auto"/>
            <w:vAlign w:val="bottom"/>
            <w:hideMark/>
          </w:tcPr>
          <w:p w:rsidR="00C01D67" w:rsidRPr="00C01D67" w:rsidRDefault="00C01D67" w:rsidP="00C01D67">
            <w:pPr>
              <w:rPr>
                <w:rFonts w:ascii="Calibri" w:eastAsia="Times New Roman" w:hAnsi="Calibri"/>
                <w:color w:val="000000"/>
                <w:sz w:val="22"/>
                <w:szCs w:val="22"/>
                <w:lang w:eastAsia="en-US"/>
              </w:rPr>
            </w:pPr>
            <w:r w:rsidRPr="00C01D67">
              <w:rPr>
                <w:rFonts w:ascii="Calibri" w:eastAsia="Times New Roman" w:hAnsi="Calibri"/>
                <w:b/>
                <w:bCs/>
                <w:color w:val="000000"/>
                <w:sz w:val="22"/>
                <w:szCs w:val="22"/>
                <w:lang w:eastAsia="en-US"/>
              </w:rPr>
              <w:t>MGT</w:t>
            </w:r>
            <w:r w:rsidRPr="00C01D67">
              <w:rPr>
                <w:rFonts w:ascii="Calibri" w:eastAsia="Times New Roman" w:hAnsi="Calibri"/>
                <w:color w:val="000000"/>
                <w:sz w:val="22"/>
                <w:szCs w:val="22"/>
                <w:lang w:eastAsia="en-US"/>
              </w:rPr>
              <w:t xml:space="preserve"> </w:t>
            </w:r>
            <w:r w:rsidRPr="00C01D67">
              <w:rPr>
                <w:rFonts w:ascii="Calibri" w:eastAsia="Times New Roman" w:hAnsi="Calibri"/>
                <w:b/>
                <w:bCs/>
                <w:color w:val="000000"/>
                <w:sz w:val="22"/>
                <w:szCs w:val="22"/>
                <w:lang w:eastAsia="en-US"/>
              </w:rPr>
              <w:t>4335</w:t>
            </w:r>
            <w:r w:rsidRPr="00C01D67">
              <w:rPr>
                <w:rFonts w:ascii="Calibri" w:eastAsia="Times New Roman" w:hAnsi="Calibri"/>
                <w:color w:val="000000"/>
                <w:sz w:val="22"/>
                <w:szCs w:val="22"/>
                <w:lang w:eastAsia="en-US"/>
              </w:rPr>
              <w:t xml:space="preserve"> - corporate strategy analysis</w:t>
            </w:r>
          </w:p>
        </w:tc>
        <w:tc>
          <w:tcPr>
            <w:tcW w:w="1100" w:type="dxa"/>
            <w:tcBorders>
              <w:top w:val="nil"/>
              <w:left w:val="single" w:sz="4" w:space="0" w:color="auto"/>
              <w:bottom w:val="single" w:sz="8" w:space="0" w:color="auto"/>
              <w:right w:val="nil"/>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59</w:t>
            </w:r>
          </w:p>
        </w:tc>
        <w:tc>
          <w:tcPr>
            <w:tcW w:w="1040" w:type="dxa"/>
            <w:tcBorders>
              <w:top w:val="nil"/>
              <w:left w:val="single" w:sz="4" w:space="0" w:color="auto"/>
              <w:bottom w:val="single" w:sz="8" w:space="0" w:color="auto"/>
              <w:right w:val="nil"/>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6.78%</w:t>
            </w:r>
          </w:p>
        </w:tc>
        <w:tc>
          <w:tcPr>
            <w:tcW w:w="1060" w:type="dxa"/>
            <w:tcBorders>
              <w:top w:val="nil"/>
              <w:left w:val="single" w:sz="4" w:space="0" w:color="auto"/>
              <w:bottom w:val="single" w:sz="8" w:space="0" w:color="auto"/>
              <w:right w:val="nil"/>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66.10%</w:t>
            </w:r>
          </w:p>
        </w:tc>
        <w:tc>
          <w:tcPr>
            <w:tcW w:w="1240" w:type="dxa"/>
            <w:tcBorders>
              <w:top w:val="nil"/>
              <w:left w:val="single" w:sz="4" w:space="0" w:color="auto"/>
              <w:bottom w:val="single" w:sz="8" w:space="0" w:color="auto"/>
              <w:right w:val="single" w:sz="4" w:space="0" w:color="auto"/>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27.12%</w:t>
            </w:r>
          </w:p>
        </w:tc>
        <w:tc>
          <w:tcPr>
            <w:tcW w:w="1280" w:type="dxa"/>
            <w:tcBorders>
              <w:top w:val="nil"/>
              <w:left w:val="nil"/>
              <w:bottom w:val="single" w:sz="8" w:space="0" w:color="auto"/>
              <w:right w:val="single" w:sz="8" w:space="0" w:color="auto"/>
            </w:tcBorders>
            <w:shd w:val="clear" w:color="auto" w:fill="auto"/>
            <w:vAlign w:val="bottom"/>
            <w:hideMark/>
          </w:tcPr>
          <w:p w:rsidR="00C01D67" w:rsidRPr="00C01D67" w:rsidRDefault="00C01D67" w:rsidP="00C01D67">
            <w:pPr>
              <w:jc w:val="right"/>
              <w:rPr>
                <w:rFonts w:ascii="Calibri" w:eastAsia="Times New Roman" w:hAnsi="Calibri"/>
                <w:color w:val="000000"/>
                <w:sz w:val="22"/>
                <w:szCs w:val="22"/>
                <w:lang w:eastAsia="en-US"/>
              </w:rPr>
            </w:pPr>
            <w:r w:rsidRPr="00C01D67">
              <w:rPr>
                <w:rFonts w:ascii="Calibri" w:eastAsia="Times New Roman" w:hAnsi="Calibri"/>
                <w:color w:val="000000"/>
                <w:sz w:val="22"/>
                <w:szCs w:val="22"/>
                <w:lang w:eastAsia="en-US"/>
              </w:rPr>
              <w:t>93.22%</w:t>
            </w:r>
          </w:p>
        </w:tc>
      </w:tr>
    </w:tbl>
    <w:p w:rsidR="00040F4A" w:rsidRDefault="00040F4A" w:rsidP="00040F4A">
      <w:pPr>
        <w:pBdr>
          <w:bottom w:val="single" w:sz="12" w:space="31" w:color="auto"/>
        </w:pBdr>
        <w:spacing w:line="276" w:lineRule="auto"/>
        <w:rPr>
          <w:rFonts w:eastAsiaTheme="minorHAnsi"/>
          <w:lang w:eastAsia="en-US"/>
        </w:rPr>
      </w:pPr>
    </w:p>
    <w:p w:rsidR="00154A8A" w:rsidRDefault="00154A8A" w:rsidP="00D34F4B">
      <w:pPr>
        <w:rPr>
          <w:sz w:val="22"/>
          <w:szCs w:val="22"/>
        </w:rPr>
      </w:pPr>
    </w:p>
    <w:p w:rsidR="0029514A" w:rsidRDefault="0029514A" w:rsidP="00415B26">
      <w:pPr>
        <w:spacing w:line="276" w:lineRule="auto"/>
        <w:rPr>
          <w:rFonts w:eastAsiaTheme="minorHAnsi"/>
          <w:lang w:eastAsia="en-US"/>
        </w:rPr>
      </w:pPr>
    </w:p>
    <w:p w:rsidR="00415B26" w:rsidRDefault="00415B26" w:rsidP="00415B26">
      <w:pPr>
        <w:spacing w:line="276" w:lineRule="auto"/>
        <w:rPr>
          <w:rFonts w:eastAsiaTheme="minorHAnsi"/>
          <w:lang w:eastAsia="en-US"/>
        </w:rPr>
      </w:pPr>
    </w:p>
    <w:p w:rsidR="00987E1E" w:rsidRDefault="00987E1E" w:rsidP="00415B26">
      <w:pPr>
        <w:spacing w:line="276" w:lineRule="auto"/>
        <w:rPr>
          <w:rFonts w:eastAsiaTheme="minorHAnsi"/>
          <w:lang w:eastAsia="en-US"/>
        </w:rPr>
      </w:pPr>
      <w:r w:rsidRPr="00714E9D">
        <w:rPr>
          <w:b/>
          <w:i/>
        </w:rPr>
        <w:t xml:space="preserve">Methods for </w:t>
      </w:r>
      <w:r>
        <w:rPr>
          <w:b/>
          <w:i/>
        </w:rPr>
        <w:t>BBA Program Goal 3</w:t>
      </w:r>
      <w:r w:rsidRPr="00714E9D">
        <w:rPr>
          <w:b/>
          <w:i/>
        </w:rPr>
        <w:t xml:space="preserve"> – </w:t>
      </w:r>
      <w:r>
        <w:rPr>
          <w:b/>
          <w:i/>
        </w:rPr>
        <w:t>Information Technology</w:t>
      </w:r>
      <w:r w:rsidRPr="00FF5156">
        <w:t>.</w:t>
      </w:r>
    </w:p>
    <w:p w:rsidR="00987E1E" w:rsidRDefault="00987E1E" w:rsidP="00415B26">
      <w:pPr>
        <w:spacing w:line="276" w:lineRule="auto"/>
        <w:rPr>
          <w:rFonts w:eastAsiaTheme="minorHAnsi"/>
          <w:lang w:eastAsia="en-US"/>
        </w:rPr>
      </w:pPr>
    </w:p>
    <w:p w:rsidR="00661CA2" w:rsidRDefault="00F0648F" w:rsidP="00661CA2">
      <w:pPr>
        <w:pStyle w:val="Default"/>
      </w:pPr>
      <w:r w:rsidRPr="00661CA2">
        <w:rPr>
          <w:rFonts w:eastAsiaTheme="minorHAnsi"/>
          <w:b/>
          <w:i/>
        </w:rPr>
        <w:t>CIS 1323</w:t>
      </w:r>
      <w:r>
        <w:rPr>
          <w:rFonts w:eastAsiaTheme="minorHAnsi"/>
        </w:rPr>
        <w:t xml:space="preserve">. </w:t>
      </w:r>
      <w:r w:rsidR="00431D02">
        <w:t>To assess student learning of the program goal, a direct method consisting of two homework assignments (one Excel project and one Access project) and a department assessment exam</w:t>
      </w:r>
      <w:r w:rsidR="00DF6319">
        <w:t xml:space="preserve"> were used</w:t>
      </w:r>
      <w:r w:rsidR="00431D02">
        <w:t>. The homework assignments were assigned by faculty as the student progressed through the course term, each was auto-graded using a common rubric by the course simulation software. While faculty offer the student multiple attempts, only the first attempt was evaluated for this report. The department assessment was a cumulative hands-on exam utilizing the course simulator software, administered during the last two weeks of the course term. The criteria agreed upon by the course faculty to determine if a student exceeds expectations was a score of 90% or better, a student meets expectations if a score fell between 70% and 89%, and a student fails to meet expectations if a score was less than 70%.</w:t>
      </w:r>
    </w:p>
    <w:p w:rsidR="00431D02" w:rsidRDefault="00431D02" w:rsidP="00661CA2">
      <w:pPr>
        <w:pStyle w:val="Default"/>
        <w:rPr>
          <w:color w:val="auto"/>
        </w:rPr>
      </w:pPr>
    </w:p>
    <w:p w:rsidR="0074655E" w:rsidRDefault="00661CA2" w:rsidP="0074655E">
      <w:r w:rsidRPr="00FF5156">
        <w:rPr>
          <w:b/>
          <w:i/>
        </w:rPr>
        <w:t>Qmst 2333 (Statistics)</w:t>
      </w:r>
      <w:r w:rsidRPr="00FF5156">
        <w:t>.</w:t>
      </w:r>
      <w:r>
        <w:t xml:space="preserve">  </w:t>
      </w:r>
      <w:r w:rsidR="0074655E">
        <w:t xml:space="preserve">To assess student learning of the program goal faculty used a direct method consisting of a common assignment, developed by all teaching faculty, requiring </w:t>
      </w:r>
      <w:r w:rsidR="0074655E">
        <w:lastRenderedPageBreak/>
        <w:t>students to use Excel to analyze and graph statistical data.</w:t>
      </w:r>
      <w:r w:rsidR="00A16604">
        <w:t xml:space="preserve">  </w:t>
      </w:r>
      <w:r w:rsidR="00A16604" w:rsidRPr="00FF5156">
        <w:t>The criteria used to determine if a student exceeds expectations were a score of 95.0% or better, for a student to meet expectations a score had to fall between 70.0 and 95.0%, and for a student to fail to meet expectations a score had to be less than 70.0%.</w:t>
      </w:r>
    </w:p>
    <w:p w:rsidR="0074655E" w:rsidRDefault="0074655E" w:rsidP="0074655E"/>
    <w:p w:rsidR="00530733" w:rsidRDefault="0074655E" w:rsidP="00530733">
      <w:r w:rsidRPr="00530733">
        <w:rPr>
          <w:b/>
          <w:i/>
        </w:rPr>
        <w:t>CIS 3380</w:t>
      </w:r>
      <w:r>
        <w:t xml:space="preserve">.  </w:t>
      </w:r>
      <w:r w:rsidR="00887B70" w:rsidRPr="00431D02">
        <w:t>To assess student learning of program goal 3, one form of direct assessment was used.  The assessment consists of student completing assignment/exercise using enterprise software, ERP.  This assessment explores students to key processes that are common in most companies, and illustrates to them how enterprise systems enable companies to execute those processes quickly and efﬁciently. The main objective of this assessment is to bridge the gap between the fundamentals of how businesses operate (processes) and the tools that business people use to accomplish their tasks (enterprise systems).</w:t>
      </w:r>
    </w:p>
    <w:p w:rsidR="00DF6319" w:rsidRPr="00DF6319" w:rsidRDefault="00DF6319" w:rsidP="00DF6319">
      <w:r w:rsidRPr="00DF6319">
        <w:t>The criteria used to determine if a student exceeds expectations was a score of 80% or greater, for a student to meet expectations the score had to fall between 60.0-% and 79.9%, and for a student to fail to meet expectations the score had to fall below 60%.</w:t>
      </w:r>
    </w:p>
    <w:p w:rsidR="00431D02" w:rsidRPr="00431D02" w:rsidRDefault="00431D02" w:rsidP="00530733"/>
    <w:p w:rsidR="00415B26" w:rsidRDefault="00530733" w:rsidP="00530733">
      <w:r w:rsidRPr="00FF5156">
        <w:rPr>
          <w:b/>
          <w:i/>
        </w:rPr>
        <w:t>Finance 3312</w:t>
      </w:r>
      <w:r w:rsidRPr="00FF5156">
        <w:t xml:space="preserve">.  </w:t>
      </w:r>
      <w:r w:rsidR="00F0648F" w:rsidRPr="00661CA2">
        <w:rPr>
          <w:rFonts w:eastAsiaTheme="minorHAnsi"/>
          <w:lang w:eastAsia="en-US"/>
        </w:rPr>
        <w:t xml:space="preserve"> </w:t>
      </w:r>
      <w:r w:rsidRPr="00FF5156">
        <w:t xml:space="preserve">All </w:t>
      </w:r>
      <w:r>
        <w:t>teaching faculty of the course collaboratively agreed on</w:t>
      </w:r>
      <w:r w:rsidRPr="00FF5156">
        <w:t xml:space="preserve"> questions</w:t>
      </w:r>
      <w:r>
        <w:t xml:space="preserve"> involving the use </w:t>
      </w:r>
      <w:r w:rsidR="00E95FE8">
        <w:t>of information</w:t>
      </w:r>
      <w:r>
        <w:t xml:space="preserve"> technology for financial problems </w:t>
      </w:r>
      <w:r w:rsidRPr="00FF5156">
        <w:t>on exams</w:t>
      </w:r>
      <w:r>
        <w:t>.</w:t>
      </w:r>
      <w:r w:rsidRPr="00FF5156">
        <w:t xml:space="preserve">  </w:t>
      </w:r>
      <w:r>
        <w:t>The data were aggregated for all classes, and 90% ‘exceeded expectations, 70% to 89% ‘met expectations’, and 69% and below ‘did not meet expectations’.</w:t>
      </w:r>
    </w:p>
    <w:p w:rsidR="000F6A6C" w:rsidRDefault="000F6A6C" w:rsidP="00530733"/>
    <w:p w:rsidR="00A26FA3" w:rsidRPr="00A26FA3" w:rsidRDefault="00A26FA3" w:rsidP="00530733">
      <w:pPr>
        <w:rPr>
          <w:b/>
          <w:i/>
        </w:rPr>
      </w:pPr>
      <w:r>
        <w:rPr>
          <w:b/>
          <w:i/>
        </w:rPr>
        <w:t>Results for Program Goal 3—Information Technology</w:t>
      </w:r>
    </w:p>
    <w:p w:rsidR="00A26FA3" w:rsidRDefault="00A26FA3" w:rsidP="00530733"/>
    <w:tbl>
      <w:tblPr>
        <w:tblW w:w="10200" w:type="dxa"/>
        <w:tblLook w:val="04A0" w:firstRow="1" w:lastRow="0" w:firstColumn="1" w:lastColumn="0" w:noHBand="0" w:noVBand="1"/>
      </w:tblPr>
      <w:tblGrid>
        <w:gridCol w:w="2788"/>
        <w:gridCol w:w="1126"/>
        <w:gridCol w:w="880"/>
        <w:gridCol w:w="1217"/>
        <w:gridCol w:w="1258"/>
        <w:gridCol w:w="1396"/>
        <w:gridCol w:w="1535"/>
      </w:tblGrid>
      <w:tr w:rsidR="00875FFF" w:rsidRPr="00875FFF" w:rsidTr="00875FFF">
        <w:trPr>
          <w:trHeight w:val="288"/>
        </w:trPr>
        <w:tc>
          <w:tcPr>
            <w:tcW w:w="8660" w:type="dxa"/>
            <w:gridSpan w:val="6"/>
            <w:tcBorders>
              <w:top w:val="single" w:sz="8" w:space="0" w:color="auto"/>
              <w:left w:val="single" w:sz="8" w:space="0" w:color="auto"/>
              <w:bottom w:val="nil"/>
              <w:right w:val="single" w:sz="8" w:space="0" w:color="000000"/>
            </w:tcBorders>
            <w:shd w:val="clear" w:color="auto" w:fill="auto"/>
            <w:vAlign w:val="bottom"/>
            <w:hideMark/>
          </w:tcPr>
          <w:p w:rsidR="00875FFF" w:rsidRPr="00875FFF" w:rsidRDefault="00875FFF" w:rsidP="00875FFF">
            <w:pPr>
              <w:jc w:val="center"/>
              <w:rPr>
                <w:rFonts w:ascii="Calibri" w:eastAsia="Times New Roman" w:hAnsi="Calibri"/>
                <w:b/>
                <w:bCs/>
                <w:color w:val="000000"/>
                <w:sz w:val="22"/>
                <w:szCs w:val="22"/>
                <w:lang w:eastAsia="en-US"/>
              </w:rPr>
            </w:pPr>
            <w:r w:rsidRPr="00875FFF">
              <w:rPr>
                <w:rFonts w:ascii="Calibri" w:eastAsia="Times New Roman" w:hAnsi="Calibri"/>
                <w:b/>
                <w:bCs/>
                <w:color w:val="000000"/>
                <w:sz w:val="22"/>
                <w:szCs w:val="22"/>
                <w:lang w:eastAsia="en-US"/>
              </w:rPr>
              <w:t>Information Technology</w:t>
            </w:r>
          </w:p>
        </w:tc>
        <w:tc>
          <w:tcPr>
            <w:tcW w:w="1540" w:type="dxa"/>
            <w:tcBorders>
              <w:top w:val="single" w:sz="8" w:space="0" w:color="auto"/>
              <w:left w:val="nil"/>
              <w:bottom w:val="nil"/>
              <w:right w:val="single" w:sz="8" w:space="0" w:color="auto"/>
            </w:tcBorders>
            <w:shd w:val="clear" w:color="auto" w:fill="auto"/>
            <w:vAlign w:val="bottom"/>
            <w:hideMark/>
          </w:tcPr>
          <w:p w:rsidR="00875FFF" w:rsidRPr="00875FFF" w:rsidRDefault="00875FFF" w:rsidP="00875FFF">
            <w:pPr>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 </w:t>
            </w:r>
          </w:p>
        </w:tc>
      </w:tr>
      <w:tr w:rsidR="00875FFF" w:rsidRPr="00875FFF" w:rsidTr="00875FFF">
        <w:trPr>
          <w:trHeight w:val="756"/>
        </w:trPr>
        <w:tc>
          <w:tcPr>
            <w:tcW w:w="2800" w:type="dxa"/>
            <w:tcBorders>
              <w:top w:val="nil"/>
              <w:left w:val="single" w:sz="8" w:space="0" w:color="auto"/>
              <w:bottom w:val="single" w:sz="8" w:space="0" w:color="auto"/>
              <w:right w:val="nil"/>
            </w:tcBorders>
            <w:shd w:val="clear" w:color="auto" w:fill="auto"/>
            <w:vAlign w:val="bottom"/>
            <w:hideMark/>
          </w:tcPr>
          <w:p w:rsidR="00875FFF" w:rsidRPr="00875FFF" w:rsidRDefault="00875FFF" w:rsidP="00875FFF">
            <w:pPr>
              <w:rPr>
                <w:rFonts w:ascii="Calibri" w:eastAsia="Times New Roman" w:hAnsi="Calibri"/>
                <w:b/>
                <w:bCs/>
                <w:color w:val="000000"/>
                <w:sz w:val="22"/>
                <w:szCs w:val="22"/>
                <w:lang w:eastAsia="en-US"/>
              </w:rPr>
            </w:pPr>
            <w:r w:rsidRPr="00875FFF">
              <w:rPr>
                <w:rFonts w:ascii="Calibri" w:eastAsia="Times New Roman" w:hAnsi="Calibri"/>
                <w:b/>
                <w:bCs/>
                <w:color w:val="000000"/>
                <w:sz w:val="22"/>
                <w:szCs w:val="22"/>
                <w:lang w:eastAsia="en-US"/>
              </w:rPr>
              <w:t>Course and evaluation method</w:t>
            </w:r>
          </w:p>
        </w:tc>
        <w:tc>
          <w:tcPr>
            <w:tcW w:w="1100" w:type="dxa"/>
            <w:tcBorders>
              <w:top w:val="nil"/>
              <w:left w:val="single" w:sz="4" w:space="0" w:color="auto"/>
              <w:bottom w:val="single" w:sz="8" w:space="0" w:color="auto"/>
              <w:right w:val="nil"/>
            </w:tcBorders>
            <w:shd w:val="clear" w:color="auto" w:fill="auto"/>
            <w:vAlign w:val="bottom"/>
            <w:hideMark/>
          </w:tcPr>
          <w:p w:rsidR="00875FFF" w:rsidRPr="00875FFF" w:rsidRDefault="00875FFF" w:rsidP="00875FFF">
            <w:pPr>
              <w:rPr>
                <w:rFonts w:ascii="Calibri" w:eastAsia="Times New Roman" w:hAnsi="Calibri"/>
                <w:b/>
                <w:bCs/>
                <w:color w:val="000000"/>
                <w:sz w:val="22"/>
                <w:szCs w:val="22"/>
                <w:lang w:eastAsia="en-US"/>
              </w:rPr>
            </w:pPr>
            <w:r w:rsidRPr="00875FFF">
              <w:rPr>
                <w:rFonts w:ascii="Calibri" w:eastAsia="Times New Roman" w:hAnsi="Calibri"/>
                <w:b/>
                <w:bCs/>
                <w:color w:val="000000"/>
                <w:sz w:val="22"/>
                <w:szCs w:val="22"/>
                <w:lang w:eastAsia="en-US"/>
              </w:rPr>
              <w:t>Students evaluated</w:t>
            </w:r>
          </w:p>
        </w:tc>
        <w:tc>
          <w:tcPr>
            <w:tcW w:w="880" w:type="dxa"/>
            <w:tcBorders>
              <w:top w:val="nil"/>
              <w:left w:val="single" w:sz="4" w:space="0" w:color="auto"/>
              <w:bottom w:val="single" w:sz="8" w:space="0" w:color="auto"/>
              <w:right w:val="nil"/>
            </w:tcBorders>
            <w:shd w:val="clear" w:color="auto" w:fill="auto"/>
            <w:vAlign w:val="bottom"/>
            <w:hideMark/>
          </w:tcPr>
          <w:p w:rsidR="00875FFF" w:rsidRPr="00875FFF" w:rsidRDefault="00875FFF" w:rsidP="00875FFF">
            <w:pPr>
              <w:rPr>
                <w:rFonts w:ascii="Calibri" w:eastAsia="Times New Roman" w:hAnsi="Calibri"/>
                <w:b/>
                <w:bCs/>
                <w:color w:val="000000"/>
                <w:sz w:val="22"/>
                <w:szCs w:val="22"/>
                <w:lang w:eastAsia="en-US"/>
              </w:rPr>
            </w:pPr>
            <w:r w:rsidRPr="00875FFF">
              <w:rPr>
                <w:rFonts w:ascii="Calibri" w:eastAsia="Times New Roman" w:hAnsi="Calibri"/>
                <w:b/>
                <w:bCs/>
                <w:color w:val="000000"/>
                <w:sz w:val="22"/>
                <w:szCs w:val="22"/>
                <w:lang w:eastAsia="en-US"/>
              </w:rPr>
              <w:t>Failing to Meet</w:t>
            </w:r>
          </w:p>
        </w:tc>
        <w:tc>
          <w:tcPr>
            <w:tcW w:w="1220" w:type="dxa"/>
            <w:tcBorders>
              <w:top w:val="nil"/>
              <w:left w:val="single" w:sz="4" w:space="0" w:color="auto"/>
              <w:bottom w:val="single" w:sz="8" w:space="0" w:color="auto"/>
              <w:right w:val="nil"/>
            </w:tcBorders>
            <w:shd w:val="clear" w:color="auto" w:fill="auto"/>
            <w:vAlign w:val="bottom"/>
            <w:hideMark/>
          </w:tcPr>
          <w:p w:rsidR="00875FFF" w:rsidRPr="00875FFF" w:rsidRDefault="00875FFF" w:rsidP="00875FFF">
            <w:pPr>
              <w:rPr>
                <w:rFonts w:ascii="Calibri" w:eastAsia="Times New Roman" w:hAnsi="Calibri"/>
                <w:b/>
                <w:bCs/>
                <w:color w:val="000000"/>
                <w:sz w:val="22"/>
                <w:szCs w:val="22"/>
                <w:lang w:eastAsia="en-US"/>
              </w:rPr>
            </w:pPr>
            <w:r w:rsidRPr="00875FFF">
              <w:rPr>
                <w:rFonts w:ascii="Calibri" w:eastAsia="Times New Roman" w:hAnsi="Calibri"/>
                <w:b/>
                <w:bCs/>
                <w:color w:val="000000"/>
                <w:sz w:val="22"/>
                <w:szCs w:val="22"/>
                <w:lang w:eastAsia="en-US"/>
              </w:rPr>
              <w:t xml:space="preserve"> Meeting</w:t>
            </w:r>
          </w:p>
        </w:tc>
        <w:tc>
          <w:tcPr>
            <w:tcW w:w="1260" w:type="dxa"/>
            <w:tcBorders>
              <w:top w:val="nil"/>
              <w:left w:val="single" w:sz="4" w:space="0" w:color="auto"/>
              <w:bottom w:val="single" w:sz="8" w:space="0" w:color="auto"/>
              <w:right w:val="nil"/>
            </w:tcBorders>
            <w:shd w:val="clear" w:color="auto" w:fill="auto"/>
            <w:vAlign w:val="bottom"/>
            <w:hideMark/>
          </w:tcPr>
          <w:p w:rsidR="00875FFF" w:rsidRPr="00875FFF" w:rsidRDefault="00875FFF" w:rsidP="00875FFF">
            <w:pPr>
              <w:rPr>
                <w:rFonts w:ascii="Calibri" w:eastAsia="Times New Roman" w:hAnsi="Calibri"/>
                <w:b/>
                <w:bCs/>
                <w:color w:val="000000"/>
                <w:sz w:val="22"/>
                <w:szCs w:val="22"/>
                <w:lang w:eastAsia="en-US"/>
              </w:rPr>
            </w:pPr>
            <w:r w:rsidRPr="00875FFF">
              <w:rPr>
                <w:rFonts w:ascii="Calibri" w:eastAsia="Times New Roman" w:hAnsi="Calibri"/>
                <w:b/>
                <w:bCs/>
                <w:color w:val="000000"/>
                <w:sz w:val="22"/>
                <w:szCs w:val="22"/>
                <w:lang w:eastAsia="en-US"/>
              </w:rPr>
              <w:t>Exceeding</w:t>
            </w:r>
          </w:p>
        </w:tc>
        <w:tc>
          <w:tcPr>
            <w:tcW w:w="1400" w:type="dxa"/>
            <w:tcBorders>
              <w:top w:val="nil"/>
              <w:left w:val="single" w:sz="4" w:space="0" w:color="auto"/>
              <w:bottom w:val="single" w:sz="8" w:space="0" w:color="auto"/>
              <w:right w:val="single" w:sz="8" w:space="0" w:color="auto"/>
            </w:tcBorders>
            <w:shd w:val="clear" w:color="auto" w:fill="auto"/>
            <w:vAlign w:val="bottom"/>
            <w:hideMark/>
          </w:tcPr>
          <w:p w:rsidR="00875FFF" w:rsidRPr="00875FFF" w:rsidRDefault="00875FFF" w:rsidP="00875FFF">
            <w:pPr>
              <w:rPr>
                <w:rFonts w:ascii="Calibri" w:eastAsia="Times New Roman" w:hAnsi="Calibri"/>
                <w:b/>
                <w:bCs/>
                <w:color w:val="000000"/>
                <w:sz w:val="22"/>
                <w:szCs w:val="22"/>
                <w:lang w:eastAsia="en-US"/>
              </w:rPr>
            </w:pPr>
            <w:r w:rsidRPr="00875FFF">
              <w:rPr>
                <w:rFonts w:ascii="Calibri" w:eastAsia="Times New Roman" w:hAnsi="Calibri"/>
                <w:b/>
                <w:bCs/>
                <w:color w:val="000000"/>
                <w:sz w:val="22"/>
                <w:szCs w:val="22"/>
                <w:lang w:eastAsia="en-US"/>
              </w:rPr>
              <w:t>Meeting or Exceeding</w:t>
            </w:r>
          </w:p>
        </w:tc>
        <w:tc>
          <w:tcPr>
            <w:tcW w:w="1540" w:type="dxa"/>
            <w:tcBorders>
              <w:top w:val="nil"/>
              <w:left w:val="nil"/>
              <w:bottom w:val="single" w:sz="8" w:space="0" w:color="auto"/>
              <w:right w:val="single" w:sz="8" w:space="0" w:color="auto"/>
            </w:tcBorders>
            <w:shd w:val="clear" w:color="auto" w:fill="auto"/>
            <w:vAlign w:val="bottom"/>
            <w:hideMark/>
          </w:tcPr>
          <w:p w:rsidR="00875FFF" w:rsidRPr="00875FFF" w:rsidRDefault="00875FFF" w:rsidP="00875FFF">
            <w:pPr>
              <w:rPr>
                <w:rFonts w:ascii="Calibri" w:eastAsia="Times New Roman" w:hAnsi="Calibri"/>
                <w:b/>
                <w:bCs/>
                <w:color w:val="000000"/>
                <w:sz w:val="22"/>
                <w:szCs w:val="22"/>
                <w:lang w:eastAsia="en-US"/>
              </w:rPr>
            </w:pPr>
            <w:r w:rsidRPr="00875FFF">
              <w:rPr>
                <w:rFonts w:ascii="Calibri" w:eastAsia="Times New Roman" w:hAnsi="Calibri"/>
                <w:b/>
                <w:bCs/>
                <w:color w:val="000000"/>
                <w:sz w:val="22"/>
                <w:szCs w:val="22"/>
                <w:lang w:eastAsia="en-US"/>
              </w:rPr>
              <w:t>Meeting or Exceeding 2013</w:t>
            </w:r>
          </w:p>
        </w:tc>
      </w:tr>
      <w:tr w:rsidR="00875FFF" w:rsidRPr="00875FFF" w:rsidTr="00875FFF">
        <w:trPr>
          <w:trHeight w:val="576"/>
        </w:trPr>
        <w:tc>
          <w:tcPr>
            <w:tcW w:w="2800" w:type="dxa"/>
            <w:tcBorders>
              <w:top w:val="nil"/>
              <w:left w:val="single" w:sz="8" w:space="0" w:color="auto"/>
              <w:bottom w:val="nil"/>
              <w:right w:val="nil"/>
            </w:tcBorders>
            <w:shd w:val="clear" w:color="auto" w:fill="auto"/>
            <w:vAlign w:val="bottom"/>
            <w:hideMark/>
          </w:tcPr>
          <w:p w:rsidR="00875FFF" w:rsidRPr="00875FFF" w:rsidRDefault="00875FFF" w:rsidP="00875FFF">
            <w:pPr>
              <w:rPr>
                <w:rFonts w:ascii="Calibri" w:eastAsia="Times New Roman" w:hAnsi="Calibri"/>
                <w:color w:val="000000"/>
                <w:sz w:val="22"/>
                <w:szCs w:val="22"/>
                <w:lang w:eastAsia="en-US"/>
              </w:rPr>
            </w:pPr>
            <w:r w:rsidRPr="00875FFF">
              <w:rPr>
                <w:rFonts w:ascii="Calibri" w:eastAsia="Times New Roman" w:hAnsi="Calibri"/>
                <w:b/>
                <w:bCs/>
                <w:color w:val="000000"/>
                <w:sz w:val="22"/>
                <w:szCs w:val="22"/>
                <w:lang w:eastAsia="en-US"/>
              </w:rPr>
              <w:t xml:space="preserve">CIS 1323 </w:t>
            </w:r>
            <w:r w:rsidRPr="00875FFF">
              <w:rPr>
                <w:rFonts w:ascii="Calibri" w:eastAsia="Times New Roman" w:hAnsi="Calibri"/>
                <w:color w:val="000000"/>
                <w:sz w:val="22"/>
                <w:szCs w:val="22"/>
                <w:lang w:eastAsia="en-US"/>
              </w:rPr>
              <w:t>- Excel manipulation assignments</w:t>
            </w:r>
          </w:p>
        </w:tc>
        <w:tc>
          <w:tcPr>
            <w:tcW w:w="1100" w:type="dxa"/>
            <w:tcBorders>
              <w:top w:val="nil"/>
              <w:left w:val="single" w:sz="4" w:space="0" w:color="auto"/>
              <w:bottom w:val="nil"/>
              <w:right w:val="nil"/>
            </w:tcBorders>
            <w:shd w:val="clear" w:color="auto" w:fill="auto"/>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779</w:t>
            </w:r>
          </w:p>
        </w:tc>
        <w:tc>
          <w:tcPr>
            <w:tcW w:w="880" w:type="dxa"/>
            <w:tcBorders>
              <w:top w:val="nil"/>
              <w:left w:val="single" w:sz="4" w:space="0" w:color="auto"/>
              <w:bottom w:val="nil"/>
              <w:right w:val="nil"/>
            </w:tcBorders>
            <w:shd w:val="clear" w:color="auto" w:fill="auto"/>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41.32%</w:t>
            </w:r>
          </w:p>
        </w:tc>
        <w:tc>
          <w:tcPr>
            <w:tcW w:w="1220" w:type="dxa"/>
            <w:tcBorders>
              <w:top w:val="nil"/>
              <w:left w:val="single" w:sz="4" w:space="0" w:color="auto"/>
              <w:bottom w:val="nil"/>
              <w:right w:val="nil"/>
            </w:tcBorders>
            <w:shd w:val="clear" w:color="auto" w:fill="auto"/>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39.69%</w:t>
            </w:r>
          </w:p>
        </w:tc>
        <w:tc>
          <w:tcPr>
            <w:tcW w:w="1260" w:type="dxa"/>
            <w:tcBorders>
              <w:top w:val="nil"/>
              <w:left w:val="single" w:sz="4" w:space="0" w:color="auto"/>
              <w:bottom w:val="nil"/>
              <w:right w:val="nil"/>
            </w:tcBorders>
            <w:shd w:val="clear" w:color="auto" w:fill="auto"/>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18.99%</w:t>
            </w:r>
          </w:p>
        </w:tc>
        <w:tc>
          <w:tcPr>
            <w:tcW w:w="1400" w:type="dxa"/>
            <w:tcBorders>
              <w:top w:val="nil"/>
              <w:left w:val="single" w:sz="4" w:space="0" w:color="auto"/>
              <w:bottom w:val="nil"/>
              <w:right w:val="single" w:sz="8" w:space="0" w:color="auto"/>
            </w:tcBorders>
            <w:shd w:val="clear" w:color="auto" w:fill="auto"/>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58.68%</w:t>
            </w:r>
          </w:p>
        </w:tc>
        <w:tc>
          <w:tcPr>
            <w:tcW w:w="1540" w:type="dxa"/>
            <w:tcBorders>
              <w:top w:val="nil"/>
              <w:left w:val="nil"/>
              <w:bottom w:val="nil"/>
              <w:right w:val="single" w:sz="8" w:space="0" w:color="auto"/>
            </w:tcBorders>
            <w:shd w:val="clear" w:color="auto" w:fill="auto"/>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78.70%</w:t>
            </w:r>
          </w:p>
        </w:tc>
      </w:tr>
      <w:tr w:rsidR="00875FFF" w:rsidRPr="00875FFF" w:rsidTr="00875FFF">
        <w:trPr>
          <w:trHeight w:val="576"/>
        </w:trPr>
        <w:tc>
          <w:tcPr>
            <w:tcW w:w="2800" w:type="dxa"/>
            <w:tcBorders>
              <w:top w:val="nil"/>
              <w:left w:val="single" w:sz="8" w:space="0" w:color="auto"/>
              <w:bottom w:val="nil"/>
              <w:right w:val="nil"/>
            </w:tcBorders>
            <w:shd w:val="clear" w:color="000000" w:fill="D9D9D9"/>
            <w:vAlign w:val="bottom"/>
            <w:hideMark/>
          </w:tcPr>
          <w:p w:rsidR="00875FFF" w:rsidRPr="00875FFF" w:rsidRDefault="00875FFF" w:rsidP="00875FFF">
            <w:pPr>
              <w:rPr>
                <w:rFonts w:ascii="Calibri" w:eastAsia="Times New Roman" w:hAnsi="Calibri"/>
                <w:color w:val="000000"/>
                <w:sz w:val="22"/>
                <w:szCs w:val="22"/>
                <w:lang w:eastAsia="en-US"/>
              </w:rPr>
            </w:pPr>
            <w:r w:rsidRPr="00875FFF">
              <w:rPr>
                <w:rFonts w:ascii="Calibri" w:eastAsia="Times New Roman" w:hAnsi="Calibri"/>
                <w:b/>
                <w:bCs/>
                <w:color w:val="000000"/>
                <w:sz w:val="22"/>
                <w:szCs w:val="22"/>
                <w:lang w:eastAsia="en-US"/>
              </w:rPr>
              <w:t xml:space="preserve">QMST 2333 </w:t>
            </w:r>
            <w:r w:rsidRPr="00875FFF">
              <w:rPr>
                <w:rFonts w:ascii="Calibri" w:eastAsia="Times New Roman" w:hAnsi="Calibri"/>
                <w:color w:val="000000"/>
                <w:sz w:val="22"/>
                <w:szCs w:val="22"/>
                <w:lang w:eastAsia="en-US"/>
              </w:rPr>
              <w:t>- Excel applications</w:t>
            </w:r>
          </w:p>
        </w:tc>
        <w:tc>
          <w:tcPr>
            <w:tcW w:w="1100" w:type="dxa"/>
            <w:tcBorders>
              <w:top w:val="nil"/>
              <w:left w:val="single" w:sz="4" w:space="0" w:color="auto"/>
              <w:bottom w:val="nil"/>
              <w:right w:val="nil"/>
            </w:tcBorders>
            <w:shd w:val="clear" w:color="000000" w:fill="D9D9D9"/>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1008</w:t>
            </w:r>
          </w:p>
        </w:tc>
        <w:tc>
          <w:tcPr>
            <w:tcW w:w="880" w:type="dxa"/>
            <w:tcBorders>
              <w:top w:val="nil"/>
              <w:left w:val="single" w:sz="4" w:space="0" w:color="auto"/>
              <w:bottom w:val="nil"/>
              <w:right w:val="nil"/>
            </w:tcBorders>
            <w:shd w:val="clear" w:color="000000" w:fill="D9D9D9"/>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41.96%</w:t>
            </w:r>
          </w:p>
        </w:tc>
        <w:tc>
          <w:tcPr>
            <w:tcW w:w="1220" w:type="dxa"/>
            <w:tcBorders>
              <w:top w:val="nil"/>
              <w:left w:val="single" w:sz="4" w:space="0" w:color="auto"/>
              <w:bottom w:val="nil"/>
              <w:right w:val="nil"/>
            </w:tcBorders>
            <w:shd w:val="clear" w:color="000000" w:fill="D9D9D9"/>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10.91%</w:t>
            </w:r>
          </w:p>
        </w:tc>
        <w:tc>
          <w:tcPr>
            <w:tcW w:w="1260" w:type="dxa"/>
            <w:tcBorders>
              <w:top w:val="nil"/>
              <w:left w:val="single" w:sz="4" w:space="0" w:color="auto"/>
              <w:bottom w:val="nil"/>
              <w:right w:val="nil"/>
            </w:tcBorders>
            <w:shd w:val="clear" w:color="000000" w:fill="D9D9D9"/>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47.12%</w:t>
            </w:r>
          </w:p>
        </w:tc>
        <w:tc>
          <w:tcPr>
            <w:tcW w:w="1400" w:type="dxa"/>
            <w:tcBorders>
              <w:top w:val="nil"/>
              <w:left w:val="single" w:sz="4" w:space="0" w:color="auto"/>
              <w:bottom w:val="nil"/>
              <w:right w:val="single" w:sz="8" w:space="0" w:color="auto"/>
            </w:tcBorders>
            <w:shd w:val="clear" w:color="000000" w:fill="D9D9D9"/>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58.04%</w:t>
            </w:r>
          </w:p>
        </w:tc>
        <w:tc>
          <w:tcPr>
            <w:tcW w:w="1540" w:type="dxa"/>
            <w:tcBorders>
              <w:top w:val="nil"/>
              <w:left w:val="nil"/>
              <w:bottom w:val="nil"/>
              <w:right w:val="single" w:sz="8" w:space="0" w:color="auto"/>
            </w:tcBorders>
            <w:shd w:val="clear" w:color="000000" w:fill="D9D9D9"/>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70.08%</w:t>
            </w:r>
          </w:p>
        </w:tc>
      </w:tr>
      <w:tr w:rsidR="00875FFF" w:rsidRPr="00875FFF" w:rsidTr="00875FFF">
        <w:trPr>
          <w:trHeight w:val="576"/>
        </w:trPr>
        <w:tc>
          <w:tcPr>
            <w:tcW w:w="2800" w:type="dxa"/>
            <w:tcBorders>
              <w:top w:val="nil"/>
              <w:left w:val="single" w:sz="8" w:space="0" w:color="auto"/>
              <w:bottom w:val="nil"/>
              <w:right w:val="nil"/>
            </w:tcBorders>
            <w:shd w:val="clear" w:color="auto" w:fill="auto"/>
            <w:vAlign w:val="bottom"/>
            <w:hideMark/>
          </w:tcPr>
          <w:p w:rsidR="00875FFF" w:rsidRPr="00875FFF" w:rsidRDefault="00875FFF" w:rsidP="00875FFF">
            <w:pPr>
              <w:rPr>
                <w:rFonts w:ascii="Calibri" w:eastAsia="Times New Roman" w:hAnsi="Calibri"/>
                <w:color w:val="000000"/>
                <w:sz w:val="22"/>
                <w:szCs w:val="22"/>
                <w:lang w:eastAsia="en-US"/>
              </w:rPr>
            </w:pPr>
            <w:r w:rsidRPr="00875FFF">
              <w:rPr>
                <w:rFonts w:ascii="Calibri" w:eastAsia="Times New Roman" w:hAnsi="Calibri"/>
                <w:b/>
                <w:bCs/>
                <w:color w:val="000000"/>
                <w:sz w:val="22"/>
                <w:szCs w:val="22"/>
                <w:lang w:eastAsia="en-US"/>
              </w:rPr>
              <w:t>CIS</w:t>
            </w:r>
            <w:r w:rsidRPr="00875FFF">
              <w:rPr>
                <w:rFonts w:ascii="Calibri" w:eastAsia="Times New Roman" w:hAnsi="Calibri"/>
                <w:color w:val="000000"/>
                <w:sz w:val="22"/>
                <w:szCs w:val="22"/>
                <w:lang w:eastAsia="en-US"/>
              </w:rPr>
              <w:t xml:space="preserve"> </w:t>
            </w:r>
            <w:r w:rsidRPr="00875FFF">
              <w:rPr>
                <w:rFonts w:ascii="Calibri" w:eastAsia="Times New Roman" w:hAnsi="Calibri"/>
                <w:b/>
                <w:bCs/>
                <w:color w:val="000000"/>
                <w:sz w:val="22"/>
                <w:szCs w:val="22"/>
                <w:lang w:eastAsia="en-US"/>
              </w:rPr>
              <w:t>3380</w:t>
            </w:r>
            <w:r w:rsidRPr="00875FFF">
              <w:rPr>
                <w:rFonts w:ascii="Calibri" w:eastAsia="Times New Roman" w:hAnsi="Calibri"/>
                <w:color w:val="000000"/>
                <w:sz w:val="22"/>
                <w:szCs w:val="22"/>
                <w:lang w:eastAsia="en-US"/>
              </w:rPr>
              <w:t xml:space="preserve"> - Direct usage/observation</w:t>
            </w:r>
          </w:p>
        </w:tc>
        <w:tc>
          <w:tcPr>
            <w:tcW w:w="1100" w:type="dxa"/>
            <w:tcBorders>
              <w:top w:val="nil"/>
              <w:left w:val="single" w:sz="4" w:space="0" w:color="auto"/>
              <w:bottom w:val="nil"/>
              <w:right w:val="nil"/>
            </w:tcBorders>
            <w:shd w:val="clear" w:color="auto" w:fill="auto"/>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1041</w:t>
            </w:r>
          </w:p>
        </w:tc>
        <w:tc>
          <w:tcPr>
            <w:tcW w:w="880" w:type="dxa"/>
            <w:tcBorders>
              <w:top w:val="nil"/>
              <w:left w:val="single" w:sz="4" w:space="0" w:color="auto"/>
              <w:bottom w:val="nil"/>
              <w:right w:val="nil"/>
            </w:tcBorders>
            <w:shd w:val="clear" w:color="auto" w:fill="auto"/>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15.27%</w:t>
            </w:r>
          </w:p>
        </w:tc>
        <w:tc>
          <w:tcPr>
            <w:tcW w:w="1220" w:type="dxa"/>
            <w:tcBorders>
              <w:top w:val="nil"/>
              <w:left w:val="single" w:sz="4" w:space="0" w:color="auto"/>
              <w:bottom w:val="nil"/>
              <w:right w:val="nil"/>
            </w:tcBorders>
            <w:shd w:val="clear" w:color="auto" w:fill="auto"/>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11.24%</w:t>
            </w:r>
          </w:p>
        </w:tc>
        <w:tc>
          <w:tcPr>
            <w:tcW w:w="1260" w:type="dxa"/>
            <w:tcBorders>
              <w:top w:val="nil"/>
              <w:left w:val="single" w:sz="4" w:space="0" w:color="auto"/>
              <w:bottom w:val="nil"/>
              <w:right w:val="nil"/>
            </w:tcBorders>
            <w:shd w:val="clear" w:color="auto" w:fill="auto"/>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73.49%</w:t>
            </w:r>
          </w:p>
        </w:tc>
        <w:tc>
          <w:tcPr>
            <w:tcW w:w="1400" w:type="dxa"/>
            <w:tcBorders>
              <w:top w:val="nil"/>
              <w:left w:val="single" w:sz="4" w:space="0" w:color="auto"/>
              <w:bottom w:val="nil"/>
              <w:right w:val="single" w:sz="8" w:space="0" w:color="auto"/>
            </w:tcBorders>
            <w:shd w:val="clear" w:color="auto" w:fill="auto"/>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84.73%</w:t>
            </w:r>
          </w:p>
        </w:tc>
        <w:tc>
          <w:tcPr>
            <w:tcW w:w="1540" w:type="dxa"/>
            <w:tcBorders>
              <w:top w:val="nil"/>
              <w:left w:val="nil"/>
              <w:bottom w:val="nil"/>
              <w:right w:val="single" w:sz="8" w:space="0" w:color="auto"/>
            </w:tcBorders>
            <w:shd w:val="clear" w:color="auto" w:fill="auto"/>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81.42%</w:t>
            </w:r>
          </w:p>
        </w:tc>
      </w:tr>
      <w:tr w:rsidR="00875FFF" w:rsidRPr="00875FFF" w:rsidTr="00875FFF">
        <w:trPr>
          <w:trHeight w:val="588"/>
        </w:trPr>
        <w:tc>
          <w:tcPr>
            <w:tcW w:w="2800" w:type="dxa"/>
            <w:tcBorders>
              <w:top w:val="nil"/>
              <w:left w:val="single" w:sz="8" w:space="0" w:color="auto"/>
              <w:bottom w:val="single" w:sz="8" w:space="0" w:color="auto"/>
              <w:right w:val="nil"/>
            </w:tcBorders>
            <w:shd w:val="clear" w:color="000000" w:fill="D9D9D9"/>
            <w:vAlign w:val="bottom"/>
            <w:hideMark/>
          </w:tcPr>
          <w:p w:rsidR="00875FFF" w:rsidRPr="00875FFF" w:rsidRDefault="00875FFF" w:rsidP="00875FFF">
            <w:pPr>
              <w:rPr>
                <w:rFonts w:ascii="Calibri" w:eastAsia="Times New Roman" w:hAnsi="Calibri"/>
                <w:color w:val="000000"/>
                <w:sz w:val="22"/>
                <w:szCs w:val="22"/>
                <w:lang w:eastAsia="en-US"/>
              </w:rPr>
            </w:pPr>
            <w:r w:rsidRPr="00875FFF">
              <w:rPr>
                <w:rFonts w:ascii="Calibri" w:eastAsia="Times New Roman" w:hAnsi="Calibri"/>
                <w:b/>
                <w:bCs/>
                <w:color w:val="000000"/>
                <w:sz w:val="22"/>
                <w:szCs w:val="22"/>
                <w:lang w:eastAsia="en-US"/>
              </w:rPr>
              <w:t>FIN 3312</w:t>
            </w:r>
            <w:r w:rsidRPr="00875FFF">
              <w:rPr>
                <w:rFonts w:ascii="Calibri" w:eastAsia="Times New Roman" w:hAnsi="Calibri"/>
                <w:color w:val="000000"/>
                <w:sz w:val="22"/>
                <w:szCs w:val="22"/>
                <w:lang w:eastAsia="en-US"/>
              </w:rPr>
              <w:t xml:space="preserve"> - Technology exam questions</w:t>
            </w:r>
          </w:p>
        </w:tc>
        <w:tc>
          <w:tcPr>
            <w:tcW w:w="1100" w:type="dxa"/>
            <w:tcBorders>
              <w:top w:val="nil"/>
              <w:left w:val="single" w:sz="4" w:space="0" w:color="auto"/>
              <w:bottom w:val="single" w:sz="8" w:space="0" w:color="auto"/>
              <w:right w:val="nil"/>
            </w:tcBorders>
            <w:shd w:val="clear" w:color="000000" w:fill="D9D9D9"/>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415</w:t>
            </w:r>
          </w:p>
        </w:tc>
        <w:tc>
          <w:tcPr>
            <w:tcW w:w="880" w:type="dxa"/>
            <w:tcBorders>
              <w:top w:val="nil"/>
              <w:left w:val="single" w:sz="4" w:space="0" w:color="auto"/>
              <w:bottom w:val="single" w:sz="8" w:space="0" w:color="auto"/>
              <w:right w:val="nil"/>
            </w:tcBorders>
            <w:shd w:val="clear" w:color="000000" w:fill="D9D9D9"/>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6.51%</w:t>
            </w:r>
          </w:p>
        </w:tc>
        <w:tc>
          <w:tcPr>
            <w:tcW w:w="1220" w:type="dxa"/>
            <w:tcBorders>
              <w:top w:val="nil"/>
              <w:left w:val="single" w:sz="4" w:space="0" w:color="auto"/>
              <w:bottom w:val="single" w:sz="8" w:space="0" w:color="auto"/>
              <w:right w:val="nil"/>
            </w:tcBorders>
            <w:shd w:val="clear" w:color="000000" w:fill="D9D9D9"/>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28.19%</w:t>
            </w:r>
          </w:p>
        </w:tc>
        <w:tc>
          <w:tcPr>
            <w:tcW w:w="1260" w:type="dxa"/>
            <w:tcBorders>
              <w:top w:val="nil"/>
              <w:left w:val="single" w:sz="4" w:space="0" w:color="auto"/>
              <w:bottom w:val="single" w:sz="8" w:space="0" w:color="auto"/>
              <w:right w:val="nil"/>
            </w:tcBorders>
            <w:shd w:val="clear" w:color="000000" w:fill="D9D9D9"/>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65.30%</w:t>
            </w:r>
          </w:p>
        </w:tc>
        <w:tc>
          <w:tcPr>
            <w:tcW w:w="1400" w:type="dxa"/>
            <w:tcBorders>
              <w:top w:val="nil"/>
              <w:left w:val="single" w:sz="4" w:space="0" w:color="auto"/>
              <w:bottom w:val="single" w:sz="8" w:space="0" w:color="auto"/>
              <w:right w:val="single" w:sz="8" w:space="0" w:color="auto"/>
            </w:tcBorders>
            <w:shd w:val="clear" w:color="000000" w:fill="D9D9D9"/>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93.49%</w:t>
            </w:r>
          </w:p>
        </w:tc>
        <w:tc>
          <w:tcPr>
            <w:tcW w:w="1540" w:type="dxa"/>
            <w:tcBorders>
              <w:top w:val="nil"/>
              <w:left w:val="nil"/>
              <w:bottom w:val="single" w:sz="8" w:space="0" w:color="auto"/>
              <w:right w:val="single" w:sz="8" w:space="0" w:color="auto"/>
            </w:tcBorders>
            <w:shd w:val="clear" w:color="000000" w:fill="D9D9D9"/>
            <w:vAlign w:val="bottom"/>
            <w:hideMark/>
          </w:tcPr>
          <w:p w:rsidR="00875FFF" w:rsidRPr="00875FFF" w:rsidRDefault="00875FFF" w:rsidP="00875FFF">
            <w:pPr>
              <w:jc w:val="right"/>
              <w:rPr>
                <w:rFonts w:ascii="Calibri" w:eastAsia="Times New Roman" w:hAnsi="Calibri"/>
                <w:color w:val="000000"/>
                <w:sz w:val="22"/>
                <w:szCs w:val="22"/>
                <w:lang w:eastAsia="en-US"/>
              </w:rPr>
            </w:pPr>
            <w:r w:rsidRPr="00875FFF">
              <w:rPr>
                <w:rFonts w:ascii="Calibri" w:eastAsia="Times New Roman" w:hAnsi="Calibri"/>
                <w:color w:val="000000"/>
                <w:sz w:val="22"/>
                <w:szCs w:val="22"/>
                <w:lang w:eastAsia="en-US"/>
              </w:rPr>
              <w:t>73.00%</w:t>
            </w:r>
          </w:p>
        </w:tc>
      </w:tr>
    </w:tbl>
    <w:p w:rsidR="00987E1E" w:rsidRDefault="00987E1E" w:rsidP="00415B26">
      <w:pPr>
        <w:pBdr>
          <w:bottom w:val="single" w:sz="12" w:space="1" w:color="auto"/>
        </w:pBdr>
        <w:spacing w:line="276" w:lineRule="auto"/>
        <w:rPr>
          <w:rFonts w:eastAsiaTheme="minorHAnsi"/>
          <w:lang w:eastAsia="en-US"/>
        </w:rPr>
      </w:pPr>
    </w:p>
    <w:p w:rsidR="00154A8A" w:rsidRDefault="00154A8A" w:rsidP="00415B26">
      <w:pPr>
        <w:pBdr>
          <w:bottom w:val="single" w:sz="12" w:space="1" w:color="auto"/>
        </w:pBdr>
        <w:spacing w:line="276" w:lineRule="auto"/>
        <w:rPr>
          <w:rFonts w:eastAsiaTheme="minorHAnsi"/>
          <w:lang w:eastAsia="en-US"/>
        </w:rPr>
      </w:pPr>
    </w:p>
    <w:p w:rsidR="00154A8A" w:rsidRDefault="00154A8A" w:rsidP="00415B26">
      <w:pPr>
        <w:pBdr>
          <w:bottom w:val="single" w:sz="12" w:space="1" w:color="auto"/>
        </w:pBdr>
        <w:spacing w:line="276" w:lineRule="auto"/>
        <w:rPr>
          <w:rFonts w:eastAsiaTheme="minorHAnsi"/>
          <w:lang w:eastAsia="en-US"/>
        </w:rPr>
      </w:pPr>
    </w:p>
    <w:p w:rsidR="00154A8A" w:rsidRDefault="00154A8A" w:rsidP="00415B26">
      <w:pPr>
        <w:pBdr>
          <w:bottom w:val="single" w:sz="12" w:space="1" w:color="auto"/>
        </w:pBdr>
        <w:spacing w:line="276" w:lineRule="auto"/>
        <w:rPr>
          <w:rFonts w:eastAsiaTheme="minorHAnsi"/>
          <w:lang w:eastAsia="en-US"/>
        </w:rPr>
      </w:pPr>
    </w:p>
    <w:p w:rsidR="00830EC9" w:rsidRDefault="00830EC9" w:rsidP="00415B26">
      <w:pPr>
        <w:spacing w:line="276" w:lineRule="auto"/>
        <w:rPr>
          <w:rFonts w:eastAsiaTheme="minorHAnsi"/>
          <w:lang w:eastAsia="en-US"/>
        </w:rPr>
      </w:pPr>
    </w:p>
    <w:p w:rsidR="00830EC9" w:rsidRPr="00D1794A" w:rsidRDefault="00830EC9" w:rsidP="00415B26">
      <w:pPr>
        <w:spacing w:line="276" w:lineRule="auto"/>
        <w:rPr>
          <w:rFonts w:eastAsiaTheme="minorHAnsi"/>
          <w:lang w:eastAsia="en-US"/>
        </w:rPr>
      </w:pPr>
    </w:p>
    <w:p w:rsidR="007D21DD" w:rsidRDefault="007D21DD" w:rsidP="00415B26">
      <w:pPr>
        <w:spacing w:line="276" w:lineRule="auto"/>
        <w:rPr>
          <w:rFonts w:eastAsiaTheme="minorHAnsi"/>
          <w:lang w:eastAsia="en-US"/>
        </w:rPr>
      </w:pPr>
      <w:r>
        <w:rPr>
          <w:rFonts w:eastAsiaTheme="minorHAnsi"/>
          <w:b/>
          <w:i/>
          <w:lang w:eastAsia="en-US"/>
        </w:rPr>
        <w:t>Comments and Observations.</w:t>
      </w:r>
      <w:r w:rsidR="00A84E95">
        <w:rPr>
          <w:rFonts w:eastAsiaTheme="minorHAnsi"/>
          <w:b/>
          <w:i/>
          <w:lang w:eastAsia="en-US"/>
        </w:rPr>
        <w:t xml:space="preserve">  </w:t>
      </w:r>
    </w:p>
    <w:p w:rsidR="005A0984" w:rsidRDefault="005A0984" w:rsidP="001D6CCE">
      <w:pPr>
        <w:rPr>
          <w:rFonts w:eastAsiaTheme="minorHAnsi"/>
          <w:lang w:eastAsia="en-US"/>
        </w:rPr>
      </w:pPr>
    </w:p>
    <w:p w:rsidR="005A0984" w:rsidRDefault="005A0984" w:rsidP="005A0984">
      <w:pPr>
        <w:pStyle w:val="ListParagraph"/>
        <w:numPr>
          <w:ilvl w:val="0"/>
          <w:numId w:val="6"/>
        </w:numPr>
        <w:rPr>
          <w:rFonts w:eastAsiaTheme="minorHAnsi"/>
          <w:lang w:eastAsia="en-US"/>
        </w:rPr>
      </w:pPr>
      <w:r w:rsidRPr="005A0984">
        <w:rPr>
          <w:rFonts w:eastAsiaTheme="minorHAnsi"/>
          <w:lang w:eastAsia="en-US"/>
        </w:rPr>
        <w:t xml:space="preserve">Most notable are the declines in the percentage of students meeting or exceeding expectations </w:t>
      </w:r>
      <w:r>
        <w:rPr>
          <w:rFonts w:eastAsiaTheme="minorHAnsi"/>
          <w:lang w:eastAsia="en-US"/>
        </w:rPr>
        <w:t>across</w:t>
      </w:r>
      <w:r w:rsidRPr="005A0984">
        <w:rPr>
          <w:rFonts w:eastAsiaTheme="minorHAnsi"/>
          <w:lang w:eastAsia="en-US"/>
        </w:rPr>
        <w:t xml:space="preserve"> multiple</w:t>
      </w:r>
      <w:r>
        <w:rPr>
          <w:rFonts w:eastAsiaTheme="minorHAnsi"/>
          <w:lang w:eastAsia="en-US"/>
        </w:rPr>
        <w:t xml:space="preserve"> courses.  Four courses for Goal 2 and two for Goal 3 </w:t>
      </w:r>
      <w:r>
        <w:rPr>
          <w:rFonts w:eastAsiaTheme="minorHAnsi"/>
          <w:lang w:eastAsia="en-US"/>
        </w:rPr>
        <w:lastRenderedPageBreak/>
        <w:t xml:space="preserve">showed declines of more than 10 percentage points in the students meeting or exceeding expectations compared to 2013.  The committee </w:t>
      </w:r>
      <w:r w:rsidR="00D54628">
        <w:rPr>
          <w:rFonts w:eastAsiaTheme="minorHAnsi"/>
          <w:lang w:eastAsia="en-US"/>
        </w:rPr>
        <w:t>would like</w:t>
      </w:r>
      <w:r>
        <w:rPr>
          <w:rFonts w:eastAsiaTheme="minorHAnsi"/>
          <w:lang w:eastAsia="en-US"/>
        </w:rPr>
        <w:t xml:space="preserve"> to see a plan from the respective departments detailing changes that will be made going forward in response to these results.</w:t>
      </w:r>
    </w:p>
    <w:p w:rsidR="005A0984" w:rsidRDefault="005A0984" w:rsidP="005A0984">
      <w:pPr>
        <w:rPr>
          <w:rFonts w:eastAsiaTheme="minorHAnsi"/>
          <w:lang w:eastAsia="en-US"/>
        </w:rPr>
      </w:pPr>
    </w:p>
    <w:p w:rsidR="005A0984" w:rsidRDefault="005A0984" w:rsidP="005A0984">
      <w:pPr>
        <w:pStyle w:val="ListParagraph"/>
        <w:numPr>
          <w:ilvl w:val="0"/>
          <w:numId w:val="6"/>
        </w:numPr>
        <w:rPr>
          <w:rFonts w:eastAsiaTheme="minorHAnsi"/>
          <w:lang w:eastAsia="en-US"/>
        </w:rPr>
      </w:pPr>
      <w:r>
        <w:rPr>
          <w:rFonts w:eastAsiaTheme="minorHAnsi"/>
          <w:lang w:eastAsia="en-US"/>
        </w:rPr>
        <w:t>The initial Accounting and Economics courses appear to be below benchmarks of upper division courses for direct critical thinking assessment</w:t>
      </w:r>
      <w:r w:rsidR="0092384C">
        <w:rPr>
          <w:rFonts w:eastAsiaTheme="minorHAnsi"/>
          <w:lang w:eastAsia="en-US"/>
        </w:rPr>
        <w:t>.  While these are lower-level courses consisting mainly of freshman and sophomore students</w:t>
      </w:r>
      <w:r>
        <w:rPr>
          <w:rFonts w:eastAsiaTheme="minorHAnsi"/>
          <w:lang w:eastAsia="en-US"/>
        </w:rPr>
        <w:t xml:space="preserve"> </w:t>
      </w:r>
      <w:r w:rsidR="0092384C">
        <w:rPr>
          <w:rFonts w:eastAsiaTheme="minorHAnsi"/>
          <w:lang w:eastAsia="en-US"/>
        </w:rPr>
        <w:t>c</w:t>
      </w:r>
      <w:r>
        <w:rPr>
          <w:rFonts w:eastAsiaTheme="minorHAnsi"/>
          <w:lang w:eastAsia="en-US"/>
        </w:rPr>
        <w:t>ore course teaching groups are nonetheless encouraged to review critical thinking learning outcomes, examine direct assessment instrument in light of Bloom’s taxonomy and overall levels of difficulty, and teaching delivery methods and teaching methodologies.</w:t>
      </w:r>
    </w:p>
    <w:p w:rsidR="005A0984" w:rsidRPr="005A0984" w:rsidRDefault="005A0984" w:rsidP="005A0984">
      <w:pPr>
        <w:pStyle w:val="ListParagraph"/>
        <w:rPr>
          <w:rFonts w:eastAsiaTheme="minorHAnsi"/>
          <w:lang w:eastAsia="en-US"/>
        </w:rPr>
      </w:pPr>
    </w:p>
    <w:p w:rsidR="008C04D6" w:rsidRPr="008C04D6" w:rsidRDefault="005A0984" w:rsidP="008C04D6">
      <w:pPr>
        <w:pStyle w:val="ListParagraph"/>
        <w:numPr>
          <w:ilvl w:val="0"/>
          <w:numId w:val="6"/>
        </w:numPr>
        <w:rPr>
          <w:rFonts w:eastAsiaTheme="minorHAnsi"/>
          <w:lang w:eastAsia="en-US"/>
        </w:rPr>
      </w:pPr>
      <w:r>
        <w:rPr>
          <w:rFonts w:eastAsiaTheme="minorHAnsi"/>
          <w:lang w:eastAsia="en-US"/>
        </w:rPr>
        <w:t>It is also notable that the poorest performance with regard to Information Technology appears in the lower-level courses</w:t>
      </w:r>
      <w:r w:rsidR="00EF051F">
        <w:rPr>
          <w:rFonts w:eastAsiaTheme="minorHAnsi"/>
          <w:lang w:eastAsia="en-US"/>
        </w:rPr>
        <w:t>.  The differences between the two lower-level courses and the two upper-level courses is striking.  Some of that would be expected, but more discouraging is the drop in those courses relative to 2013.</w:t>
      </w:r>
      <w:r w:rsidR="008C04D6">
        <w:rPr>
          <w:rFonts w:eastAsiaTheme="minorHAnsi"/>
          <w:lang w:eastAsia="en-US"/>
        </w:rPr>
        <w:t xml:space="preserve">  One potential factor is the removal of the IT requirement at the high school level.  This change has unquestionably reduced the exposure that incoming students have had to Office programs.  It is likely that this change is a factor in the results.</w:t>
      </w:r>
    </w:p>
    <w:p w:rsidR="005A0984" w:rsidRPr="005A0984" w:rsidRDefault="005A0984" w:rsidP="005A0984">
      <w:pPr>
        <w:rPr>
          <w:rFonts w:eastAsiaTheme="minorHAnsi"/>
          <w:lang w:eastAsia="en-US"/>
        </w:rPr>
      </w:pPr>
    </w:p>
    <w:sectPr w:rsidR="005A0984" w:rsidRPr="005A0984" w:rsidSect="005551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7B2E" w:rsidRDefault="00A07B2E" w:rsidP="00BB2E5B">
      <w:r>
        <w:separator/>
      </w:r>
    </w:p>
  </w:endnote>
  <w:endnote w:type="continuationSeparator" w:id="0">
    <w:p w:rsidR="00A07B2E" w:rsidRDefault="00A07B2E" w:rsidP="00BB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7B2E" w:rsidRDefault="00A07B2E" w:rsidP="00BB2E5B">
      <w:r>
        <w:separator/>
      </w:r>
    </w:p>
  </w:footnote>
  <w:footnote w:type="continuationSeparator" w:id="0">
    <w:p w:rsidR="00A07B2E" w:rsidRDefault="00A07B2E" w:rsidP="00BB2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11C0F"/>
    <w:multiLevelType w:val="hybridMultilevel"/>
    <w:tmpl w:val="09766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A2DD9"/>
    <w:multiLevelType w:val="hybridMultilevel"/>
    <w:tmpl w:val="3262317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15:restartNumberingAfterBreak="0">
    <w:nsid w:val="3F5D079C"/>
    <w:multiLevelType w:val="hybridMultilevel"/>
    <w:tmpl w:val="93A4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46E67"/>
    <w:multiLevelType w:val="hybridMultilevel"/>
    <w:tmpl w:val="787A74C4"/>
    <w:lvl w:ilvl="0" w:tplc="961E914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44F9E"/>
    <w:multiLevelType w:val="hybridMultilevel"/>
    <w:tmpl w:val="39AA787C"/>
    <w:lvl w:ilvl="0" w:tplc="A7E6A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00887"/>
    <w:multiLevelType w:val="hybridMultilevel"/>
    <w:tmpl w:val="BD5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514483"/>
    <w:rsid w:val="00010042"/>
    <w:rsid w:val="00011026"/>
    <w:rsid w:val="000140AD"/>
    <w:rsid w:val="0001629B"/>
    <w:rsid w:val="00027AEF"/>
    <w:rsid w:val="00040F4A"/>
    <w:rsid w:val="00047291"/>
    <w:rsid w:val="000516AA"/>
    <w:rsid w:val="000544C6"/>
    <w:rsid w:val="00054BC7"/>
    <w:rsid w:val="00055762"/>
    <w:rsid w:val="00060724"/>
    <w:rsid w:val="00062508"/>
    <w:rsid w:val="0008469D"/>
    <w:rsid w:val="00085341"/>
    <w:rsid w:val="00091B4C"/>
    <w:rsid w:val="00091CE8"/>
    <w:rsid w:val="000C055E"/>
    <w:rsid w:val="000C5073"/>
    <w:rsid w:val="000D49D7"/>
    <w:rsid w:val="000E4F95"/>
    <w:rsid w:val="000F6A6C"/>
    <w:rsid w:val="001019B1"/>
    <w:rsid w:val="001159E8"/>
    <w:rsid w:val="00123D22"/>
    <w:rsid w:val="00127037"/>
    <w:rsid w:val="00131971"/>
    <w:rsid w:val="00146ED7"/>
    <w:rsid w:val="00153717"/>
    <w:rsid w:val="00154A8A"/>
    <w:rsid w:val="00171119"/>
    <w:rsid w:val="00184C3B"/>
    <w:rsid w:val="001853DD"/>
    <w:rsid w:val="001A05BA"/>
    <w:rsid w:val="001B4D48"/>
    <w:rsid w:val="001C1171"/>
    <w:rsid w:val="001D0807"/>
    <w:rsid w:val="001D383B"/>
    <w:rsid w:val="001D6CCE"/>
    <w:rsid w:val="001F7C9A"/>
    <w:rsid w:val="002021FE"/>
    <w:rsid w:val="0020714C"/>
    <w:rsid w:val="002145F0"/>
    <w:rsid w:val="002147DE"/>
    <w:rsid w:val="00244AD7"/>
    <w:rsid w:val="00262F49"/>
    <w:rsid w:val="00263ABA"/>
    <w:rsid w:val="00264198"/>
    <w:rsid w:val="00264311"/>
    <w:rsid w:val="0026609A"/>
    <w:rsid w:val="002679F5"/>
    <w:rsid w:val="002712FC"/>
    <w:rsid w:val="0028168A"/>
    <w:rsid w:val="0029514A"/>
    <w:rsid w:val="002969BB"/>
    <w:rsid w:val="002A4473"/>
    <w:rsid w:val="002B0F7E"/>
    <w:rsid w:val="002C73F6"/>
    <w:rsid w:val="002E6DCD"/>
    <w:rsid w:val="003074B9"/>
    <w:rsid w:val="00310093"/>
    <w:rsid w:val="00330218"/>
    <w:rsid w:val="003315E8"/>
    <w:rsid w:val="0034779C"/>
    <w:rsid w:val="003638AD"/>
    <w:rsid w:val="00363BA4"/>
    <w:rsid w:val="00365C03"/>
    <w:rsid w:val="00384628"/>
    <w:rsid w:val="003873E1"/>
    <w:rsid w:val="00393AFE"/>
    <w:rsid w:val="003B0861"/>
    <w:rsid w:val="003B1F94"/>
    <w:rsid w:val="003B2B65"/>
    <w:rsid w:val="003B7005"/>
    <w:rsid w:val="003E52BA"/>
    <w:rsid w:val="003F02E3"/>
    <w:rsid w:val="003F29A9"/>
    <w:rsid w:val="00411526"/>
    <w:rsid w:val="00415B26"/>
    <w:rsid w:val="00430628"/>
    <w:rsid w:val="00431D02"/>
    <w:rsid w:val="00435184"/>
    <w:rsid w:val="00437C5C"/>
    <w:rsid w:val="0044339F"/>
    <w:rsid w:val="00443E1A"/>
    <w:rsid w:val="00450DDA"/>
    <w:rsid w:val="00455D3F"/>
    <w:rsid w:val="00460B15"/>
    <w:rsid w:val="0046131A"/>
    <w:rsid w:val="004633C2"/>
    <w:rsid w:val="00464699"/>
    <w:rsid w:val="004712ED"/>
    <w:rsid w:val="00476D18"/>
    <w:rsid w:val="0047752C"/>
    <w:rsid w:val="004809BC"/>
    <w:rsid w:val="004A7EF7"/>
    <w:rsid w:val="004B2B77"/>
    <w:rsid w:val="004D4D83"/>
    <w:rsid w:val="004E1B1D"/>
    <w:rsid w:val="004F33B4"/>
    <w:rsid w:val="00511161"/>
    <w:rsid w:val="00514483"/>
    <w:rsid w:val="00520816"/>
    <w:rsid w:val="00526268"/>
    <w:rsid w:val="00527DBE"/>
    <w:rsid w:val="00530733"/>
    <w:rsid w:val="005322BB"/>
    <w:rsid w:val="0053683E"/>
    <w:rsid w:val="005504EE"/>
    <w:rsid w:val="00554603"/>
    <w:rsid w:val="00555121"/>
    <w:rsid w:val="00573DAA"/>
    <w:rsid w:val="00577ACF"/>
    <w:rsid w:val="005962EB"/>
    <w:rsid w:val="005A0984"/>
    <w:rsid w:val="005B14C7"/>
    <w:rsid w:val="005D1E33"/>
    <w:rsid w:val="005D7E63"/>
    <w:rsid w:val="005E2F3E"/>
    <w:rsid w:val="005E5960"/>
    <w:rsid w:val="005F5902"/>
    <w:rsid w:val="006341C0"/>
    <w:rsid w:val="00635900"/>
    <w:rsid w:val="00636A16"/>
    <w:rsid w:val="00661CA2"/>
    <w:rsid w:val="00663B4C"/>
    <w:rsid w:val="00682F05"/>
    <w:rsid w:val="00690926"/>
    <w:rsid w:val="006953A3"/>
    <w:rsid w:val="00695FC7"/>
    <w:rsid w:val="006B0CD1"/>
    <w:rsid w:val="006B47EF"/>
    <w:rsid w:val="006B5915"/>
    <w:rsid w:val="006E1FAF"/>
    <w:rsid w:val="006E70FA"/>
    <w:rsid w:val="006F096E"/>
    <w:rsid w:val="00702CD6"/>
    <w:rsid w:val="007033C7"/>
    <w:rsid w:val="00714E9D"/>
    <w:rsid w:val="00720A6F"/>
    <w:rsid w:val="0072314F"/>
    <w:rsid w:val="00735C50"/>
    <w:rsid w:val="00740ABC"/>
    <w:rsid w:val="00742D75"/>
    <w:rsid w:val="0074655E"/>
    <w:rsid w:val="00757451"/>
    <w:rsid w:val="00763E04"/>
    <w:rsid w:val="0078473E"/>
    <w:rsid w:val="00793450"/>
    <w:rsid w:val="007A02EC"/>
    <w:rsid w:val="007A5A86"/>
    <w:rsid w:val="007C02BE"/>
    <w:rsid w:val="007C2802"/>
    <w:rsid w:val="007C73BC"/>
    <w:rsid w:val="007D21DD"/>
    <w:rsid w:val="00801366"/>
    <w:rsid w:val="0080402C"/>
    <w:rsid w:val="008077E0"/>
    <w:rsid w:val="0082074C"/>
    <w:rsid w:val="00830EC9"/>
    <w:rsid w:val="00834975"/>
    <w:rsid w:val="00837EC7"/>
    <w:rsid w:val="00844B0C"/>
    <w:rsid w:val="00845225"/>
    <w:rsid w:val="00847DF6"/>
    <w:rsid w:val="00867282"/>
    <w:rsid w:val="00875FFF"/>
    <w:rsid w:val="008848CC"/>
    <w:rsid w:val="008867A2"/>
    <w:rsid w:val="00887B70"/>
    <w:rsid w:val="008B2854"/>
    <w:rsid w:val="008B6928"/>
    <w:rsid w:val="008B7C7E"/>
    <w:rsid w:val="008C04D6"/>
    <w:rsid w:val="008C7CCC"/>
    <w:rsid w:val="008D46B7"/>
    <w:rsid w:val="008E5423"/>
    <w:rsid w:val="008F1201"/>
    <w:rsid w:val="008F291D"/>
    <w:rsid w:val="008F65F2"/>
    <w:rsid w:val="00911D2C"/>
    <w:rsid w:val="0092118C"/>
    <w:rsid w:val="009237A0"/>
    <w:rsid w:val="0092384C"/>
    <w:rsid w:val="00930036"/>
    <w:rsid w:val="00953954"/>
    <w:rsid w:val="009545D4"/>
    <w:rsid w:val="00960034"/>
    <w:rsid w:val="0096268F"/>
    <w:rsid w:val="00964175"/>
    <w:rsid w:val="00966696"/>
    <w:rsid w:val="00985DFF"/>
    <w:rsid w:val="00987E1E"/>
    <w:rsid w:val="00990ED3"/>
    <w:rsid w:val="00995846"/>
    <w:rsid w:val="009A1175"/>
    <w:rsid w:val="009A7FA3"/>
    <w:rsid w:val="009B4C85"/>
    <w:rsid w:val="009D466D"/>
    <w:rsid w:val="009E7C44"/>
    <w:rsid w:val="00A02A89"/>
    <w:rsid w:val="00A07B2E"/>
    <w:rsid w:val="00A16604"/>
    <w:rsid w:val="00A26FA3"/>
    <w:rsid w:val="00A32DD9"/>
    <w:rsid w:val="00A41D68"/>
    <w:rsid w:val="00A52E67"/>
    <w:rsid w:val="00A56C33"/>
    <w:rsid w:val="00A81AAB"/>
    <w:rsid w:val="00A84E95"/>
    <w:rsid w:val="00A8550D"/>
    <w:rsid w:val="00AA5287"/>
    <w:rsid w:val="00AC2EA8"/>
    <w:rsid w:val="00AC3640"/>
    <w:rsid w:val="00AC3C69"/>
    <w:rsid w:val="00AD0622"/>
    <w:rsid w:val="00AD2C77"/>
    <w:rsid w:val="00AE07BA"/>
    <w:rsid w:val="00AE3A0D"/>
    <w:rsid w:val="00AE4809"/>
    <w:rsid w:val="00AE50E9"/>
    <w:rsid w:val="00AE5ED0"/>
    <w:rsid w:val="00AF32AE"/>
    <w:rsid w:val="00B023EE"/>
    <w:rsid w:val="00B02E9C"/>
    <w:rsid w:val="00B20BB8"/>
    <w:rsid w:val="00B20EE6"/>
    <w:rsid w:val="00B212A5"/>
    <w:rsid w:val="00B24E4C"/>
    <w:rsid w:val="00B26191"/>
    <w:rsid w:val="00B35DC1"/>
    <w:rsid w:val="00B5696D"/>
    <w:rsid w:val="00B61B70"/>
    <w:rsid w:val="00B869CD"/>
    <w:rsid w:val="00B961DE"/>
    <w:rsid w:val="00B97E02"/>
    <w:rsid w:val="00BB2E5B"/>
    <w:rsid w:val="00BC5401"/>
    <w:rsid w:val="00BE2897"/>
    <w:rsid w:val="00BE4966"/>
    <w:rsid w:val="00BE660C"/>
    <w:rsid w:val="00BF1138"/>
    <w:rsid w:val="00BF33A5"/>
    <w:rsid w:val="00BF7ED3"/>
    <w:rsid w:val="00C01D67"/>
    <w:rsid w:val="00C0522C"/>
    <w:rsid w:val="00C1753D"/>
    <w:rsid w:val="00C31042"/>
    <w:rsid w:val="00C35280"/>
    <w:rsid w:val="00C655A2"/>
    <w:rsid w:val="00C66EFA"/>
    <w:rsid w:val="00C71A1D"/>
    <w:rsid w:val="00C71A49"/>
    <w:rsid w:val="00C75C8F"/>
    <w:rsid w:val="00C76247"/>
    <w:rsid w:val="00C87590"/>
    <w:rsid w:val="00CA2FAF"/>
    <w:rsid w:val="00CA53B6"/>
    <w:rsid w:val="00CB2A5A"/>
    <w:rsid w:val="00CB2F69"/>
    <w:rsid w:val="00CC2570"/>
    <w:rsid w:val="00CC68EC"/>
    <w:rsid w:val="00CF4A41"/>
    <w:rsid w:val="00D0691C"/>
    <w:rsid w:val="00D12FC2"/>
    <w:rsid w:val="00D14312"/>
    <w:rsid w:val="00D14B3C"/>
    <w:rsid w:val="00D1603F"/>
    <w:rsid w:val="00D175D2"/>
    <w:rsid w:val="00D1794A"/>
    <w:rsid w:val="00D32662"/>
    <w:rsid w:val="00D34F4B"/>
    <w:rsid w:val="00D42D02"/>
    <w:rsid w:val="00D448CA"/>
    <w:rsid w:val="00D44996"/>
    <w:rsid w:val="00D52AA6"/>
    <w:rsid w:val="00D54628"/>
    <w:rsid w:val="00D60D5E"/>
    <w:rsid w:val="00D617D1"/>
    <w:rsid w:val="00D61D48"/>
    <w:rsid w:val="00D67C7B"/>
    <w:rsid w:val="00DA0138"/>
    <w:rsid w:val="00DA58D9"/>
    <w:rsid w:val="00DA7443"/>
    <w:rsid w:val="00DB43EF"/>
    <w:rsid w:val="00DC6130"/>
    <w:rsid w:val="00DC731A"/>
    <w:rsid w:val="00DD47D7"/>
    <w:rsid w:val="00DF4CBA"/>
    <w:rsid w:val="00DF6319"/>
    <w:rsid w:val="00E16D1E"/>
    <w:rsid w:val="00E44FC8"/>
    <w:rsid w:val="00E5203F"/>
    <w:rsid w:val="00E54BCA"/>
    <w:rsid w:val="00E54E73"/>
    <w:rsid w:val="00E57027"/>
    <w:rsid w:val="00E60CD5"/>
    <w:rsid w:val="00E77124"/>
    <w:rsid w:val="00E85CCC"/>
    <w:rsid w:val="00E94F3D"/>
    <w:rsid w:val="00E95FE8"/>
    <w:rsid w:val="00E9728D"/>
    <w:rsid w:val="00EA5DFB"/>
    <w:rsid w:val="00EB3AAC"/>
    <w:rsid w:val="00EB61F1"/>
    <w:rsid w:val="00EC1635"/>
    <w:rsid w:val="00ED2C21"/>
    <w:rsid w:val="00EE576D"/>
    <w:rsid w:val="00EF051F"/>
    <w:rsid w:val="00EF0F94"/>
    <w:rsid w:val="00EF1D2D"/>
    <w:rsid w:val="00EF4922"/>
    <w:rsid w:val="00F01CB3"/>
    <w:rsid w:val="00F02FA4"/>
    <w:rsid w:val="00F04B87"/>
    <w:rsid w:val="00F0648F"/>
    <w:rsid w:val="00F070F1"/>
    <w:rsid w:val="00F17264"/>
    <w:rsid w:val="00F207FE"/>
    <w:rsid w:val="00F35445"/>
    <w:rsid w:val="00F622C5"/>
    <w:rsid w:val="00F6792E"/>
    <w:rsid w:val="00F70FE2"/>
    <w:rsid w:val="00F80A8D"/>
    <w:rsid w:val="00F823CD"/>
    <w:rsid w:val="00F833B3"/>
    <w:rsid w:val="00F94DDD"/>
    <w:rsid w:val="00FA3427"/>
    <w:rsid w:val="00FB4138"/>
    <w:rsid w:val="00FB7893"/>
    <w:rsid w:val="00FC3F8B"/>
    <w:rsid w:val="00FD1C24"/>
    <w:rsid w:val="00FD56A5"/>
    <w:rsid w:val="00FD6561"/>
    <w:rsid w:val="00FE3782"/>
    <w:rsid w:val="00FE7EAB"/>
    <w:rsid w:val="00FF1BFD"/>
    <w:rsid w:val="00F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0EC360-7F0E-4864-99F2-4001F5B7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3E1"/>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DA58D9"/>
    <w:pPr>
      <w:widowControl w:val="0"/>
      <w:autoSpaceDE w:val="0"/>
      <w:autoSpaceDN w:val="0"/>
      <w:adjustRightInd w:val="0"/>
    </w:pPr>
    <w:rPr>
      <w:rFonts w:eastAsia="Times New Roman"/>
      <w:sz w:val="24"/>
      <w:szCs w:val="24"/>
    </w:rPr>
  </w:style>
  <w:style w:type="table" w:styleId="TableGrid">
    <w:name w:val="Table Grid"/>
    <w:basedOn w:val="TableNormal"/>
    <w:rsid w:val="00A85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BE"/>
    <w:pPr>
      <w:ind w:left="720"/>
      <w:contextualSpacing/>
    </w:pPr>
  </w:style>
  <w:style w:type="paragraph" w:styleId="BalloonText">
    <w:name w:val="Balloon Text"/>
    <w:basedOn w:val="Normal"/>
    <w:link w:val="BalloonTextChar"/>
    <w:rsid w:val="00F80A8D"/>
    <w:rPr>
      <w:rFonts w:ascii="Tahoma" w:hAnsi="Tahoma" w:cs="Tahoma"/>
      <w:sz w:val="16"/>
      <w:szCs w:val="16"/>
    </w:rPr>
  </w:style>
  <w:style w:type="character" w:customStyle="1" w:styleId="BalloonTextChar">
    <w:name w:val="Balloon Text Char"/>
    <w:basedOn w:val="DefaultParagraphFont"/>
    <w:link w:val="BalloonText"/>
    <w:rsid w:val="00F80A8D"/>
    <w:rPr>
      <w:rFonts w:ascii="Tahoma" w:hAnsi="Tahoma" w:cs="Tahoma"/>
      <w:sz w:val="16"/>
      <w:szCs w:val="16"/>
      <w:lang w:eastAsia="ko-KR"/>
    </w:rPr>
  </w:style>
  <w:style w:type="paragraph" w:styleId="Header">
    <w:name w:val="header"/>
    <w:basedOn w:val="Normal"/>
    <w:link w:val="HeaderChar"/>
    <w:rsid w:val="00BB2E5B"/>
    <w:pPr>
      <w:tabs>
        <w:tab w:val="center" w:pos="4680"/>
        <w:tab w:val="right" w:pos="9360"/>
      </w:tabs>
    </w:pPr>
  </w:style>
  <w:style w:type="character" w:customStyle="1" w:styleId="HeaderChar">
    <w:name w:val="Header Char"/>
    <w:basedOn w:val="DefaultParagraphFont"/>
    <w:link w:val="Header"/>
    <w:rsid w:val="00BB2E5B"/>
    <w:rPr>
      <w:sz w:val="24"/>
      <w:szCs w:val="24"/>
      <w:lang w:eastAsia="ko-KR"/>
    </w:rPr>
  </w:style>
  <w:style w:type="paragraph" w:styleId="Footer">
    <w:name w:val="footer"/>
    <w:basedOn w:val="Normal"/>
    <w:link w:val="FooterChar"/>
    <w:uiPriority w:val="99"/>
    <w:rsid w:val="00BB2E5B"/>
    <w:pPr>
      <w:tabs>
        <w:tab w:val="center" w:pos="4680"/>
        <w:tab w:val="right" w:pos="9360"/>
      </w:tabs>
    </w:pPr>
  </w:style>
  <w:style w:type="character" w:customStyle="1" w:styleId="FooterChar">
    <w:name w:val="Footer Char"/>
    <w:basedOn w:val="DefaultParagraphFont"/>
    <w:link w:val="Footer"/>
    <w:uiPriority w:val="99"/>
    <w:rsid w:val="00BB2E5B"/>
    <w:rPr>
      <w:sz w:val="24"/>
      <w:szCs w:val="24"/>
      <w:lang w:eastAsia="ko-KR"/>
    </w:rPr>
  </w:style>
  <w:style w:type="table" w:customStyle="1" w:styleId="TableGrid1">
    <w:name w:val="Table Grid1"/>
    <w:basedOn w:val="TableNormal"/>
    <w:next w:val="TableGrid"/>
    <w:uiPriority w:val="59"/>
    <w:rsid w:val="00262F4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01CB3"/>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A05B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0281">
      <w:bodyDiv w:val="1"/>
      <w:marLeft w:val="0"/>
      <w:marRight w:val="0"/>
      <w:marTop w:val="0"/>
      <w:marBottom w:val="0"/>
      <w:divBdr>
        <w:top w:val="none" w:sz="0" w:space="0" w:color="auto"/>
        <w:left w:val="none" w:sz="0" w:space="0" w:color="auto"/>
        <w:bottom w:val="none" w:sz="0" w:space="0" w:color="auto"/>
        <w:right w:val="none" w:sz="0" w:space="0" w:color="auto"/>
      </w:divBdr>
    </w:div>
    <w:div w:id="365640812">
      <w:bodyDiv w:val="1"/>
      <w:marLeft w:val="0"/>
      <w:marRight w:val="0"/>
      <w:marTop w:val="0"/>
      <w:marBottom w:val="0"/>
      <w:divBdr>
        <w:top w:val="none" w:sz="0" w:space="0" w:color="auto"/>
        <w:left w:val="none" w:sz="0" w:space="0" w:color="auto"/>
        <w:bottom w:val="none" w:sz="0" w:space="0" w:color="auto"/>
        <w:right w:val="none" w:sz="0" w:space="0" w:color="auto"/>
      </w:divBdr>
    </w:div>
    <w:div w:id="420103863">
      <w:bodyDiv w:val="1"/>
      <w:marLeft w:val="0"/>
      <w:marRight w:val="0"/>
      <w:marTop w:val="0"/>
      <w:marBottom w:val="0"/>
      <w:divBdr>
        <w:top w:val="none" w:sz="0" w:space="0" w:color="auto"/>
        <w:left w:val="none" w:sz="0" w:space="0" w:color="auto"/>
        <w:bottom w:val="none" w:sz="0" w:space="0" w:color="auto"/>
        <w:right w:val="none" w:sz="0" w:space="0" w:color="auto"/>
      </w:divBdr>
    </w:div>
    <w:div w:id="833447337">
      <w:bodyDiv w:val="1"/>
      <w:marLeft w:val="0"/>
      <w:marRight w:val="0"/>
      <w:marTop w:val="0"/>
      <w:marBottom w:val="0"/>
      <w:divBdr>
        <w:top w:val="none" w:sz="0" w:space="0" w:color="auto"/>
        <w:left w:val="none" w:sz="0" w:space="0" w:color="auto"/>
        <w:bottom w:val="none" w:sz="0" w:space="0" w:color="auto"/>
        <w:right w:val="none" w:sz="0" w:space="0" w:color="auto"/>
      </w:divBdr>
    </w:div>
    <w:div w:id="1332021979">
      <w:bodyDiv w:val="1"/>
      <w:marLeft w:val="0"/>
      <w:marRight w:val="0"/>
      <w:marTop w:val="0"/>
      <w:marBottom w:val="0"/>
      <w:divBdr>
        <w:top w:val="none" w:sz="0" w:space="0" w:color="auto"/>
        <w:left w:val="none" w:sz="0" w:space="0" w:color="auto"/>
        <w:bottom w:val="none" w:sz="0" w:space="0" w:color="auto"/>
        <w:right w:val="none" w:sz="0" w:space="0" w:color="auto"/>
      </w:divBdr>
    </w:div>
    <w:div w:id="13641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6C5C-6799-4C41-B648-89EB1DF5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Course Embedded Assessment Results for Goal 2 and , 2006-2007</vt:lpstr>
    </vt:vector>
  </TitlesOfParts>
  <Company>Texas State University-San Marcos</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Embedded Assessment Results for Goal 2 and , 2006-2007</dc:title>
  <dc:creator>Texas State User</dc:creator>
  <cp:lastModifiedBy>Lane, Letitia L</cp:lastModifiedBy>
  <cp:revision>2</cp:revision>
  <cp:lastPrinted>2016-08-27T15:46:00Z</cp:lastPrinted>
  <dcterms:created xsi:type="dcterms:W3CDTF">2020-10-29T15:34:00Z</dcterms:created>
  <dcterms:modified xsi:type="dcterms:W3CDTF">2020-10-29T15:34:00Z</dcterms:modified>
</cp:coreProperties>
</file>