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8DBB6" w14:textId="77777777" w:rsidR="000B0E4F" w:rsidRPr="006668DF" w:rsidRDefault="000B0E4F" w:rsidP="000B0E4F">
      <w:pPr>
        <w:pStyle w:val="BodyText"/>
        <w:tabs>
          <w:tab w:val="left" w:pos="5580"/>
        </w:tabs>
        <w:ind w:left="0" w:right="90"/>
        <w:rPr>
          <w:rFonts w:asciiTheme="minorHAnsi" w:hAnsiTheme="minorHAnsi" w:cstheme="minorHAnsi"/>
          <w:sz w:val="28"/>
          <w:szCs w:val="28"/>
        </w:rPr>
      </w:pPr>
      <w:r w:rsidRPr="006668DF">
        <w:rPr>
          <w:rFonts w:asciiTheme="minorHAnsi" w:hAnsiTheme="minorHAnsi" w:cstheme="minorHAnsi"/>
          <w:b/>
          <w:bCs/>
          <w:sz w:val="28"/>
          <w:szCs w:val="28"/>
        </w:rPr>
        <w:t>ADA Standards</w:t>
      </w:r>
      <w:r w:rsidRPr="006668DF">
        <w:rPr>
          <w:rFonts w:asciiTheme="minorHAnsi" w:hAnsiTheme="minorHAnsi" w:cstheme="minorHAnsi"/>
          <w:sz w:val="28"/>
          <w:szCs w:val="28"/>
        </w:rPr>
        <w:tab/>
        <w:t>CLS PPS 08.01.02</w:t>
      </w:r>
    </w:p>
    <w:p w14:paraId="3B718479" w14:textId="77777777" w:rsidR="000B0E4F" w:rsidRPr="006668DF" w:rsidRDefault="000B0E4F" w:rsidP="000B0E4F">
      <w:pPr>
        <w:pStyle w:val="BodyText"/>
        <w:tabs>
          <w:tab w:val="left" w:pos="5580"/>
        </w:tabs>
        <w:ind w:left="0" w:right="90"/>
        <w:rPr>
          <w:rFonts w:asciiTheme="minorHAnsi" w:hAnsiTheme="minorHAnsi" w:cstheme="minorHAnsi"/>
          <w:sz w:val="28"/>
          <w:szCs w:val="28"/>
        </w:rPr>
      </w:pPr>
      <w:r w:rsidRPr="006668DF">
        <w:rPr>
          <w:rFonts w:asciiTheme="minorHAnsi" w:hAnsiTheme="minorHAnsi" w:cstheme="minorHAnsi"/>
          <w:sz w:val="28"/>
          <w:szCs w:val="28"/>
        </w:rPr>
        <w:tab/>
        <w:t>Effective Date: 5/1/2022</w:t>
      </w:r>
    </w:p>
    <w:p w14:paraId="0CF3E802" w14:textId="77777777" w:rsidR="000B0E4F" w:rsidRPr="006668DF" w:rsidRDefault="000B0E4F" w:rsidP="000B0E4F">
      <w:pPr>
        <w:pStyle w:val="BodyText"/>
        <w:tabs>
          <w:tab w:val="left" w:pos="5580"/>
        </w:tabs>
        <w:ind w:left="0" w:right="90"/>
        <w:rPr>
          <w:rFonts w:asciiTheme="minorHAnsi" w:hAnsiTheme="minorHAnsi" w:cstheme="minorHAnsi"/>
          <w:sz w:val="28"/>
          <w:szCs w:val="28"/>
        </w:rPr>
      </w:pPr>
      <w:r w:rsidRPr="006668DF">
        <w:rPr>
          <w:rFonts w:asciiTheme="minorHAnsi" w:hAnsiTheme="minorHAnsi" w:cstheme="minorHAnsi"/>
          <w:sz w:val="28"/>
          <w:szCs w:val="28"/>
        </w:rPr>
        <w:tab/>
        <w:t>Review Date:</w:t>
      </w:r>
      <w:r w:rsidRPr="006668DF">
        <w:rPr>
          <w:rFonts w:asciiTheme="minorHAnsi" w:hAnsiTheme="minorHAnsi" w:cstheme="minorHAnsi"/>
          <w:spacing w:val="-1"/>
          <w:sz w:val="28"/>
          <w:szCs w:val="28"/>
        </w:rPr>
        <w:t xml:space="preserve"> </w:t>
      </w:r>
      <w:r w:rsidRPr="006668DF">
        <w:rPr>
          <w:rFonts w:asciiTheme="minorHAnsi" w:hAnsiTheme="minorHAnsi" w:cstheme="minorHAnsi"/>
          <w:sz w:val="28"/>
          <w:szCs w:val="28"/>
        </w:rPr>
        <w:t>04//02/2022</w:t>
      </w:r>
      <w:r w:rsidRPr="006668DF">
        <w:rPr>
          <w:rFonts w:asciiTheme="minorHAnsi" w:hAnsiTheme="minorHAnsi" w:cstheme="minorHAnsi"/>
          <w:sz w:val="28"/>
          <w:szCs w:val="28"/>
        </w:rPr>
        <w:tab/>
      </w:r>
    </w:p>
    <w:p w14:paraId="0418443C" w14:textId="77777777" w:rsidR="000B0E4F" w:rsidRPr="006668DF" w:rsidRDefault="000B0E4F" w:rsidP="000B0E4F">
      <w:pPr>
        <w:pStyle w:val="BodyText"/>
        <w:tabs>
          <w:tab w:val="left" w:pos="5580"/>
        </w:tabs>
        <w:ind w:left="0" w:right="90"/>
        <w:rPr>
          <w:rFonts w:asciiTheme="minorHAnsi" w:hAnsiTheme="minorHAnsi" w:cstheme="minorHAnsi"/>
          <w:sz w:val="28"/>
          <w:szCs w:val="28"/>
        </w:rPr>
      </w:pPr>
      <w:r w:rsidRPr="006668DF">
        <w:rPr>
          <w:rFonts w:asciiTheme="minorHAnsi" w:hAnsiTheme="minorHAnsi" w:cstheme="minorHAnsi"/>
          <w:sz w:val="28"/>
          <w:szCs w:val="28"/>
        </w:rPr>
        <w:tab/>
        <w:t>Next Review Date: 4/2/2027 (E5Y)</w:t>
      </w:r>
    </w:p>
    <w:p w14:paraId="31FE6B6B" w14:textId="77777777" w:rsidR="000B0E4F" w:rsidRPr="006668DF" w:rsidRDefault="000B0E4F" w:rsidP="000B0E4F">
      <w:pPr>
        <w:pStyle w:val="BodyText"/>
        <w:tabs>
          <w:tab w:val="left" w:pos="5580"/>
        </w:tabs>
        <w:ind w:left="0" w:right="90"/>
        <w:rPr>
          <w:rFonts w:asciiTheme="minorHAnsi" w:hAnsiTheme="minorHAnsi" w:cstheme="minorHAnsi"/>
          <w:sz w:val="28"/>
          <w:szCs w:val="28"/>
        </w:rPr>
      </w:pPr>
      <w:r w:rsidRPr="006668DF">
        <w:rPr>
          <w:rFonts w:asciiTheme="minorHAnsi" w:hAnsiTheme="minorHAnsi" w:cstheme="minorHAnsi"/>
          <w:sz w:val="28"/>
          <w:szCs w:val="28"/>
        </w:rPr>
        <w:tab/>
        <w:t>Sr. Reviewer: CLS Chair</w:t>
      </w:r>
    </w:p>
    <w:p w14:paraId="086BB580" w14:textId="77777777" w:rsidR="000B0E4F" w:rsidRPr="006668DF" w:rsidRDefault="000B0E4F" w:rsidP="000B0E4F">
      <w:pPr>
        <w:pStyle w:val="BodyText"/>
        <w:spacing w:before="8"/>
        <w:ind w:left="0" w:right="90"/>
        <w:rPr>
          <w:rFonts w:asciiTheme="minorHAnsi" w:hAnsiTheme="minorHAnsi" w:cstheme="minorHAnsi"/>
          <w:sz w:val="28"/>
          <w:szCs w:val="28"/>
        </w:rPr>
      </w:pPr>
    </w:p>
    <w:p w14:paraId="271EA9DF" w14:textId="77777777" w:rsidR="000B0E4F" w:rsidRPr="006668DF" w:rsidRDefault="000B0E4F" w:rsidP="000B0E4F">
      <w:pPr>
        <w:pStyle w:val="Heading1"/>
        <w:spacing w:after="120"/>
        <w:ind w:left="630" w:right="90" w:hanging="540"/>
        <w:jc w:val="left"/>
        <w:rPr>
          <w:rFonts w:asciiTheme="minorHAnsi" w:hAnsiTheme="minorHAnsi" w:cstheme="minorHAnsi"/>
          <w:b w:val="0"/>
          <w:bCs w:val="0"/>
          <w:sz w:val="28"/>
          <w:szCs w:val="28"/>
          <w:u w:val="none"/>
        </w:rPr>
      </w:pPr>
      <w:r w:rsidRPr="006668DF">
        <w:rPr>
          <w:rFonts w:asciiTheme="minorHAnsi" w:hAnsiTheme="minorHAnsi" w:cstheme="minorHAnsi"/>
          <w:sz w:val="28"/>
          <w:szCs w:val="28"/>
          <w:u w:val="none"/>
        </w:rPr>
        <w:t>01.</w:t>
      </w:r>
      <w:r w:rsidRPr="006668DF">
        <w:rPr>
          <w:rFonts w:asciiTheme="minorHAnsi" w:hAnsiTheme="minorHAnsi" w:cstheme="minorHAnsi"/>
          <w:sz w:val="28"/>
          <w:szCs w:val="28"/>
          <w:u w:val="none"/>
        </w:rPr>
        <w:tab/>
        <w:t xml:space="preserve">Policy Statement: </w:t>
      </w:r>
      <w:r w:rsidRPr="006668DF">
        <w:rPr>
          <w:rFonts w:asciiTheme="minorHAnsi" w:hAnsiTheme="minorHAnsi" w:cstheme="minorHAnsi"/>
          <w:b w:val="0"/>
          <w:bCs w:val="0"/>
          <w:sz w:val="28"/>
          <w:szCs w:val="28"/>
          <w:u w:val="none"/>
        </w:rPr>
        <w:t xml:space="preserve">It is the policy of the CLS Program (CLS) to promote an environment of respect and support for persons with disabilities and will make reasonable accommodations. </w:t>
      </w:r>
      <w:hyperlink r:id="rId4" w:history="1">
        <w:r w:rsidRPr="006668DF">
          <w:rPr>
            <w:rStyle w:val="Hyperlink"/>
            <w:rFonts w:asciiTheme="minorHAnsi" w:hAnsiTheme="minorHAnsi" w:cstheme="minorHAnsi"/>
            <w:b w:val="0"/>
            <w:bCs w:val="0"/>
            <w:sz w:val="28"/>
            <w:szCs w:val="28"/>
            <w:u w:val="none"/>
          </w:rPr>
          <w:t xml:space="preserve">AA/PPS No. 08.01.02 (2.08) Accessibility for Students with Disabilities to Classroom Instructions </w:t>
        </w:r>
      </w:hyperlink>
    </w:p>
    <w:p w14:paraId="5E679698" w14:textId="77777777" w:rsidR="000B0E4F" w:rsidRPr="006668DF" w:rsidRDefault="000B0E4F" w:rsidP="000B0E4F">
      <w:pPr>
        <w:pStyle w:val="Heading1"/>
        <w:spacing w:after="120"/>
        <w:ind w:left="630" w:right="90" w:hanging="540"/>
        <w:jc w:val="left"/>
        <w:rPr>
          <w:rFonts w:asciiTheme="minorHAnsi" w:hAnsiTheme="minorHAnsi" w:cstheme="minorHAnsi"/>
          <w:sz w:val="28"/>
          <w:szCs w:val="28"/>
          <w:u w:val="none"/>
        </w:rPr>
      </w:pPr>
      <w:r w:rsidRPr="006668DF">
        <w:rPr>
          <w:rFonts w:asciiTheme="minorHAnsi" w:hAnsiTheme="minorHAnsi" w:cstheme="minorHAnsi"/>
          <w:sz w:val="28"/>
          <w:szCs w:val="28"/>
          <w:u w:val="none"/>
        </w:rPr>
        <w:t xml:space="preserve">02.   Definitions:  </w:t>
      </w:r>
      <w:r w:rsidRPr="006668DF">
        <w:rPr>
          <w:rFonts w:asciiTheme="minorHAnsi" w:hAnsiTheme="minorHAnsi" w:cstheme="minorHAnsi"/>
          <w:b w:val="0"/>
          <w:bCs w:val="0"/>
          <w:sz w:val="28"/>
          <w:szCs w:val="28"/>
          <w:u w:val="none"/>
        </w:rPr>
        <w:t>Student with a Disability – any student whose disability, as verified through the Office of Disability Services (ODS), prevents access to a classroom or classroom instruction. This includes students with hearing or mobility impairments and students with functional limitations resulting from a chronic health condition.</w:t>
      </w:r>
    </w:p>
    <w:p w14:paraId="4709231B" w14:textId="77777777" w:rsidR="000B0E4F" w:rsidRPr="006668DF" w:rsidRDefault="000B0E4F" w:rsidP="000B0E4F">
      <w:pPr>
        <w:pStyle w:val="Heading1"/>
        <w:spacing w:after="120"/>
        <w:ind w:left="630" w:right="90" w:hanging="450"/>
        <w:jc w:val="left"/>
        <w:rPr>
          <w:rFonts w:asciiTheme="minorHAnsi" w:hAnsiTheme="minorHAnsi" w:cstheme="minorHAnsi"/>
          <w:sz w:val="28"/>
          <w:szCs w:val="28"/>
          <w:u w:val="none"/>
        </w:rPr>
      </w:pPr>
      <w:r w:rsidRPr="006668DF">
        <w:rPr>
          <w:rFonts w:asciiTheme="minorHAnsi" w:hAnsiTheme="minorHAnsi" w:cstheme="minorHAnsi"/>
          <w:sz w:val="28"/>
          <w:szCs w:val="28"/>
          <w:u w:val="none"/>
        </w:rPr>
        <w:t xml:space="preserve">03.  Practice:  </w:t>
      </w:r>
      <w:r w:rsidRPr="006668DF">
        <w:rPr>
          <w:rFonts w:asciiTheme="minorHAnsi" w:hAnsiTheme="minorHAnsi" w:cstheme="minorHAnsi"/>
          <w:b w:val="0"/>
          <w:bCs w:val="0"/>
          <w:sz w:val="28"/>
          <w:szCs w:val="28"/>
          <w:u w:val="none"/>
        </w:rPr>
        <w:t xml:space="preserve">Individuals applying for admission, progression to clinical courses and graduation from the program in Clinical Laboratory Science must </w:t>
      </w:r>
      <w:r>
        <w:rPr>
          <w:rFonts w:asciiTheme="minorHAnsi" w:hAnsiTheme="minorHAnsi" w:cstheme="minorHAnsi"/>
          <w:b w:val="0"/>
          <w:bCs w:val="0"/>
          <w:sz w:val="28"/>
          <w:szCs w:val="28"/>
          <w:u w:val="none"/>
        </w:rPr>
        <w:t>b</w:t>
      </w:r>
      <w:r w:rsidRPr="006668DF">
        <w:rPr>
          <w:rFonts w:asciiTheme="minorHAnsi" w:hAnsiTheme="minorHAnsi" w:cstheme="minorHAnsi"/>
          <w:b w:val="0"/>
          <w:bCs w:val="0"/>
          <w:sz w:val="28"/>
          <w:szCs w:val="28"/>
          <w:u w:val="none"/>
        </w:rPr>
        <w:t>e able to meet the physical and emotional requirements of the academic program.</w:t>
      </w:r>
    </w:p>
    <w:p w14:paraId="44948D23" w14:textId="77777777" w:rsidR="000B0E4F" w:rsidRPr="006668DF" w:rsidRDefault="000B0E4F" w:rsidP="000B0E4F">
      <w:pPr>
        <w:spacing w:after="120"/>
        <w:ind w:left="1530" w:right="90" w:hanging="900"/>
        <w:rPr>
          <w:rFonts w:asciiTheme="minorHAnsi" w:hAnsiTheme="minorHAnsi" w:cstheme="minorHAnsi"/>
          <w:sz w:val="28"/>
          <w:szCs w:val="28"/>
        </w:rPr>
      </w:pPr>
      <w:r w:rsidRPr="006668DF">
        <w:rPr>
          <w:rFonts w:asciiTheme="minorHAnsi" w:hAnsiTheme="minorHAnsi" w:cstheme="minorHAnsi"/>
          <w:sz w:val="28"/>
          <w:szCs w:val="28"/>
        </w:rPr>
        <w:t xml:space="preserve">03.01    Students admitted to the Clinical Laboratory Science Program just possess the following qualities:  </w:t>
      </w:r>
    </w:p>
    <w:p w14:paraId="11F758C0" w14:textId="77777777" w:rsidR="000B0E4F" w:rsidRPr="006668DF" w:rsidRDefault="000B0E4F" w:rsidP="000B0E4F">
      <w:pPr>
        <w:pStyle w:val="BodyText"/>
        <w:ind w:left="1890" w:right="90" w:hanging="364"/>
        <w:rPr>
          <w:rFonts w:asciiTheme="minorHAnsi" w:eastAsia="Times New Roman" w:hAnsiTheme="minorHAnsi" w:cstheme="minorHAnsi"/>
          <w:sz w:val="28"/>
          <w:szCs w:val="28"/>
        </w:rPr>
      </w:pPr>
      <w:r w:rsidRPr="006668DF">
        <w:rPr>
          <w:rFonts w:asciiTheme="minorHAnsi" w:eastAsia="Times New Roman" w:hAnsiTheme="minorHAnsi" w:cstheme="minorHAnsi"/>
          <w:sz w:val="28"/>
          <w:szCs w:val="28"/>
        </w:rPr>
        <w:t>a.  The ability to provide effective written, oral, nonverbal communication with patients, colleagues, health care providers, administrators, and the public,</w:t>
      </w:r>
    </w:p>
    <w:p w14:paraId="591479D7" w14:textId="77777777" w:rsidR="000B0E4F" w:rsidRPr="006668DF" w:rsidRDefault="000B0E4F" w:rsidP="000B0E4F">
      <w:pPr>
        <w:pStyle w:val="BodyText"/>
        <w:ind w:left="1890" w:right="90" w:hanging="364"/>
        <w:rPr>
          <w:rFonts w:asciiTheme="minorHAnsi" w:eastAsia="Times New Roman" w:hAnsiTheme="minorHAnsi" w:cstheme="minorHAnsi"/>
          <w:sz w:val="28"/>
          <w:szCs w:val="28"/>
        </w:rPr>
      </w:pPr>
      <w:r w:rsidRPr="006668DF">
        <w:rPr>
          <w:rFonts w:asciiTheme="minorHAnsi" w:eastAsia="Times New Roman" w:hAnsiTheme="minorHAnsi" w:cstheme="minorHAnsi"/>
          <w:sz w:val="28"/>
          <w:szCs w:val="28"/>
        </w:rPr>
        <w:t>b.  The ability to successfully and professionally complete all requirements needed to receive MLS (ASCP) certification as defined by the American Society for Clinical Pathology Board of Certification (ASCP BOC),</w:t>
      </w:r>
    </w:p>
    <w:p w14:paraId="019320E0" w14:textId="77777777" w:rsidR="000B0E4F" w:rsidRPr="006668DF" w:rsidRDefault="000B0E4F" w:rsidP="000B0E4F">
      <w:pPr>
        <w:pStyle w:val="BodyText"/>
        <w:ind w:left="1890" w:right="90" w:hanging="364"/>
        <w:rPr>
          <w:rFonts w:asciiTheme="minorHAnsi" w:eastAsia="Times New Roman" w:hAnsiTheme="minorHAnsi" w:cstheme="minorHAnsi"/>
          <w:sz w:val="28"/>
          <w:szCs w:val="28"/>
        </w:rPr>
      </w:pPr>
      <w:r w:rsidRPr="006668DF">
        <w:rPr>
          <w:rFonts w:asciiTheme="minorHAnsi" w:eastAsia="Times New Roman" w:hAnsiTheme="minorHAnsi" w:cstheme="minorHAnsi"/>
          <w:sz w:val="28"/>
          <w:szCs w:val="28"/>
        </w:rPr>
        <w:t>c.  The ability to perform standard medical laboratory procedures, including handling all types of bodily specimens and the collection of blood via phlebotomy, in a professional manner.</w:t>
      </w:r>
    </w:p>
    <w:p w14:paraId="0460D6D8" w14:textId="77777777" w:rsidR="000B0E4F" w:rsidRPr="006668DF" w:rsidRDefault="000B0E4F" w:rsidP="000B0E4F">
      <w:pPr>
        <w:pStyle w:val="BodyText"/>
        <w:ind w:left="1526" w:right="90"/>
        <w:rPr>
          <w:rFonts w:asciiTheme="minorHAnsi" w:eastAsia="Times New Roman" w:hAnsiTheme="minorHAnsi" w:cstheme="minorHAnsi"/>
          <w:sz w:val="28"/>
          <w:szCs w:val="28"/>
        </w:rPr>
      </w:pPr>
    </w:p>
    <w:p w14:paraId="121EC90E" w14:textId="77777777" w:rsidR="000B0E4F" w:rsidRPr="006668DF" w:rsidRDefault="000B0E4F" w:rsidP="000B0E4F">
      <w:pPr>
        <w:spacing w:after="120"/>
        <w:ind w:left="1440" w:right="90" w:hanging="720"/>
        <w:rPr>
          <w:rFonts w:asciiTheme="minorHAnsi" w:hAnsiTheme="minorHAnsi" w:cstheme="minorHAnsi"/>
          <w:sz w:val="28"/>
          <w:szCs w:val="28"/>
        </w:rPr>
      </w:pPr>
      <w:r w:rsidRPr="006668DF">
        <w:rPr>
          <w:rFonts w:asciiTheme="minorHAnsi" w:hAnsiTheme="minorHAnsi" w:cstheme="minorHAnsi"/>
          <w:sz w:val="28"/>
          <w:szCs w:val="28"/>
        </w:rPr>
        <w:t xml:space="preserve">3.02    An individual who poses a direct threat to the health or safety of others or themselves may be denied admission, progression, or graduation.  The CLS Program’s determination that a person poses a direct threat will be based on an individualized assessment that relies on current medical evidence or on the best available evidence to assess the nature, duration, and severity of the risk and the probability that the potential injury will </w:t>
      </w:r>
      <w:proofErr w:type="gramStart"/>
      <w:r w:rsidRPr="006668DF">
        <w:rPr>
          <w:rFonts w:asciiTheme="minorHAnsi" w:hAnsiTheme="minorHAnsi" w:cstheme="minorHAnsi"/>
          <w:sz w:val="28"/>
          <w:szCs w:val="28"/>
        </w:rPr>
        <w:t>actually occur</w:t>
      </w:r>
      <w:proofErr w:type="gramEnd"/>
      <w:r w:rsidRPr="006668DF">
        <w:rPr>
          <w:rFonts w:asciiTheme="minorHAnsi" w:hAnsiTheme="minorHAnsi" w:cstheme="minorHAnsi"/>
          <w:sz w:val="28"/>
          <w:szCs w:val="28"/>
        </w:rPr>
        <w:t>.</w:t>
      </w:r>
    </w:p>
    <w:p w14:paraId="552199D1" w14:textId="77777777" w:rsidR="000B0E4F" w:rsidRPr="006668DF" w:rsidRDefault="000B0E4F" w:rsidP="000B0E4F">
      <w:pPr>
        <w:spacing w:after="120"/>
        <w:ind w:left="1440" w:right="90" w:hanging="720"/>
        <w:rPr>
          <w:rFonts w:asciiTheme="minorHAnsi" w:hAnsiTheme="minorHAnsi" w:cstheme="minorHAnsi"/>
          <w:sz w:val="28"/>
          <w:szCs w:val="28"/>
        </w:rPr>
      </w:pPr>
      <w:r w:rsidRPr="006668DF">
        <w:rPr>
          <w:rFonts w:asciiTheme="minorHAnsi" w:hAnsiTheme="minorHAnsi" w:cstheme="minorHAnsi"/>
          <w:sz w:val="28"/>
          <w:szCs w:val="28"/>
        </w:rPr>
        <w:t xml:space="preserve">3.03    In order to fulfill the requirements of the CLS Program, students must </w:t>
      </w:r>
      <w:r w:rsidRPr="006668DF">
        <w:rPr>
          <w:rFonts w:asciiTheme="minorHAnsi" w:hAnsiTheme="minorHAnsi" w:cstheme="minorHAnsi"/>
          <w:sz w:val="28"/>
          <w:szCs w:val="28"/>
        </w:rPr>
        <w:lastRenderedPageBreak/>
        <w:t>be able to meet the physical demands associated with the profession. Examples of these requirements include but are not limited to the following:</w:t>
      </w:r>
    </w:p>
    <w:p w14:paraId="0516C437" w14:textId="77777777" w:rsidR="000B0E4F" w:rsidRPr="006668DF" w:rsidRDefault="000B0E4F" w:rsidP="000B0E4F">
      <w:pPr>
        <w:spacing w:after="120"/>
        <w:ind w:left="1530" w:right="90"/>
        <w:rPr>
          <w:rFonts w:asciiTheme="minorHAnsi" w:hAnsiTheme="minorHAnsi" w:cstheme="minorHAnsi"/>
          <w:sz w:val="28"/>
          <w:szCs w:val="28"/>
        </w:rPr>
      </w:pPr>
      <w:r w:rsidRPr="006668DF">
        <w:rPr>
          <w:rFonts w:asciiTheme="minorHAnsi" w:hAnsiTheme="minorHAnsi" w:cstheme="minorHAnsi"/>
          <w:sz w:val="28"/>
          <w:szCs w:val="28"/>
        </w:rPr>
        <w:t>a.   Standing, walking, and sitting:</w:t>
      </w:r>
    </w:p>
    <w:p w14:paraId="55722AED" w14:textId="77777777" w:rsidR="000B0E4F" w:rsidRPr="006668DF" w:rsidRDefault="000B0E4F" w:rsidP="000B0E4F">
      <w:pPr>
        <w:tabs>
          <w:tab w:val="left" w:pos="2340"/>
          <w:tab w:val="left" w:pos="3240"/>
        </w:tabs>
        <w:spacing w:after="120"/>
        <w:ind w:left="2340" w:right="90" w:hanging="360"/>
        <w:rPr>
          <w:rFonts w:asciiTheme="minorHAnsi" w:hAnsiTheme="minorHAnsi" w:cstheme="minorHAnsi"/>
          <w:sz w:val="28"/>
          <w:szCs w:val="28"/>
        </w:rPr>
      </w:pPr>
      <w:r w:rsidRPr="006668DF">
        <w:rPr>
          <w:rFonts w:asciiTheme="minorHAnsi" w:hAnsiTheme="minorHAnsi" w:cstheme="minorHAnsi"/>
          <w:sz w:val="28"/>
          <w:szCs w:val="28"/>
        </w:rPr>
        <w:t>1.   Moderately taxing continuous physical work, often requiring prolonged sitting or standing, over several hours.</w:t>
      </w:r>
    </w:p>
    <w:p w14:paraId="17E5A1BD" w14:textId="77777777" w:rsidR="000B0E4F" w:rsidRPr="006668DF" w:rsidRDefault="000B0E4F" w:rsidP="000B0E4F">
      <w:pPr>
        <w:spacing w:after="120"/>
        <w:ind w:left="1530" w:right="90"/>
        <w:rPr>
          <w:rFonts w:asciiTheme="minorHAnsi" w:hAnsiTheme="minorHAnsi" w:cstheme="minorHAnsi"/>
          <w:sz w:val="28"/>
          <w:szCs w:val="28"/>
        </w:rPr>
      </w:pPr>
      <w:r w:rsidRPr="006668DF">
        <w:rPr>
          <w:rFonts w:asciiTheme="minorHAnsi" w:hAnsiTheme="minorHAnsi" w:cstheme="minorHAnsi"/>
          <w:sz w:val="28"/>
          <w:szCs w:val="28"/>
        </w:rPr>
        <w:t>b.   Seeing and smelling:</w:t>
      </w:r>
    </w:p>
    <w:p w14:paraId="0D7C9F3C" w14:textId="77777777" w:rsidR="000B0E4F" w:rsidRPr="006668DF" w:rsidRDefault="000B0E4F" w:rsidP="000B0E4F">
      <w:pPr>
        <w:tabs>
          <w:tab w:val="left" w:pos="2160"/>
        </w:tabs>
        <w:spacing w:after="120"/>
        <w:ind w:left="2340" w:right="90" w:hanging="450"/>
        <w:rPr>
          <w:rFonts w:asciiTheme="minorHAnsi" w:hAnsiTheme="minorHAnsi" w:cstheme="minorHAnsi"/>
          <w:sz w:val="28"/>
          <w:szCs w:val="28"/>
        </w:rPr>
      </w:pPr>
      <w:r w:rsidRPr="006668DF">
        <w:rPr>
          <w:rFonts w:asciiTheme="minorHAnsi" w:hAnsiTheme="minorHAnsi" w:cstheme="minorHAnsi"/>
          <w:sz w:val="28"/>
          <w:szCs w:val="28"/>
        </w:rPr>
        <w:t>1.   Characterize the color, odor, clarity, and viscosity of biological, reagents, or chemical reaction products.</w:t>
      </w:r>
    </w:p>
    <w:p w14:paraId="00F57C25" w14:textId="77777777" w:rsidR="000B0E4F" w:rsidRPr="006668DF" w:rsidRDefault="000B0E4F" w:rsidP="000B0E4F">
      <w:pPr>
        <w:tabs>
          <w:tab w:val="left" w:pos="2160"/>
        </w:tabs>
        <w:spacing w:after="120"/>
        <w:ind w:left="2340" w:right="90" w:hanging="450"/>
        <w:rPr>
          <w:rFonts w:asciiTheme="minorHAnsi" w:hAnsiTheme="minorHAnsi" w:cstheme="minorHAnsi"/>
          <w:sz w:val="28"/>
          <w:szCs w:val="28"/>
        </w:rPr>
      </w:pPr>
      <w:r w:rsidRPr="006668DF">
        <w:rPr>
          <w:rFonts w:asciiTheme="minorHAnsi" w:hAnsiTheme="minorHAnsi" w:cstheme="minorHAnsi"/>
          <w:sz w:val="28"/>
          <w:szCs w:val="28"/>
        </w:rPr>
        <w:t>2.   Employ a clinical grade binocular microscope to discriminate among the structural and color (hue, shading, and intensity) differences of microscopic specimens.</w:t>
      </w:r>
    </w:p>
    <w:p w14:paraId="64A84585" w14:textId="77777777" w:rsidR="000B0E4F" w:rsidRPr="006668DF" w:rsidRDefault="000B0E4F" w:rsidP="000B0E4F">
      <w:pPr>
        <w:tabs>
          <w:tab w:val="left" w:pos="2160"/>
        </w:tabs>
        <w:spacing w:after="120"/>
        <w:ind w:left="1530" w:right="90"/>
        <w:rPr>
          <w:rFonts w:asciiTheme="minorHAnsi" w:hAnsiTheme="minorHAnsi" w:cstheme="minorHAnsi"/>
          <w:sz w:val="28"/>
          <w:szCs w:val="28"/>
        </w:rPr>
      </w:pPr>
      <w:r w:rsidRPr="006668DF">
        <w:rPr>
          <w:rFonts w:asciiTheme="minorHAnsi" w:hAnsiTheme="minorHAnsi" w:cstheme="minorHAnsi"/>
          <w:sz w:val="28"/>
          <w:szCs w:val="28"/>
        </w:rPr>
        <w:t>c.   Arm and hand mobility:</w:t>
      </w:r>
    </w:p>
    <w:p w14:paraId="267FF45C" w14:textId="77777777" w:rsidR="000B0E4F" w:rsidRPr="006668DF" w:rsidRDefault="000B0E4F" w:rsidP="000B0E4F">
      <w:pPr>
        <w:tabs>
          <w:tab w:val="left" w:pos="2160"/>
        </w:tabs>
        <w:spacing w:after="120"/>
        <w:ind w:left="2340" w:right="90" w:hanging="450"/>
        <w:rPr>
          <w:rFonts w:asciiTheme="minorHAnsi" w:hAnsiTheme="minorHAnsi" w:cstheme="minorHAnsi"/>
          <w:sz w:val="28"/>
          <w:szCs w:val="28"/>
        </w:rPr>
      </w:pPr>
      <w:r w:rsidRPr="006668DF">
        <w:rPr>
          <w:rFonts w:asciiTheme="minorHAnsi" w:hAnsiTheme="minorHAnsi" w:cstheme="minorHAnsi"/>
          <w:sz w:val="28"/>
          <w:szCs w:val="28"/>
        </w:rPr>
        <w:t>1.   Control of laboratory equipment (</w:t>
      </w:r>
      <w:proofErr w:type="gramStart"/>
      <w:r w:rsidRPr="006668DF">
        <w:rPr>
          <w:rFonts w:asciiTheme="minorHAnsi" w:hAnsiTheme="minorHAnsi" w:cstheme="minorHAnsi"/>
          <w:sz w:val="28"/>
          <w:szCs w:val="28"/>
        </w:rPr>
        <w:t>i.e.</w:t>
      </w:r>
      <w:proofErr w:type="gramEnd"/>
      <w:r w:rsidRPr="006668DF">
        <w:rPr>
          <w:rFonts w:asciiTheme="minorHAnsi" w:hAnsiTheme="minorHAnsi" w:cstheme="minorHAnsi"/>
          <w:sz w:val="28"/>
          <w:szCs w:val="28"/>
        </w:rPr>
        <w:t xml:space="preserve"> pipettes, inoculating loops, test tubes) and adjustment to instruments and analyzers</w:t>
      </w:r>
    </w:p>
    <w:p w14:paraId="15CE21BA" w14:textId="77777777" w:rsidR="000B0E4F" w:rsidRPr="006668DF" w:rsidRDefault="000B0E4F" w:rsidP="000B0E4F">
      <w:pPr>
        <w:tabs>
          <w:tab w:val="left" w:pos="2160"/>
        </w:tabs>
        <w:spacing w:after="120"/>
        <w:ind w:left="2340" w:right="90" w:hanging="450"/>
        <w:rPr>
          <w:rFonts w:asciiTheme="minorHAnsi" w:hAnsiTheme="minorHAnsi" w:cstheme="minorHAnsi"/>
          <w:sz w:val="28"/>
          <w:szCs w:val="28"/>
        </w:rPr>
      </w:pPr>
      <w:r w:rsidRPr="006668DF">
        <w:rPr>
          <w:rFonts w:asciiTheme="minorHAnsi" w:hAnsiTheme="minorHAnsi" w:cstheme="minorHAnsi"/>
          <w:sz w:val="28"/>
          <w:szCs w:val="28"/>
        </w:rPr>
        <w:t>2.   Reach laboratory bench tops and shelves, patients lying in hospital beds, or patients seated in specimen collection chairs.</w:t>
      </w:r>
    </w:p>
    <w:p w14:paraId="1FF087CE" w14:textId="77777777" w:rsidR="000B0E4F" w:rsidRPr="006668DF" w:rsidRDefault="000B0E4F" w:rsidP="000B0E4F">
      <w:pPr>
        <w:tabs>
          <w:tab w:val="left" w:pos="2160"/>
        </w:tabs>
        <w:spacing w:after="120"/>
        <w:ind w:left="2340" w:right="90" w:hanging="450"/>
        <w:rPr>
          <w:rFonts w:asciiTheme="minorHAnsi" w:hAnsiTheme="minorHAnsi" w:cstheme="minorHAnsi"/>
          <w:sz w:val="28"/>
          <w:szCs w:val="28"/>
        </w:rPr>
      </w:pPr>
      <w:r w:rsidRPr="006668DF">
        <w:rPr>
          <w:rFonts w:asciiTheme="minorHAnsi" w:hAnsiTheme="minorHAnsi" w:cstheme="minorHAnsi"/>
          <w:sz w:val="28"/>
          <w:szCs w:val="28"/>
        </w:rPr>
        <w:t>3.   Use a keyboard to operate laboratory instruments and calculate, record, evaluate and transmit laboratory information.</w:t>
      </w:r>
    </w:p>
    <w:p w14:paraId="6996BC41" w14:textId="77777777" w:rsidR="000B0E4F" w:rsidRPr="006668DF" w:rsidRDefault="000B0E4F" w:rsidP="000B0E4F">
      <w:pPr>
        <w:tabs>
          <w:tab w:val="left" w:pos="2160"/>
        </w:tabs>
        <w:spacing w:after="120"/>
        <w:ind w:left="1530" w:right="90"/>
        <w:rPr>
          <w:rFonts w:asciiTheme="minorHAnsi" w:hAnsiTheme="minorHAnsi" w:cstheme="minorHAnsi"/>
          <w:sz w:val="28"/>
          <w:szCs w:val="28"/>
        </w:rPr>
      </w:pPr>
      <w:r w:rsidRPr="006668DF">
        <w:rPr>
          <w:rFonts w:asciiTheme="minorHAnsi" w:hAnsiTheme="minorHAnsi" w:cstheme="minorHAnsi"/>
          <w:sz w:val="28"/>
          <w:szCs w:val="28"/>
        </w:rPr>
        <w:t>d.   Communicating:</w:t>
      </w:r>
    </w:p>
    <w:p w14:paraId="56C10252" w14:textId="77777777" w:rsidR="000B0E4F" w:rsidRPr="006668DF" w:rsidRDefault="000B0E4F" w:rsidP="000B0E4F">
      <w:pPr>
        <w:tabs>
          <w:tab w:val="left" w:pos="2160"/>
        </w:tabs>
        <w:spacing w:after="120"/>
        <w:ind w:left="2250" w:right="90" w:hanging="360"/>
        <w:rPr>
          <w:rFonts w:asciiTheme="minorHAnsi" w:hAnsiTheme="minorHAnsi" w:cstheme="minorHAnsi"/>
          <w:sz w:val="28"/>
          <w:szCs w:val="28"/>
        </w:rPr>
      </w:pPr>
      <w:r w:rsidRPr="006668DF">
        <w:rPr>
          <w:rFonts w:asciiTheme="minorHAnsi" w:hAnsiTheme="minorHAnsi" w:cstheme="minorHAnsi"/>
          <w:sz w:val="28"/>
          <w:szCs w:val="28"/>
        </w:rPr>
        <w:t>1.   Read and comprehend technical, scientific, and professional materials.</w:t>
      </w:r>
    </w:p>
    <w:p w14:paraId="4582F588" w14:textId="77777777" w:rsidR="000B0E4F" w:rsidRPr="006668DF" w:rsidRDefault="000B0E4F" w:rsidP="000B0E4F">
      <w:pPr>
        <w:tabs>
          <w:tab w:val="left" w:pos="2160"/>
        </w:tabs>
        <w:spacing w:after="120"/>
        <w:ind w:left="2250" w:right="90" w:hanging="360"/>
        <w:rPr>
          <w:rFonts w:asciiTheme="minorHAnsi" w:hAnsiTheme="minorHAnsi" w:cstheme="minorHAnsi"/>
          <w:sz w:val="28"/>
          <w:szCs w:val="28"/>
        </w:rPr>
      </w:pPr>
      <w:r w:rsidRPr="006668DF">
        <w:rPr>
          <w:rFonts w:asciiTheme="minorHAnsi" w:hAnsiTheme="minorHAnsi" w:cstheme="minorHAnsi"/>
          <w:sz w:val="28"/>
          <w:szCs w:val="28"/>
        </w:rPr>
        <w:t>2.   Follow verbal and written instructions.</w:t>
      </w:r>
    </w:p>
    <w:p w14:paraId="4C1231E8" w14:textId="77777777" w:rsidR="000B0E4F" w:rsidRPr="006668DF" w:rsidRDefault="000B0E4F" w:rsidP="000B0E4F">
      <w:pPr>
        <w:tabs>
          <w:tab w:val="left" w:pos="2160"/>
        </w:tabs>
        <w:spacing w:after="120"/>
        <w:ind w:left="2250" w:right="90" w:hanging="360"/>
        <w:rPr>
          <w:rFonts w:asciiTheme="minorHAnsi" w:hAnsiTheme="minorHAnsi" w:cstheme="minorHAnsi"/>
          <w:sz w:val="28"/>
          <w:szCs w:val="28"/>
        </w:rPr>
      </w:pPr>
      <w:r w:rsidRPr="006668DF">
        <w:rPr>
          <w:rFonts w:asciiTheme="minorHAnsi" w:hAnsiTheme="minorHAnsi" w:cstheme="minorHAnsi"/>
          <w:sz w:val="28"/>
          <w:szCs w:val="28"/>
        </w:rPr>
        <w:t>3.   Effectively, confidentially communicate with healthcare professionals, patients, etc. In writing or talking in-person, electronically, or via the telephone.</w:t>
      </w:r>
    </w:p>
    <w:p w14:paraId="71116067" w14:textId="77777777" w:rsidR="000B0E4F" w:rsidRPr="006668DF" w:rsidRDefault="000B0E4F" w:rsidP="000B0E4F">
      <w:pPr>
        <w:tabs>
          <w:tab w:val="left" w:pos="2160"/>
        </w:tabs>
        <w:spacing w:after="120"/>
        <w:ind w:left="1530" w:right="90" w:hanging="810"/>
        <w:rPr>
          <w:rFonts w:asciiTheme="minorHAnsi" w:hAnsiTheme="minorHAnsi" w:cstheme="minorHAnsi"/>
          <w:sz w:val="28"/>
          <w:szCs w:val="28"/>
        </w:rPr>
      </w:pPr>
      <w:r w:rsidRPr="006668DF">
        <w:rPr>
          <w:rFonts w:asciiTheme="minorHAnsi" w:hAnsiTheme="minorHAnsi" w:cstheme="minorHAnsi"/>
          <w:sz w:val="28"/>
          <w:szCs w:val="28"/>
        </w:rPr>
        <w:t>03.04</w:t>
      </w:r>
      <w:r w:rsidRPr="006668DF">
        <w:rPr>
          <w:rFonts w:asciiTheme="minorHAnsi" w:hAnsiTheme="minorHAnsi" w:cstheme="minorHAnsi"/>
          <w:sz w:val="28"/>
          <w:szCs w:val="28"/>
        </w:rPr>
        <w:tab/>
        <w:t>Because of the unique responsibilities involved in all healthcare professions, each department/program reserves the right to require that the student who appears to be unsuited for any program therein withdraw from the program and be guided into another curriculum of study at the college/university.</w:t>
      </w:r>
    </w:p>
    <w:p w14:paraId="60ACE722" w14:textId="77777777" w:rsidR="000B0E4F" w:rsidRDefault="000B0E4F"/>
    <w:sectPr w:rsidR="000B0E4F" w:rsidSect="000B0E4F">
      <w:pgSz w:w="12240" w:h="15840"/>
      <w:pgMar w:top="1354" w:right="1195" w:bottom="274" w:left="132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E4F"/>
    <w:rsid w:val="000B0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EE37A"/>
  <w15:chartTrackingRefBased/>
  <w15:docId w15:val="{580583E4-F422-4238-91FC-4AD7897C7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0E4F"/>
    <w:pPr>
      <w:widowControl w:val="0"/>
      <w:autoSpaceDE w:val="0"/>
      <w:autoSpaceDN w:val="0"/>
      <w:spacing w:after="0" w:line="240" w:lineRule="auto"/>
    </w:pPr>
    <w:rPr>
      <w:rFonts w:ascii="Arial" w:eastAsia="Arial" w:hAnsi="Arial" w:cs="Arial"/>
    </w:rPr>
  </w:style>
  <w:style w:type="paragraph" w:styleId="Heading1">
    <w:name w:val="heading 1"/>
    <w:basedOn w:val="Normal"/>
    <w:link w:val="Heading1Char"/>
    <w:uiPriority w:val="9"/>
    <w:qFormat/>
    <w:rsid w:val="000B0E4F"/>
    <w:pPr>
      <w:ind w:left="4228" w:right="4350"/>
      <w:jc w:val="center"/>
      <w:outlineLvl w:val="0"/>
    </w:pPr>
    <w:rPr>
      <w:b/>
      <w:bCs/>
      <w:sz w:val="20"/>
      <w:szCs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0E4F"/>
    <w:rPr>
      <w:rFonts w:ascii="Arial" w:eastAsia="Arial" w:hAnsi="Arial" w:cs="Arial"/>
      <w:b/>
      <w:bCs/>
      <w:sz w:val="20"/>
      <w:szCs w:val="20"/>
      <w:u w:val="single" w:color="000000"/>
    </w:rPr>
  </w:style>
  <w:style w:type="paragraph" w:styleId="BodyText">
    <w:name w:val="Body Text"/>
    <w:basedOn w:val="Normal"/>
    <w:link w:val="BodyTextChar"/>
    <w:uiPriority w:val="1"/>
    <w:qFormat/>
    <w:rsid w:val="000B0E4F"/>
    <w:pPr>
      <w:ind w:left="1560"/>
    </w:pPr>
    <w:rPr>
      <w:sz w:val="20"/>
      <w:szCs w:val="20"/>
    </w:rPr>
  </w:style>
  <w:style w:type="character" w:customStyle="1" w:styleId="BodyTextChar">
    <w:name w:val="Body Text Char"/>
    <w:basedOn w:val="DefaultParagraphFont"/>
    <w:link w:val="BodyText"/>
    <w:uiPriority w:val="1"/>
    <w:rsid w:val="000B0E4F"/>
    <w:rPr>
      <w:rFonts w:ascii="Arial" w:eastAsia="Arial" w:hAnsi="Arial" w:cs="Arial"/>
      <w:sz w:val="20"/>
      <w:szCs w:val="20"/>
    </w:rPr>
  </w:style>
  <w:style w:type="character" w:styleId="Hyperlink">
    <w:name w:val="Hyperlink"/>
    <w:basedOn w:val="DefaultParagraphFont"/>
    <w:uiPriority w:val="99"/>
    <w:unhideWhenUsed/>
    <w:rsid w:val="000B0E4F"/>
    <w:rPr>
      <w:color w:val="0563C1" w:themeColor="hyperlink"/>
      <w:u w:val="single"/>
    </w:rPr>
  </w:style>
  <w:style w:type="character" w:styleId="FollowedHyperlink">
    <w:name w:val="FollowedHyperlink"/>
    <w:basedOn w:val="DefaultParagraphFont"/>
    <w:uiPriority w:val="99"/>
    <w:semiHidden/>
    <w:unhideWhenUsed/>
    <w:rsid w:val="000B0E4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olicies.txstate.edu/division-policies/academic-affairs/08-01-0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585</Words>
  <Characters>3341</Characters>
  <Application>Microsoft Office Word</Application>
  <DocSecurity>0</DocSecurity>
  <Lines>27</Lines>
  <Paragraphs>7</Paragraphs>
  <ScaleCrop>false</ScaleCrop>
  <Company/>
  <LinksUpToDate>false</LinksUpToDate>
  <CharactersWithSpaces>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Adams, Carmen A</dc:creator>
  <cp:keywords/>
  <dc:description/>
  <cp:lastModifiedBy>Adams, Carmen A</cp:lastModifiedBy>
  <cp:revision>1</cp:revision>
  <dcterms:created xsi:type="dcterms:W3CDTF">2022-09-20T18:56:00Z</dcterms:created>
  <dcterms:modified xsi:type="dcterms:W3CDTF">2022-09-20T19:00:00Z</dcterms:modified>
</cp:coreProperties>
</file>