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6234" w14:textId="6CFB929A" w:rsidR="00D3532D" w:rsidRPr="009A3031" w:rsidRDefault="00D3532D"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b/>
          <w:bCs/>
          <w:sz w:val="28"/>
          <w:szCs w:val="28"/>
        </w:rPr>
        <w:t>Tenure and</w:t>
      </w:r>
      <w:r w:rsidRPr="009A3031">
        <w:rPr>
          <w:rFonts w:asciiTheme="minorHAnsi" w:hAnsiTheme="minorHAnsi" w:cstheme="minorHAnsi"/>
          <w:b/>
          <w:bCs/>
          <w:spacing w:val="-12"/>
          <w:sz w:val="28"/>
          <w:szCs w:val="28"/>
        </w:rPr>
        <w:t xml:space="preserve"> </w:t>
      </w:r>
      <w:r w:rsidRPr="009A3031">
        <w:rPr>
          <w:rFonts w:asciiTheme="minorHAnsi" w:hAnsiTheme="minorHAnsi" w:cstheme="minorHAnsi"/>
          <w:b/>
          <w:bCs/>
          <w:sz w:val="28"/>
          <w:szCs w:val="28"/>
        </w:rPr>
        <w:t>Promotion</w:t>
      </w:r>
      <w:r w:rsidRPr="009A3031">
        <w:rPr>
          <w:rFonts w:asciiTheme="minorHAnsi" w:hAnsiTheme="minorHAnsi" w:cstheme="minorHAnsi"/>
          <w:sz w:val="28"/>
          <w:szCs w:val="28"/>
        </w:rPr>
        <w:t xml:space="preserve"> </w:t>
      </w:r>
      <w:r w:rsidRPr="009A3031">
        <w:rPr>
          <w:rFonts w:asciiTheme="minorHAnsi" w:hAnsiTheme="minorHAnsi" w:cstheme="minorHAnsi"/>
          <w:sz w:val="28"/>
          <w:szCs w:val="28"/>
        </w:rPr>
        <w:tab/>
      </w:r>
      <w:r w:rsidR="00CC379E">
        <w:rPr>
          <w:rFonts w:asciiTheme="minorHAnsi" w:hAnsiTheme="minorHAnsi" w:cstheme="minorHAnsi"/>
          <w:sz w:val="28"/>
          <w:szCs w:val="28"/>
        </w:rPr>
        <w:t>CLS Program</w:t>
      </w:r>
      <w:r w:rsidR="00C46BF5">
        <w:rPr>
          <w:rFonts w:asciiTheme="minorHAnsi" w:hAnsiTheme="minorHAnsi" w:cstheme="minorHAnsi"/>
          <w:sz w:val="28"/>
          <w:szCs w:val="28"/>
        </w:rPr>
        <w:t>:</w:t>
      </w:r>
      <w:r w:rsidRPr="009A3031">
        <w:rPr>
          <w:rFonts w:asciiTheme="minorHAnsi" w:hAnsiTheme="minorHAnsi" w:cstheme="minorHAnsi"/>
          <w:sz w:val="28"/>
          <w:szCs w:val="28"/>
        </w:rPr>
        <w:t xml:space="preserve"> PPS</w:t>
      </w:r>
      <w:r w:rsidR="00C94A62" w:rsidRPr="009A3031">
        <w:rPr>
          <w:rFonts w:asciiTheme="minorHAnsi" w:hAnsiTheme="minorHAnsi" w:cstheme="minorHAnsi"/>
          <w:sz w:val="28"/>
          <w:szCs w:val="28"/>
        </w:rPr>
        <w:t xml:space="preserve"> 04.02.20</w:t>
      </w:r>
    </w:p>
    <w:p w14:paraId="7DD70669" w14:textId="0A341815" w:rsidR="00C94A62" w:rsidRPr="009A3031" w:rsidRDefault="00D3532D"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C94A62" w:rsidRPr="009A3031">
        <w:rPr>
          <w:rFonts w:asciiTheme="minorHAnsi" w:hAnsiTheme="minorHAnsi" w:cstheme="minorHAnsi"/>
          <w:sz w:val="28"/>
          <w:szCs w:val="28"/>
        </w:rPr>
        <w:t>Effective Date</w:t>
      </w:r>
      <w:r w:rsidR="00C46BF5">
        <w:rPr>
          <w:rFonts w:asciiTheme="minorHAnsi" w:hAnsiTheme="minorHAnsi" w:cstheme="minorHAnsi"/>
          <w:sz w:val="28"/>
          <w:szCs w:val="28"/>
        </w:rPr>
        <w:t>:</w:t>
      </w:r>
      <w:r w:rsidR="00C94A62" w:rsidRPr="009A3031">
        <w:rPr>
          <w:rFonts w:asciiTheme="minorHAnsi" w:hAnsiTheme="minorHAnsi" w:cstheme="minorHAnsi"/>
          <w:sz w:val="28"/>
          <w:szCs w:val="28"/>
        </w:rPr>
        <w:t xml:space="preserve"> </w:t>
      </w:r>
      <w:r w:rsidR="00FA2E63" w:rsidRPr="009A3031">
        <w:rPr>
          <w:rFonts w:asciiTheme="minorHAnsi" w:hAnsiTheme="minorHAnsi" w:cstheme="minorHAnsi"/>
          <w:sz w:val="28"/>
          <w:szCs w:val="28"/>
        </w:rPr>
        <w:t>5/1/2022</w:t>
      </w:r>
    </w:p>
    <w:p w14:paraId="095CAE09" w14:textId="1AE59CAA" w:rsidR="00E74DB7" w:rsidRPr="009A3031" w:rsidRDefault="00C94A62"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6A6848" w:rsidRPr="009A3031">
        <w:rPr>
          <w:rFonts w:asciiTheme="minorHAnsi" w:hAnsiTheme="minorHAnsi" w:cstheme="minorHAnsi"/>
          <w:sz w:val="28"/>
          <w:szCs w:val="28"/>
        </w:rPr>
        <w:t>Review</w:t>
      </w:r>
      <w:r w:rsidR="006A6848" w:rsidRPr="009A3031">
        <w:rPr>
          <w:rFonts w:asciiTheme="minorHAnsi" w:hAnsiTheme="minorHAnsi" w:cstheme="minorHAnsi"/>
          <w:spacing w:val="-3"/>
          <w:sz w:val="28"/>
          <w:szCs w:val="28"/>
        </w:rPr>
        <w:t xml:space="preserve"> </w:t>
      </w:r>
      <w:r w:rsidR="006A6848" w:rsidRPr="009A3031">
        <w:rPr>
          <w:rFonts w:asciiTheme="minorHAnsi" w:hAnsiTheme="minorHAnsi" w:cstheme="minorHAnsi"/>
          <w:sz w:val="28"/>
          <w:szCs w:val="28"/>
        </w:rPr>
        <w:t>Date:</w:t>
      </w:r>
      <w:r w:rsidR="006A6848" w:rsidRPr="009A3031">
        <w:rPr>
          <w:rFonts w:asciiTheme="minorHAnsi" w:hAnsiTheme="minorHAnsi" w:cstheme="minorHAnsi"/>
          <w:spacing w:val="-3"/>
          <w:sz w:val="28"/>
          <w:szCs w:val="28"/>
        </w:rPr>
        <w:t xml:space="preserve"> </w:t>
      </w:r>
      <w:r w:rsidR="00F33066" w:rsidRPr="009A3031">
        <w:rPr>
          <w:rFonts w:asciiTheme="minorHAnsi" w:hAnsiTheme="minorHAnsi" w:cstheme="minorHAnsi"/>
          <w:sz w:val="28"/>
          <w:szCs w:val="28"/>
        </w:rPr>
        <w:t>0</w:t>
      </w:r>
      <w:r w:rsidR="00FA2E63" w:rsidRPr="009A3031">
        <w:rPr>
          <w:rFonts w:asciiTheme="minorHAnsi" w:hAnsiTheme="minorHAnsi" w:cstheme="minorHAnsi"/>
          <w:sz w:val="28"/>
          <w:szCs w:val="28"/>
        </w:rPr>
        <w:t>4</w:t>
      </w:r>
      <w:r w:rsidR="006A6848" w:rsidRPr="009A3031">
        <w:rPr>
          <w:rFonts w:asciiTheme="minorHAnsi" w:hAnsiTheme="minorHAnsi" w:cstheme="minorHAnsi"/>
          <w:sz w:val="28"/>
          <w:szCs w:val="28"/>
        </w:rPr>
        <w:t>/</w:t>
      </w:r>
      <w:r w:rsidR="009738CB">
        <w:rPr>
          <w:rFonts w:asciiTheme="minorHAnsi" w:hAnsiTheme="minorHAnsi" w:cstheme="minorHAnsi"/>
          <w:sz w:val="28"/>
          <w:szCs w:val="28"/>
        </w:rPr>
        <w:t>02/</w:t>
      </w:r>
      <w:r w:rsidR="006A6848" w:rsidRPr="009A3031">
        <w:rPr>
          <w:rFonts w:asciiTheme="minorHAnsi" w:hAnsiTheme="minorHAnsi" w:cstheme="minorHAnsi"/>
          <w:sz w:val="28"/>
          <w:szCs w:val="28"/>
        </w:rPr>
        <w:t>20</w:t>
      </w:r>
      <w:r w:rsidR="00822EF7" w:rsidRPr="009A3031">
        <w:rPr>
          <w:rFonts w:asciiTheme="minorHAnsi" w:hAnsiTheme="minorHAnsi" w:cstheme="minorHAnsi"/>
          <w:sz w:val="28"/>
          <w:szCs w:val="28"/>
        </w:rPr>
        <w:t>2</w:t>
      </w:r>
      <w:r w:rsidR="00FA2E63" w:rsidRPr="009A3031">
        <w:rPr>
          <w:rFonts w:asciiTheme="minorHAnsi" w:hAnsiTheme="minorHAnsi" w:cstheme="minorHAnsi"/>
          <w:sz w:val="28"/>
          <w:szCs w:val="28"/>
        </w:rPr>
        <w:t>2</w:t>
      </w:r>
    </w:p>
    <w:p w14:paraId="095CAE0A" w14:textId="7005AB6B" w:rsidR="00E74DB7" w:rsidRPr="009A3031" w:rsidRDefault="00024D47"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r>
      <w:r w:rsidR="00FF450C" w:rsidRPr="009A3031">
        <w:rPr>
          <w:rFonts w:asciiTheme="minorHAnsi" w:hAnsiTheme="minorHAnsi" w:cstheme="minorHAnsi"/>
          <w:sz w:val="28"/>
          <w:szCs w:val="28"/>
        </w:rPr>
        <w:t>Next review date: 04/02/2027</w:t>
      </w:r>
      <w:r w:rsidR="00D27E49" w:rsidRPr="009A3031">
        <w:rPr>
          <w:rFonts w:asciiTheme="minorHAnsi" w:hAnsiTheme="minorHAnsi" w:cstheme="minorHAnsi"/>
          <w:sz w:val="28"/>
          <w:szCs w:val="28"/>
        </w:rPr>
        <w:t xml:space="preserve"> (E5Y)</w:t>
      </w:r>
    </w:p>
    <w:p w14:paraId="6FC9C135" w14:textId="369B95F8" w:rsidR="00D27E49" w:rsidRPr="009A3031" w:rsidRDefault="00D27E49" w:rsidP="009A3031">
      <w:pPr>
        <w:pStyle w:val="BodyText"/>
        <w:tabs>
          <w:tab w:val="left" w:pos="4950"/>
        </w:tabs>
        <w:ind w:right="-446"/>
        <w:rPr>
          <w:rFonts w:asciiTheme="minorHAnsi" w:hAnsiTheme="minorHAnsi" w:cstheme="minorHAnsi"/>
          <w:sz w:val="28"/>
          <w:szCs w:val="28"/>
        </w:rPr>
      </w:pPr>
      <w:r w:rsidRPr="009A3031">
        <w:rPr>
          <w:rFonts w:asciiTheme="minorHAnsi" w:hAnsiTheme="minorHAnsi" w:cstheme="minorHAnsi"/>
          <w:sz w:val="28"/>
          <w:szCs w:val="28"/>
        </w:rPr>
        <w:tab/>
        <w:t xml:space="preserve">Sr. Reviewer: </w:t>
      </w:r>
      <w:r w:rsidR="00C42C74">
        <w:rPr>
          <w:rFonts w:asciiTheme="minorHAnsi" w:hAnsiTheme="minorHAnsi" w:cstheme="minorHAnsi"/>
          <w:sz w:val="28"/>
          <w:szCs w:val="28"/>
        </w:rPr>
        <w:t>CLS</w:t>
      </w:r>
      <w:r w:rsidR="00CC379E">
        <w:rPr>
          <w:rFonts w:asciiTheme="minorHAnsi" w:hAnsiTheme="minorHAnsi" w:cstheme="minorHAnsi"/>
          <w:sz w:val="28"/>
          <w:szCs w:val="28"/>
        </w:rPr>
        <w:t xml:space="preserve"> Chair</w:t>
      </w:r>
    </w:p>
    <w:p w14:paraId="095CAE0B" w14:textId="77777777" w:rsidR="00E74DB7" w:rsidRPr="009A3031" w:rsidRDefault="00E74DB7" w:rsidP="001003D1">
      <w:pPr>
        <w:pStyle w:val="BodyText"/>
        <w:spacing w:before="7"/>
        <w:ind w:right="-440"/>
        <w:rPr>
          <w:rFonts w:asciiTheme="minorHAnsi" w:hAnsiTheme="minorHAnsi" w:cstheme="minorHAnsi"/>
          <w:sz w:val="28"/>
          <w:szCs w:val="28"/>
        </w:rPr>
      </w:pPr>
    </w:p>
    <w:p w14:paraId="7BB6DDD8" w14:textId="452C92D9" w:rsidR="00A40D90" w:rsidRPr="009A3031" w:rsidRDefault="00EC69E7" w:rsidP="006437D9">
      <w:pPr>
        <w:pStyle w:val="Heading1"/>
        <w:tabs>
          <w:tab w:val="left" w:pos="1260"/>
        </w:tabs>
        <w:spacing w:after="120"/>
        <w:ind w:left="720" w:right="-446" w:hanging="720"/>
        <w:rPr>
          <w:rFonts w:asciiTheme="minorHAnsi" w:hAnsiTheme="minorHAnsi" w:cstheme="minorHAnsi"/>
          <w:sz w:val="28"/>
          <w:szCs w:val="28"/>
        </w:rPr>
      </w:pPr>
      <w:r>
        <w:rPr>
          <w:rFonts w:asciiTheme="minorHAnsi" w:hAnsiTheme="minorHAnsi" w:cstheme="minorHAnsi"/>
          <w:sz w:val="28"/>
          <w:szCs w:val="28"/>
        </w:rPr>
        <w:t>0</w:t>
      </w:r>
      <w:r w:rsidR="009B2FED">
        <w:rPr>
          <w:rFonts w:asciiTheme="minorHAnsi" w:hAnsiTheme="minorHAnsi" w:cstheme="minorHAnsi"/>
          <w:sz w:val="28"/>
          <w:szCs w:val="28"/>
        </w:rPr>
        <w:t>1</w:t>
      </w:r>
      <w:r>
        <w:rPr>
          <w:rFonts w:asciiTheme="minorHAnsi" w:hAnsiTheme="minorHAnsi" w:cstheme="minorHAnsi"/>
          <w:sz w:val="28"/>
          <w:szCs w:val="28"/>
        </w:rPr>
        <w:t xml:space="preserve">.  </w:t>
      </w:r>
      <w:r w:rsidR="006437D9">
        <w:rPr>
          <w:rFonts w:asciiTheme="minorHAnsi" w:hAnsiTheme="minorHAnsi" w:cstheme="minorHAnsi"/>
          <w:sz w:val="28"/>
          <w:szCs w:val="28"/>
        </w:rPr>
        <w:t xml:space="preserve">    </w:t>
      </w:r>
      <w:r w:rsidR="00763826" w:rsidRPr="009A3031">
        <w:rPr>
          <w:rFonts w:asciiTheme="minorHAnsi" w:hAnsiTheme="minorHAnsi" w:cstheme="minorHAnsi"/>
          <w:sz w:val="28"/>
          <w:szCs w:val="28"/>
        </w:rPr>
        <w:t xml:space="preserve">POLICY Statement. </w:t>
      </w:r>
      <w:r w:rsidR="00FA7D0B" w:rsidRPr="00FA7D0B">
        <w:rPr>
          <w:rFonts w:asciiTheme="minorHAnsi" w:hAnsiTheme="minorHAnsi" w:cstheme="minorHAnsi"/>
          <w:b w:val="0"/>
          <w:bCs w:val="0"/>
          <w:sz w:val="28"/>
          <w:szCs w:val="28"/>
        </w:rPr>
        <w:t xml:space="preserve">The Clinical Laboratory Science (CLS) Program </w:t>
      </w:r>
      <w:r w:rsidR="00763826" w:rsidRPr="009A3031">
        <w:rPr>
          <w:rFonts w:asciiTheme="minorHAnsi" w:hAnsiTheme="minorHAnsi" w:cstheme="minorHAnsi"/>
          <w:b w:val="0"/>
          <w:bCs w:val="0"/>
          <w:sz w:val="28"/>
          <w:szCs w:val="28"/>
        </w:rPr>
        <w:t xml:space="preserve">is committed to </w:t>
      </w:r>
      <w:r w:rsidR="00C1543A" w:rsidRPr="009A3031">
        <w:rPr>
          <w:rFonts w:asciiTheme="minorHAnsi" w:hAnsiTheme="minorHAnsi" w:cstheme="minorHAnsi"/>
          <w:b w:val="0"/>
          <w:bCs w:val="0"/>
          <w:sz w:val="28"/>
          <w:szCs w:val="28"/>
        </w:rPr>
        <w:t>supporting the university mission</w:t>
      </w:r>
      <w:r w:rsidR="003107CE" w:rsidRPr="009A3031">
        <w:rPr>
          <w:rFonts w:asciiTheme="minorHAnsi" w:hAnsiTheme="minorHAnsi" w:cstheme="minorHAnsi"/>
          <w:b w:val="0"/>
          <w:bCs w:val="0"/>
          <w:sz w:val="28"/>
          <w:szCs w:val="28"/>
        </w:rPr>
        <w:t xml:space="preserve"> through the effective hiring, evaluating, developing, and promoting faculty</w:t>
      </w:r>
      <w:r w:rsidR="00925345" w:rsidRPr="009A3031">
        <w:rPr>
          <w:rFonts w:asciiTheme="minorHAnsi" w:hAnsiTheme="minorHAnsi" w:cstheme="minorHAnsi"/>
          <w:b w:val="0"/>
          <w:bCs w:val="0"/>
          <w:sz w:val="28"/>
          <w:szCs w:val="28"/>
        </w:rPr>
        <w:t>. The applies to all faculty lines eligible for promoti</w:t>
      </w:r>
      <w:r w:rsidR="00B33655" w:rsidRPr="009A3031">
        <w:rPr>
          <w:rFonts w:asciiTheme="minorHAnsi" w:hAnsiTheme="minorHAnsi" w:cstheme="minorHAnsi"/>
          <w:b w:val="0"/>
          <w:bCs w:val="0"/>
          <w:sz w:val="28"/>
          <w:szCs w:val="28"/>
        </w:rPr>
        <w:t>o</w:t>
      </w:r>
      <w:r w:rsidR="00925345" w:rsidRPr="009A3031">
        <w:rPr>
          <w:rFonts w:asciiTheme="minorHAnsi" w:hAnsiTheme="minorHAnsi" w:cstheme="minorHAnsi"/>
          <w:b w:val="0"/>
          <w:bCs w:val="0"/>
          <w:sz w:val="28"/>
          <w:szCs w:val="28"/>
        </w:rPr>
        <w:t>n.</w:t>
      </w:r>
      <w:r w:rsidR="00B33655" w:rsidRPr="009A3031">
        <w:rPr>
          <w:rFonts w:asciiTheme="minorHAnsi" w:hAnsiTheme="minorHAnsi" w:cstheme="minorHAnsi"/>
          <w:b w:val="0"/>
          <w:bCs w:val="0"/>
          <w:sz w:val="28"/>
          <w:szCs w:val="28"/>
        </w:rPr>
        <w:t xml:space="preserve"> </w:t>
      </w:r>
      <w:r w:rsidR="00586120" w:rsidRPr="009A3031">
        <w:rPr>
          <w:rFonts w:asciiTheme="minorHAnsi" w:hAnsiTheme="minorHAnsi" w:cstheme="minorHAnsi"/>
          <w:b w:val="0"/>
          <w:bCs w:val="0"/>
          <w:sz w:val="28"/>
          <w:szCs w:val="28"/>
        </w:rPr>
        <w:t xml:space="preserve">The purpose of this policy is to communicate to faculty the </w:t>
      </w:r>
      <w:r w:rsidR="0076603F">
        <w:rPr>
          <w:rFonts w:asciiTheme="minorHAnsi" w:hAnsiTheme="minorHAnsi" w:cstheme="minorHAnsi"/>
          <w:b w:val="0"/>
          <w:bCs w:val="0"/>
          <w:sz w:val="28"/>
          <w:szCs w:val="28"/>
        </w:rPr>
        <w:t>CLS Program</w:t>
      </w:r>
      <w:r w:rsidR="00586120" w:rsidRPr="009A3031">
        <w:rPr>
          <w:rFonts w:asciiTheme="minorHAnsi" w:hAnsiTheme="minorHAnsi" w:cstheme="minorHAnsi"/>
          <w:b w:val="0"/>
          <w:bCs w:val="0"/>
          <w:sz w:val="28"/>
          <w:szCs w:val="28"/>
        </w:rPr>
        <w:t xml:space="preserve"> policy and procedures governing tenure and promotion of faculty members. This policy should be construed as the minimum requirements for tenure and promotion decisions. </w:t>
      </w:r>
      <w:r w:rsidR="00B33655" w:rsidRPr="009A3031">
        <w:rPr>
          <w:rFonts w:asciiTheme="minorHAnsi" w:hAnsiTheme="minorHAnsi" w:cstheme="minorHAnsi"/>
          <w:b w:val="0"/>
          <w:bCs w:val="0"/>
          <w:sz w:val="28"/>
          <w:szCs w:val="28"/>
        </w:rPr>
        <w:t>Additional sources include:</w:t>
      </w:r>
    </w:p>
    <w:p w14:paraId="28817EE2" w14:textId="3FD21DAE" w:rsidR="001E4D6B" w:rsidRPr="009A3031" w:rsidRDefault="00FB192E"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02418A" w:rsidRPr="00584154">
        <w:rPr>
          <w:rFonts w:asciiTheme="minorHAnsi" w:hAnsiTheme="minorHAnsi" w:cstheme="minorHAnsi"/>
          <w:b w:val="0"/>
          <w:bCs w:val="0"/>
          <w:sz w:val="28"/>
          <w:szCs w:val="28"/>
        </w:rPr>
        <w:t>1.01</w:t>
      </w:r>
      <w:r w:rsidR="00584154">
        <w:t xml:space="preserve">     </w:t>
      </w:r>
      <w:r w:rsidR="00D16559">
        <w:t xml:space="preserve">   </w:t>
      </w:r>
      <w:hyperlink r:id="rId10" w:history="1">
        <w:r w:rsidR="001E4D6B" w:rsidRPr="009A3031">
          <w:rPr>
            <w:rStyle w:val="Hyperlink"/>
            <w:rFonts w:asciiTheme="minorHAnsi" w:hAnsiTheme="minorHAnsi" w:cstheme="minorHAnsi"/>
            <w:b w:val="0"/>
            <w:bCs w:val="0"/>
            <w:sz w:val="28"/>
            <w:szCs w:val="28"/>
          </w:rPr>
          <w:t>AA/PPS 04.02.20</w:t>
        </w:r>
      </w:hyperlink>
      <w:r w:rsidR="001E4D6B" w:rsidRPr="009A3031">
        <w:rPr>
          <w:rFonts w:asciiTheme="minorHAnsi" w:hAnsiTheme="minorHAnsi" w:cstheme="minorHAnsi"/>
          <w:b w:val="0"/>
          <w:bCs w:val="0"/>
          <w:sz w:val="28"/>
          <w:szCs w:val="28"/>
        </w:rPr>
        <w:t xml:space="preserve"> (8.10)</w:t>
      </w:r>
      <w:r w:rsidR="001E4D6B" w:rsidRPr="009A3031">
        <w:rPr>
          <w:rFonts w:asciiTheme="minorHAnsi" w:hAnsiTheme="minorHAnsi" w:cstheme="minorHAnsi"/>
          <w:b w:val="0"/>
          <w:bCs w:val="0"/>
          <w:color w:val="FF0000"/>
          <w:sz w:val="28"/>
          <w:szCs w:val="28"/>
        </w:rPr>
        <w:t xml:space="preserve"> </w:t>
      </w:r>
      <w:r w:rsidR="001E4D6B" w:rsidRPr="009A3031">
        <w:rPr>
          <w:rFonts w:asciiTheme="minorHAnsi" w:hAnsiTheme="minorHAnsi" w:cstheme="minorHAnsi"/>
          <w:b w:val="0"/>
          <w:bCs w:val="0"/>
          <w:sz w:val="28"/>
          <w:szCs w:val="28"/>
        </w:rPr>
        <w:t>Tenure/Promotion</w:t>
      </w:r>
      <w:r w:rsidR="001E4D6B" w:rsidRPr="009A3031">
        <w:rPr>
          <w:rFonts w:asciiTheme="minorHAnsi" w:hAnsiTheme="minorHAnsi" w:cstheme="minorHAnsi"/>
          <w:b w:val="0"/>
          <w:bCs w:val="0"/>
          <w:spacing w:val="-4"/>
          <w:sz w:val="28"/>
          <w:szCs w:val="28"/>
        </w:rPr>
        <w:t xml:space="preserve"> </w:t>
      </w:r>
      <w:r w:rsidR="001E4D6B" w:rsidRPr="009A3031">
        <w:rPr>
          <w:rFonts w:asciiTheme="minorHAnsi" w:hAnsiTheme="minorHAnsi" w:cstheme="minorHAnsi"/>
          <w:b w:val="0"/>
          <w:bCs w:val="0"/>
          <w:sz w:val="28"/>
          <w:szCs w:val="28"/>
        </w:rPr>
        <w:t>Review</w:t>
      </w:r>
    </w:p>
    <w:p w14:paraId="0AED6DE9" w14:textId="7AC96437" w:rsidR="001E4D6B" w:rsidRPr="009A3031" w:rsidRDefault="00FB192E"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584154" w:rsidRPr="00584154">
        <w:rPr>
          <w:rFonts w:asciiTheme="minorHAnsi" w:hAnsiTheme="minorHAnsi" w:cstheme="minorHAnsi"/>
          <w:b w:val="0"/>
          <w:bCs w:val="0"/>
          <w:sz w:val="28"/>
          <w:szCs w:val="28"/>
        </w:rPr>
        <w:t>1.02</w:t>
      </w:r>
      <w:r w:rsidR="00584154">
        <w:t xml:space="preserve">     </w:t>
      </w:r>
      <w:r w:rsidR="00D16559">
        <w:t xml:space="preserve">    </w:t>
      </w:r>
      <w:hyperlink r:id="rId11" w:history="1">
        <w:r w:rsidR="001E4D6B" w:rsidRPr="009A3031">
          <w:rPr>
            <w:rStyle w:val="Hyperlink"/>
            <w:rFonts w:asciiTheme="minorHAnsi" w:hAnsiTheme="minorHAnsi" w:cstheme="minorHAnsi"/>
            <w:b w:val="0"/>
            <w:bCs w:val="0"/>
            <w:sz w:val="28"/>
            <w:szCs w:val="28"/>
          </w:rPr>
          <w:t>AA/PPS 04.02.01</w:t>
        </w:r>
      </w:hyperlink>
      <w:r w:rsidR="001E4D6B" w:rsidRPr="009A3031">
        <w:rPr>
          <w:rFonts w:asciiTheme="minorHAnsi" w:hAnsiTheme="minorHAnsi" w:cstheme="minorHAnsi"/>
          <w:b w:val="0"/>
          <w:bCs w:val="0"/>
          <w:color w:val="FF0000"/>
          <w:sz w:val="28"/>
          <w:szCs w:val="28"/>
        </w:rPr>
        <w:t xml:space="preserve"> </w:t>
      </w:r>
      <w:r w:rsidR="001E4D6B" w:rsidRPr="009A3031">
        <w:rPr>
          <w:rFonts w:asciiTheme="minorHAnsi" w:hAnsiTheme="minorHAnsi" w:cstheme="minorHAnsi"/>
          <w:b w:val="0"/>
          <w:bCs w:val="0"/>
          <w:sz w:val="28"/>
          <w:szCs w:val="28"/>
        </w:rPr>
        <w:t>(8.01) Development and Evaluation of Tenure-Track</w:t>
      </w:r>
      <w:r w:rsidR="001E4D6B" w:rsidRPr="009A3031">
        <w:rPr>
          <w:rFonts w:asciiTheme="minorHAnsi" w:hAnsiTheme="minorHAnsi" w:cstheme="minorHAnsi"/>
          <w:b w:val="0"/>
          <w:bCs w:val="0"/>
          <w:spacing w:val="-10"/>
          <w:sz w:val="28"/>
          <w:szCs w:val="28"/>
        </w:rPr>
        <w:t xml:space="preserve"> </w:t>
      </w:r>
      <w:r w:rsidR="001E4D6B" w:rsidRPr="009A3031">
        <w:rPr>
          <w:rFonts w:asciiTheme="minorHAnsi" w:hAnsiTheme="minorHAnsi" w:cstheme="minorHAnsi"/>
          <w:b w:val="0"/>
          <w:bCs w:val="0"/>
          <w:sz w:val="28"/>
          <w:szCs w:val="28"/>
        </w:rPr>
        <w:t>Faculty</w:t>
      </w:r>
    </w:p>
    <w:p w14:paraId="427000EA" w14:textId="1B16812D" w:rsidR="00371ABE" w:rsidRPr="00584154" w:rsidRDefault="00FB192E"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584154" w:rsidRPr="00584154">
        <w:rPr>
          <w:rFonts w:asciiTheme="minorHAnsi" w:hAnsiTheme="minorHAnsi" w:cstheme="minorHAnsi"/>
          <w:b w:val="0"/>
          <w:bCs w:val="0"/>
          <w:sz w:val="28"/>
          <w:szCs w:val="28"/>
        </w:rPr>
        <w:t xml:space="preserve">1.03    </w:t>
      </w:r>
      <w:r w:rsidR="00D16559">
        <w:rPr>
          <w:rFonts w:asciiTheme="minorHAnsi" w:hAnsiTheme="minorHAnsi" w:cstheme="minorHAnsi"/>
          <w:b w:val="0"/>
          <w:bCs w:val="0"/>
          <w:sz w:val="28"/>
          <w:szCs w:val="28"/>
        </w:rPr>
        <w:t xml:space="preserve">    </w:t>
      </w:r>
      <w:hyperlink r:id="rId12" w:history="1">
        <w:r w:rsidR="00371ABE" w:rsidRPr="00584154">
          <w:rPr>
            <w:rStyle w:val="Hyperlink"/>
            <w:rFonts w:asciiTheme="minorHAnsi" w:hAnsiTheme="minorHAnsi" w:cstheme="minorHAnsi"/>
            <w:b w:val="0"/>
            <w:bCs w:val="0"/>
            <w:sz w:val="28"/>
            <w:szCs w:val="28"/>
          </w:rPr>
          <w:t>AA/PPS 04.01.01</w:t>
        </w:r>
      </w:hyperlink>
      <w:r w:rsidR="00371ABE" w:rsidRPr="00584154">
        <w:rPr>
          <w:rFonts w:asciiTheme="minorHAnsi" w:hAnsiTheme="minorHAnsi" w:cstheme="minorHAnsi"/>
          <w:b w:val="0"/>
          <w:bCs w:val="0"/>
          <w:sz w:val="28"/>
          <w:szCs w:val="28"/>
        </w:rPr>
        <w:t xml:space="preserve"> (7.02) Faculty Hiring</w:t>
      </w:r>
    </w:p>
    <w:p w14:paraId="519E33E6" w14:textId="4966641A" w:rsidR="001E4D6B" w:rsidRPr="00584154" w:rsidRDefault="00FB192E"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584154" w:rsidRPr="00584154">
        <w:rPr>
          <w:rFonts w:asciiTheme="minorHAnsi" w:hAnsiTheme="minorHAnsi" w:cstheme="minorHAnsi"/>
          <w:b w:val="0"/>
          <w:bCs w:val="0"/>
          <w:sz w:val="28"/>
          <w:szCs w:val="28"/>
        </w:rPr>
        <w:t xml:space="preserve">1.04    </w:t>
      </w:r>
      <w:r w:rsidR="00D16559">
        <w:rPr>
          <w:rFonts w:asciiTheme="minorHAnsi" w:hAnsiTheme="minorHAnsi" w:cstheme="minorHAnsi"/>
          <w:b w:val="0"/>
          <w:bCs w:val="0"/>
          <w:sz w:val="28"/>
          <w:szCs w:val="28"/>
        </w:rPr>
        <w:t xml:space="preserve">    </w:t>
      </w:r>
      <w:hyperlink r:id="rId13" w:history="1">
        <w:r w:rsidR="001E4D6B" w:rsidRPr="00584154">
          <w:rPr>
            <w:rStyle w:val="Hyperlink"/>
            <w:rFonts w:asciiTheme="minorHAnsi" w:hAnsiTheme="minorHAnsi" w:cstheme="minorHAnsi"/>
            <w:b w:val="0"/>
            <w:bCs w:val="0"/>
            <w:sz w:val="28"/>
            <w:szCs w:val="28"/>
          </w:rPr>
          <w:t>COHP 04.02.20</w:t>
        </w:r>
      </w:hyperlink>
      <w:r w:rsidR="001E4D6B" w:rsidRPr="00584154">
        <w:rPr>
          <w:rFonts w:asciiTheme="minorHAnsi" w:hAnsiTheme="minorHAnsi" w:cstheme="minorHAnsi"/>
          <w:b w:val="0"/>
          <w:bCs w:val="0"/>
          <w:sz w:val="28"/>
          <w:szCs w:val="28"/>
        </w:rPr>
        <w:t xml:space="preserve"> Tenure and</w:t>
      </w:r>
      <w:r w:rsidR="001E4D6B" w:rsidRPr="00584154">
        <w:rPr>
          <w:rFonts w:asciiTheme="minorHAnsi" w:hAnsiTheme="minorHAnsi" w:cstheme="minorHAnsi"/>
          <w:b w:val="0"/>
          <w:bCs w:val="0"/>
          <w:spacing w:val="-3"/>
          <w:sz w:val="28"/>
          <w:szCs w:val="28"/>
        </w:rPr>
        <w:t xml:space="preserve"> </w:t>
      </w:r>
      <w:r w:rsidR="001E4D6B" w:rsidRPr="00584154">
        <w:rPr>
          <w:rFonts w:asciiTheme="minorHAnsi" w:hAnsiTheme="minorHAnsi" w:cstheme="minorHAnsi"/>
          <w:b w:val="0"/>
          <w:bCs w:val="0"/>
          <w:sz w:val="28"/>
          <w:szCs w:val="28"/>
        </w:rPr>
        <w:t>Promotion</w:t>
      </w:r>
    </w:p>
    <w:p w14:paraId="3D39D77F" w14:textId="38653C8E" w:rsidR="001E4D6B" w:rsidRPr="009A3031" w:rsidRDefault="00FB192E"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584154" w:rsidRPr="00584154">
        <w:rPr>
          <w:rFonts w:asciiTheme="minorHAnsi" w:hAnsiTheme="minorHAnsi" w:cstheme="minorHAnsi"/>
          <w:b w:val="0"/>
          <w:bCs w:val="0"/>
          <w:sz w:val="28"/>
          <w:szCs w:val="28"/>
        </w:rPr>
        <w:t xml:space="preserve">1.05   </w:t>
      </w:r>
      <w:r w:rsidR="00D16559">
        <w:rPr>
          <w:rFonts w:asciiTheme="minorHAnsi" w:hAnsiTheme="minorHAnsi" w:cstheme="minorHAnsi"/>
          <w:b w:val="0"/>
          <w:bCs w:val="0"/>
          <w:sz w:val="28"/>
          <w:szCs w:val="28"/>
        </w:rPr>
        <w:t xml:space="preserve">    </w:t>
      </w:r>
      <w:r w:rsidR="00584154" w:rsidRPr="00584154">
        <w:rPr>
          <w:rFonts w:asciiTheme="minorHAnsi" w:hAnsiTheme="minorHAnsi" w:cstheme="minorHAnsi"/>
          <w:b w:val="0"/>
          <w:bCs w:val="0"/>
          <w:sz w:val="28"/>
          <w:szCs w:val="28"/>
        </w:rPr>
        <w:t xml:space="preserve"> </w:t>
      </w:r>
      <w:hyperlink r:id="rId14" w:history="1">
        <w:r w:rsidR="001E4D6B" w:rsidRPr="00584154">
          <w:rPr>
            <w:rStyle w:val="Hyperlink"/>
            <w:rFonts w:asciiTheme="minorHAnsi" w:hAnsiTheme="minorHAnsi" w:cstheme="minorHAnsi"/>
            <w:b w:val="0"/>
            <w:bCs w:val="0"/>
            <w:sz w:val="28"/>
            <w:szCs w:val="28"/>
          </w:rPr>
          <w:t>Faculty</w:t>
        </w:r>
        <w:r w:rsidR="001E4D6B" w:rsidRPr="00584154">
          <w:rPr>
            <w:rStyle w:val="Hyperlink"/>
            <w:rFonts w:asciiTheme="minorHAnsi" w:hAnsiTheme="minorHAnsi" w:cstheme="minorHAnsi"/>
            <w:b w:val="0"/>
            <w:bCs w:val="0"/>
            <w:spacing w:val="-5"/>
            <w:sz w:val="28"/>
            <w:szCs w:val="28"/>
          </w:rPr>
          <w:t xml:space="preserve"> </w:t>
        </w:r>
        <w:r w:rsidR="001E4D6B" w:rsidRPr="00584154">
          <w:rPr>
            <w:rStyle w:val="Hyperlink"/>
            <w:rFonts w:asciiTheme="minorHAnsi" w:hAnsiTheme="minorHAnsi" w:cstheme="minorHAnsi"/>
            <w:b w:val="0"/>
            <w:bCs w:val="0"/>
            <w:sz w:val="28"/>
            <w:szCs w:val="28"/>
          </w:rPr>
          <w:t>Handbook</w:t>
        </w:r>
      </w:hyperlink>
    </w:p>
    <w:p w14:paraId="4A3A86B8" w14:textId="1439C02C" w:rsidR="00DF692D" w:rsidRPr="009A3031" w:rsidRDefault="009B2FED" w:rsidP="009B2FED">
      <w:pPr>
        <w:pStyle w:val="Heading1"/>
        <w:spacing w:after="120"/>
        <w:ind w:left="-86" w:right="-446"/>
        <w:rPr>
          <w:rFonts w:asciiTheme="minorHAnsi" w:hAnsiTheme="minorHAnsi" w:cstheme="minorHAnsi"/>
          <w:sz w:val="28"/>
          <w:szCs w:val="28"/>
        </w:rPr>
      </w:pPr>
      <w:r>
        <w:rPr>
          <w:rFonts w:asciiTheme="minorHAnsi" w:hAnsiTheme="minorHAnsi" w:cstheme="minorHAnsi"/>
          <w:sz w:val="28"/>
          <w:szCs w:val="28"/>
        </w:rPr>
        <w:t xml:space="preserve">02.       </w:t>
      </w:r>
      <w:r w:rsidR="00DF692D" w:rsidRPr="009A3031">
        <w:rPr>
          <w:rFonts w:asciiTheme="minorHAnsi" w:hAnsiTheme="minorHAnsi" w:cstheme="minorHAnsi"/>
          <w:sz w:val="28"/>
          <w:szCs w:val="28"/>
        </w:rPr>
        <w:t xml:space="preserve">Definitions </w:t>
      </w:r>
    </w:p>
    <w:p w14:paraId="5EAC41A8" w14:textId="0FF4900F" w:rsidR="00DF692D" w:rsidRPr="009A3031" w:rsidRDefault="00446464"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02.01     </w:t>
      </w:r>
      <w:r w:rsidR="001D0A07" w:rsidRPr="009A3031">
        <w:rPr>
          <w:rFonts w:asciiTheme="minorHAnsi" w:hAnsiTheme="minorHAnsi" w:cstheme="minorHAnsi"/>
          <w:b w:val="0"/>
          <w:bCs w:val="0"/>
          <w:sz w:val="28"/>
          <w:szCs w:val="28"/>
        </w:rPr>
        <w:t xml:space="preserve">No unique definitions exist for </w:t>
      </w:r>
      <w:r w:rsidR="008937A6">
        <w:rPr>
          <w:rFonts w:asciiTheme="minorHAnsi" w:hAnsiTheme="minorHAnsi" w:cstheme="minorHAnsi"/>
          <w:b w:val="0"/>
          <w:bCs w:val="0"/>
          <w:sz w:val="28"/>
          <w:szCs w:val="28"/>
        </w:rPr>
        <w:t>CLS Program</w:t>
      </w:r>
      <w:r w:rsidR="001D0A07" w:rsidRPr="009A3031">
        <w:rPr>
          <w:rFonts w:asciiTheme="minorHAnsi" w:hAnsiTheme="minorHAnsi" w:cstheme="minorHAnsi"/>
          <w:b w:val="0"/>
          <w:bCs w:val="0"/>
          <w:sz w:val="28"/>
          <w:szCs w:val="28"/>
        </w:rPr>
        <w:t xml:space="preserve"> outside what is already defined by the University and College of Health Professions.</w:t>
      </w:r>
    </w:p>
    <w:p w14:paraId="2694CC65" w14:textId="47091813" w:rsidR="00586120" w:rsidRPr="009A3031" w:rsidRDefault="00446464"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02.02     </w:t>
      </w:r>
      <w:r w:rsidR="00586120" w:rsidRPr="009A3031">
        <w:rPr>
          <w:rFonts w:asciiTheme="minorHAnsi" w:hAnsiTheme="minorHAnsi" w:cstheme="minorHAnsi"/>
          <w:b w:val="0"/>
          <w:bCs w:val="0"/>
          <w:sz w:val="28"/>
          <w:szCs w:val="28"/>
        </w:rPr>
        <w:t xml:space="preserve">The faculty of </w:t>
      </w:r>
      <w:r w:rsidR="008937A6">
        <w:rPr>
          <w:rFonts w:asciiTheme="minorHAnsi" w:hAnsiTheme="minorHAnsi" w:cstheme="minorHAnsi"/>
          <w:b w:val="0"/>
          <w:bCs w:val="0"/>
          <w:sz w:val="28"/>
          <w:szCs w:val="28"/>
        </w:rPr>
        <w:t>CLS Program</w:t>
      </w:r>
      <w:r w:rsidR="00586120" w:rsidRPr="009A3031">
        <w:rPr>
          <w:rFonts w:asciiTheme="minorHAnsi" w:hAnsiTheme="minorHAnsi" w:cstheme="minorHAnsi"/>
          <w:b w:val="0"/>
          <w:bCs w:val="0"/>
          <w:sz w:val="28"/>
          <w:szCs w:val="28"/>
        </w:rPr>
        <w:t xml:space="preserve"> view teaching, scholarly/creative activity, service, and collegiality as essential to the achievement of tenure and promotion.</w:t>
      </w:r>
    </w:p>
    <w:p w14:paraId="725FE5E6" w14:textId="5DC3A538" w:rsidR="00126D6C" w:rsidRPr="009A3031" w:rsidRDefault="00446464" w:rsidP="00D16559">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02.03     </w:t>
      </w:r>
      <w:r w:rsidR="00126D6C" w:rsidRPr="009A3031">
        <w:rPr>
          <w:rFonts w:asciiTheme="minorHAnsi" w:hAnsiTheme="minorHAnsi" w:cstheme="minorHAnsi"/>
          <w:b w:val="0"/>
          <w:bCs w:val="0"/>
          <w:sz w:val="28"/>
          <w:szCs w:val="28"/>
        </w:rPr>
        <w:t xml:space="preserve">At the core of </w:t>
      </w:r>
      <w:r w:rsidR="008937A6">
        <w:rPr>
          <w:rFonts w:asciiTheme="minorHAnsi" w:hAnsiTheme="minorHAnsi" w:cstheme="minorHAnsi"/>
          <w:b w:val="0"/>
          <w:bCs w:val="0"/>
          <w:sz w:val="28"/>
          <w:szCs w:val="28"/>
        </w:rPr>
        <w:t>CLS Program</w:t>
      </w:r>
      <w:r w:rsidR="00126D6C" w:rsidRPr="009A3031">
        <w:rPr>
          <w:rFonts w:asciiTheme="minorHAnsi" w:hAnsiTheme="minorHAnsi" w:cstheme="minorHAnsi"/>
          <w:b w:val="0"/>
          <w:bCs w:val="0"/>
          <w:sz w:val="28"/>
          <w:szCs w:val="28"/>
        </w:rPr>
        <w:t xml:space="preserve">'s philosophy and of relevance to the performance evaluation of faculty </w:t>
      </w:r>
      <w:r w:rsidR="00E03654" w:rsidRPr="009A3031">
        <w:rPr>
          <w:rFonts w:asciiTheme="minorHAnsi" w:hAnsiTheme="minorHAnsi" w:cstheme="minorHAnsi"/>
          <w:b w:val="0"/>
          <w:bCs w:val="0"/>
          <w:sz w:val="28"/>
          <w:szCs w:val="28"/>
        </w:rPr>
        <w:t>is</w:t>
      </w:r>
      <w:r w:rsidR="00126D6C" w:rsidRPr="009A3031">
        <w:rPr>
          <w:rFonts w:asciiTheme="minorHAnsi" w:hAnsiTheme="minorHAnsi" w:cstheme="minorHAnsi"/>
          <w:b w:val="0"/>
          <w:bCs w:val="0"/>
          <w:sz w:val="28"/>
          <w:szCs w:val="28"/>
        </w:rPr>
        <w:t xml:space="preserve"> collegiality, professional and ethical behavior, honesty and integrity, collaboration, and contributions to the missions of </w:t>
      </w:r>
      <w:r w:rsidR="008937A6">
        <w:rPr>
          <w:rFonts w:asciiTheme="minorHAnsi" w:hAnsiTheme="minorHAnsi" w:cstheme="minorHAnsi"/>
          <w:b w:val="0"/>
          <w:bCs w:val="0"/>
          <w:sz w:val="28"/>
          <w:szCs w:val="28"/>
        </w:rPr>
        <w:t>CLS Program</w:t>
      </w:r>
      <w:r w:rsidR="00126D6C" w:rsidRPr="009A3031">
        <w:rPr>
          <w:rFonts w:asciiTheme="minorHAnsi" w:hAnsiTheme="minorHAnsi" w:cstheme="minorHAnsi"/>
          <w:b w:val="0"/>
          <w:bCs w:val="0"/>
          <w:sz w:val="28"/>
          <w:szCs w:val="28"/>
        </w:rPr>
        <w:t xml:space="preserve">, the College, the University, and the local/professional community. Collegial faculty members are expected to contribute to the positive functioning of </w:t>
      </w:r>
      <w:r w:rsidR="008937A6">
        <w:rPr>
          <w:rFonts w:asciiTheme="minorHAnsi" w:hAnsiTheme="minorHAnsi" w:cstheme="minorHAnsi"/>
          <w:b w:val="0"/>
          <w:bCs w:val="0"/>
          <w:sz w:val="28"/>
          <w:szCs w:val="28"/>
        </w:rPr>
        <w:t>CLS Program</w:t>
      </w:r>
      <w:r w:rsidR="00126D6C" w:rsidRPr="009A3031">
        <w:rPr>
          <w:rFonts w:asciiTheme="minorHAnsi" w:hAnsiTheme="minorHAnsi" w:cstheme="minorHAnsi"/>
          <w:b w:val="0"/>
          <w:bCs w:val="0"/>
          <w:sz w:val="28"/>
          <w:szCs w:val="28"/>
        </w:rPr>
        <w:t>, the College, and the University (AA/PPS No. 04.02.20). Although collegiality can be a</w:t>
      </w:r>
      <w:r w:rsidR="007F2B61">
        <w:rPr>
          <w:rFonts w:asciiTheme="minorHAnsi" w:hAnsiTheme="minorHAnsi" w:cstheme="minorHAnsi"/>
          <w:b w:val="0"/>
          <w:bCs w:val="0"/>
          <w:sz w:val="28"/>
          <w:szCs w:val="28"/>
        </w:rPr>
        <w:t>n abstract concept</w:t>
      </w:r>
      <w:r w:rsidR="00126D6C" w:rsidRPr="009A3031">
        <w:rPr>
          <w:rFonts w:asciiTheme="minorHAnsi" w:hAnsiTheme="minorHAnsi" w:cstheme="minorHAnsi"/>
          <w:b w:val="0"/>
          <w:bCs w:val="0"/>
          <w:sz w:val="28"/>
          <w:szCs w:val="28"/>
        </w:rPr>
        <w:t xml:space="preserve">, measurable components </w:t>
      </w:r>
      <w:r w:rsidR="007F2B61">
        <w:rPr>
          <w:rFonts w:asciiTheme="minorHAnsi" w:hAnsiTheme="minorHAnsi" w:cstheme="minorHAnsi"/>
          <w:b w:val="0"/>
          <w:bCs w:val="0"/>
          <w:sz w:val="28"/>
          <w:szCs w:val="28"/>
        </w:rPr>
        <w:t>exist such as:</w:t>
      </w:r>
      <w:r w:rsidR="00126D6C" w:rsidRPr="009A3031">
        <w:rPr>
          <w:rFonts w:asciiTheme="minorHAnsi" w:hAnsiTheme="minorHAnsi" w:cstheme="minorHAnsi"/>
          <w:b w:val="0"/>
          <w:bCs w:val="0"/>
          <w:sz w:val="28"/>
          <w:szCs w:val="28"/>
        </w:rPr>
        <w:t xml:space="preserve"> teaching for another in an </w:t>
      </w:r>
      <w:r w:rsidR="00126D6C" w:rsidRPr="009A3031">
        <w:rPr>
          <w:rFonts w:asciiTheme="minorHAnsi" w:hAnsiTheme="minorHAnsi" w:cstheme="minorHAnsi"/>
          <w:b w:val="0"/>
          <w:bCs w:val="0"/>
          <w:sz w:val="28"/>
          <w:szCs w:val="28"/>
        </w:rPr>
        <w:lastRenderedPageBreak/>
        <w:t>emergency, collaborating on research, providing a lecture to augment another faculty member’s course, and supporting university initiatives</w:t>
      </w:r>
      <w:r w:rsidR="008937A6">
        <w:rPr>
          <w:rFonts w:asciiTheme="minorHAnsi" w:hAnsiTheme="minorHAnsi" w:cstheme="minorHAnsi"/>
          <w:b w:val="0"/>
          <w:bCs w:val="0"/>
          <w:sz w:val="28"/>
          <w:szCs w:val="28"/>
        </w:rPr>
        <w:t>.</w:t>
      </w:r>
      <w:r w:rsidR="00126D6C" w:rsidRPr="009A3031">
        <w:rPr>
          <w:rFonts w:asciiTheme="minorHAnsi" w:hAnsiTheme="minorHAnsi" w:cstheme="minorHAnsi"/>
          <w:b w:val="0"/>
          <w:bCs w:val="0"/>
          <w:sz w:val="28"/>
          <w:szCs w:val="28"/>
        </w:rPr>
        <w:t xml:space="preserve"> </w:t>
      </w:r>
    </w:p>
    <w:p w14:paraId="0C41DD84" w14:textId="127A8369" w:rsidR="00CF1955" w:rsidRPr="009A3031" w:rsidRDefault="003E33A1" w:rsidP="003E33A1">
      <w:pPr>
        <w:pStyle w:val="Heading1"/>
        <w:spacing w:after="120"/>
        <w:ind w:left="-86" w:right="-446"/>
        <w:rPr>
          <w:rFonts w:asciiTheme="minorHAnsi" w:hAnsiTheme="minorHAnsi" w:cstheme="minorHAnsi"/>
          <w:sz w:val="28"/>
          <w:szCs w:val="28"/>
        </w:rPr>
      </w:pPr>
      <w:r>
        <w:rPr>
          <w:rFonts w:asciiTheme="minorHAnsi" w:hAnsiTheme="minorHAnsi" w:cstheme="minorHAnsi"/>
          <w:sz w:val="28"/>
          <w:szCs w:val="28"/>
        </w:rPr>
        <w:t xml:space="preserve">03.    </w:t>
      </w:r>
      <w:r w:rsidR="00F67F88">
        <w:rPr>
          <w:rFonts w:asciiTheme="minorHAnsi" w:hAnsiTheme="minorHAnsi" w:cstheme="minorHAnsi"/>
          <w:sz w:val="28"/>
          <w:szCs w:val="28"/>
        </w:rPr>
        <w:t xml:space="preserve"> </w:t>
      </w:r>
      <w:r>
        <w:rPr>
          <w:rFonts w:asciiTheme="minorHAnsi" w:hAnsiTheme="minorHAnsi" w:cstheme="minorHAnsi"/>
          <w:sz w:val="28"/>
          <w:szCs w:val="28"/>
        </w:rPr>
        <w:t xml:space="preserve"> </w:t>
      </w:r>
      <w:r w:rsidR="008A06C8">
        <w:rPr>
          <w:rFonts w:asciiTheme="minorHAnsi" w:hAnsiTheme="minorHAnsi" w:cstheme="minorHAnsi"/>
          <w:sz w:val="28"/>
          <w:szCs w:val="28"/>
        </w:rPr>
        <w:t xml:space="preserve"> </w:t>
      </w:r>
      <w:r w:rsidR="00CF1955" w:rsidRPr="009A3031">
        <w:rPr>
          <w:rFonts w:asciiTheme="minorHAnsi" w:hAnsiTheme="minorHAnsi" w:cstheme="minorHAnsi"/>
          <w:sz w:val="28"/>
          <w:szCs w:val="28"/>
        </w:rPr>
        <w:t>Procedures for Tenure and Promotion</w:t>
      </w:r>
      <w:r w:rsidR="00E1293D" w:rsidRPr="009A3031">
        <w:rPr>
          <w:rFonts w:asciiTheme="minorHAnsi" w:hAnsiTheme="minorHAnsi" w:cstheme="minorHAnsi"/>
          <w:sz w:val="28"/>
          <w:szCs w:val="28"/>
        </w:rPr>
        <w:t xml:space="preserve"> </w:t>
      </w:r>
    </w:p>
    <w:p w14:paraId="209D3C5F" w14:textId="3ABFE04D" w:rsidR="00E0057B" w:rsidRPr="009A3031" w:rsidRDefault="003E33A1" w:rsidP="00F67F88">
      <w:pPr>
        <w:pStyle w:val="Heading1"/>
        <w:spacing w:after="120"/>
        <w:ind w:left="1800" w:right="-446" w:hanging="1080"/>
        <w:rPr>
          <w:rFonts w:asciiTheme="minorHAnsi" w:hAnsiTheme="minorHAnsi" w:cstheme="minorHAnsi"/>
          <w:b w:val="0"/>
          <w:bCs w:val="0"/>
          <w:sz w:val="28"/>
          <w:szCs w:val="28"/>
        </w:rPr>
      </w:pPr>
      <w:r>
        <w:rPr>
          <w:rFonts w:asciiTheme="minorHAnsi" w:hAnsiTheme="minorHAnsi" w:cstheme="minorHAnsi"/>
          <w:b w:val="0"/>
          <w:bCs w:val="0"/>
          <w:sz w:val="28"/>
          <w:szCs w:val="28"/>
        </w:rPr>
        <w:t>03.01</w:t>
      </w:r>
      <w:r w:rsidR="00F67F88">
        <w:rPr>
          <w:rFonts w:asciiTheme="minorHAnsi" w:hAnsiTheme="minorHAnsi" w:cstheme="minorHAnsi"/>
          <w:b w:val="0"/>
          <w:bCs w:val="0"/>
          <w:sz w:val="28"/>
          <w:szCs w:val="28"/>
        </w:rPr>
        <w:tab/>
      </w:r>
      <w:r w:rsidR="00CA0C28" w:rsidRPr="009A3031">
        <w:rPr>
          <w:rFonts w:asciiTheme="minorHAnsi" w:hAnsiTheme="minorHAnsi" w:cstheme="minorHAnsi"/>
          <w:b w:val="0"/>
          <w:bCs w:val="0"/>
          <w:sz w:val="28"/>
          <w:szCs w:val="28"/>
        </w:rPr>
        <w:t>Typically, the probationary period prior to the award of tenure is six years and the period for promotion is five years in rank (AA/PPS 04.04.20 and COHP 04.02.20). The sixth year is typically the year of consideration, however candidates with strong performance may request to be considered one year early.</w:t>
      </w:r>
    </w:p>
    <w:p w14:paraId="6D5D134B" w14:textId="69C24571" w:rsidR="00CA0C28" w:rsidRDefault="008A06C8" w:rsidP="008A06C8">
      <w:pPr>
        <w:pStyle w:val="Heading1"/>
        <w:spacing w:after="120"/>
        <w:ind w:left="1800" w:right="-446" w:hanging="1080"/>
        <w:rPr>
          <w:rFonts w:asciiTheme="minorHAnsi" w:hAnsiTheme="minorHAnsi" w:cstheme="minorHAnsi"/>
          <w:b w:val="0"/>
          <w:bCs w:val="0"/>
          <w:sz w:val="28"/>
          <w:szCs w:val="28"/>
        </w:rPr>
      </w:pPr>
      <w:r>
        <w:rPr>
          <w:rFonts w:asciiTheme="minorHAnsi" w:hAnsiTheme="minorHAnsi" w:cstheme="minorHAnsi"/>
          <w:b w:val="0"/>
          <w:bCs w:val="0"/>
          <w:sz w:val="28"/>
          <w:szCs w:val="28"/>
        </w:rPr>
        <w:t>03.02</w:t>
      </w:r>
      <w:r>
        <w:rPr>
          <w:rFonts w:asciiTheme="minorHAnsi" w:hAnsiTheme="minorHAnsi" w:cstheme="minorHAnsi"/>
          <w:b w:val="0"/>
          <w:bCs w:val="0"/>
          <w:sz w:val="28"/>
          <w:szCs w:val="28"/>
        </w:rPr>
        <w:tab/>
      </w:r>
      <w:r w:rsidR="00CA0C28" w:rsidRPr="009A3031">
        <w:rPr>
          <w:rFonts w:asciiTheme="minorHAnsi" w:hAnsiTheme="minorHAnsi" w:cstheme="minorHAnsi"/>
          <w:b w:val="0"/>
          <w:bCs w:val="0"/>
          <w:sz w:val="28"/>
          <w:szCs w:val="28"/>
        </w:rPr>
        <w:t>Credit toward tenure as a condition of hire will affect this timeline.</w:t>
      </w:r>
    </w:p>
    <w:tbl>
      <w:tblPr>
        <w:tblStyle w:val="TableGrid"/>
        <w:tblW w:w="7169" w:type="dxa"/>
        <w:tblInd w:w="1744" w:type="dxa"/>
        <w:tblLook w:val="04A0" w:firstRow="1" w:lastRow="0" w:firstColumn="1" w:lastColumn="0" w:noHBand="0" w:noVBand="1"/>
      </w:tblPr>
      <w:tblGrid>
        <w:gridCol w:w="1705"/>
        <w:gridCol w:w="1800"/>
        <w:gridCol w:w="270"/>
        <w:gridCol w:w="1620"/>
        <w:gridCol w:w="1774"/>
      </w:tblGrid>
      <w:tr w:rsidR="00925A63" w14:paraId="648643E6" w14:textId="77777777" w:rsidTr="00925A63">
        <w:tc>
          <w:tcPr>
            <w:tcW w:w="1705" w:type="dxa"/>
          </w:tcPr>
          <w:p w14:paraId="7E216EC6"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Credit year 1</w:t>
            </w:r>
          </w:p>
        </w:tc>
        <w:tc>
          <w:tcPr>
            <w:tcW w:w="1800" w:type="dxa"/>
          </w:tcPr>
          <w:p w14:paraId="63A3A534"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Performance</w:t>
            </w:r>
          </w:p>
          <w:p w14:paraId="18059EB9"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criteria</w:t>
            </w:r>
          </w:p>
        </w:tc>
        <w:tc>
          <w:tcPr>
            <w:tcW w:w="270" w:type="dxa"/>
            <w:tcBorders>
              <w:top w:val="nil"/>
              <w:bottom w:val="nil"/>
            </w:tcBorders>
          </w:tcPr>
          <w:p w14:paraId="2AA6E917" w14:textId="77777777" w:rsidR="007E6131" w:rsidRPr="00925A63" w:rsidRDefault="007E6131" w:rsidP="002C6ED4">
            <w:pPr>
              <w:rPr>
                <w:rFonts w:asciiTheme="minorHAnsi" w:hAnsiTheme="minorHAnsi" w:cstheme="minorHAnsi"/>
                <w:sz w:val="28"/>
                <w:szCs w:val="28"/>
              </w:rPr>
            </w:pPr>
          </w:p>
        </w:tc>
        <w:tc>
          <w:tcPr>
            <w:tcW w:w="1620" w:type="dxa"/>
          </w:tcPr>
          <w:p w14:paraId="6048CE93"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year 4</w:t>
            </w:r>
          </w:p>
        </w:tc>
        <w:tc>
          <w:tcPr>
            <w:tcW w:w="1774" w:type="dxa"/>
          </w:tcPr>
          <w:p w14:paraId="6429D895"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Performance</w:t>
            </w:r>
          </w:p>
          <w:p w14:paraId="3466BDA5"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criteria</w:t>
            </w:r>
          </w:p>
        </w:tc>
      </w:tr>
      <w:tr w:rsidR="00925A63" w14:paraId="4DC10500" w14:textId="77777777" w:rsidTr="00925A63">
        <w:tc>
          <w:tcPr>
            <w:tcW w:w="1705" w:type="dxa"/>
          </w:tcPr>
          <w:p w14:paraId="0DE7AA0C"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Credit year 2</w:t>
            </w:r>
          </w:p>
        </w:tc>
        <w:tc>
          <w:tcPr>
            <w:tcW w:w="1800" w:type="dxa"/>
          </w:tcPr>
          <w:p w14:paraId="0B733986"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Performance</w:t>
            </w:r>
          </w:p>
          <w:p w14:paraId="5E726EC5"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criteria</w:t>
            </w:r>
          </w:p>
        </w:tc>
        <w:tc>
          <w:tcPr>
            <w:tcW w:w="270" w:type="dxa"/>
            <w:tcBorders>
              <w:top w:val="nil"/>
              <w:bottom w:val="nil"/>
            </w:tcBorders>
          </w:tcPr>
          <w:p w14:paraId="67105208" w14:textId="77777777" w:rsidR="007E6131" w:rsidRPr="00925A63" w:rsidRDefault="007E6131" w:rsidP="002C6ED4">
            <w:pPr>
              <w:rPr>
                <w:rFonts w:asciiTheme="minorHAnsi" w:hAnsiTheme="minorHAnsi" w:cstheme="minorHAnsi"/>
                <w:sz w:val="28"/>
                <w:szCs w:val="28"/>
              </w:rPr>
            </w:pPr>
          </w:p>
        </w:tc>
        <w:tc>
          <w:tcPr>
            <w:tcW w:w="1620" w:type="dxa"/>
          </w:tcPr>
          <w:p w14:paraId="7827EE45"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year 5</w:t>
            </w:r>
          </w:p>
        </w:tc>
        <w:tc>
          <w:tcPr>
            <w:tcW w:w="1774" w:type="dxa"/>
          </w:tcPr>
          <w:p w14:paraId="2EECC674"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Performance</w:t>
            </w:r>
          </w:p>
          <w:p w14:paraId="4C860D82"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criteria</w:t>
            </w:r>
          </w:p>
        </w:tc>
      </w:tr>
      <w:tr w:rsidR="00925A63" w14:paraId="516D060D" w14:textId="77777777" w:rsidTr="00925A63">
        <w:tc>
          <w:tcPr>
            <w:tcW w:w="1705" w:type="dxa"/>
          </w:tcPr>
          <w:p w14:paraId="00E9A380"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Hired year 3</w:t>
            </w:r>
          </w:p>
        </w:tc>
        <w:tc>
          <w:tcPr>
            <w:tcW w:w="1800" w:type="dxa"/>
          </w:tcPr>
          <w:p w14:paraId="1E321874"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Performance</w:t>
            </w:r>
          </w:p>
          <w:p w14:paraId="02E0E167"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criteria</w:t>
            </w:r>
          </w:p>
        </w:tc>
        <w:tc>
          <w:tcPr>
            <w:tcW w:w="270" w:type="dxa"/>
            <w:tcBorders>
              <w:top w:val="nil"/>
              <w:bottom w:val="nil"/>
            </w:tcBorders>
          </w:tcPr>
          <w:p w14:paraId="0833E16F" w14:textId="77777777" w:rsidR="007E6131" w:rsidRPr="00925A63" w:rsidRDefault="007E6131" w:rsidP="002C6ED4">
            <w:pPr>
              <w:rPr>
                <w:rFonts w:asciiTheme="minorHAnsi" w:hAnsiTheme="minorHAnsi" w:cstheme="minorHAnsi"/>
                <w:sz w:val="28"/>
                <w:szCs w:val="28"/>
              </w:rPr>
            </w:pPr>
          </w:p>
        </w:tc>
        <w:tc>
          <w:tcPr>
            <w:tcW w:w="1620" w:type="dxa"/>
          </w:tcPr>
          <w:p w14:paraId="495C1337"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year 6</w:t>
            </w:r>
          </w:p>
        </w:tc>
        <w:tc>
          <w:tcPr>
            <w:tcW w:w="1774" w:type="dxa"/>
          </w:tcPr>
          <w:p w14:paraId="6C59FA6D"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 xml:space="preserve">Year of </w:t>
            </w:r>
          </w:p>
          <w:p w14:paraId="52E90B8D" w14:textId="77777777" w:rsidR="007E6131" w:rsidRPr="00925A63" w:rsidRDefault="007E6131" w:rsidP="002C6ED4">
            <w:pPr>
              <w:rPr>
                <w:rFonts w:asciiTheme="minorHAnsi" w:hAnsiTheme="minorHAnsi" w:cstheme="minorHAnsi"/>
                <w:sz w:val="28"/>
                <w:szCs w:val="28"/>
              </w:rPr>
            </w:pPr>
            <w:r w:rsidRPr="00925A63">
              <w:rPr>
                <w:rFonts w:asciiTheme="minorHAnsi" w:hAnsiTheme="minorHAnsi" w:cstheme="minorHAnsi"/>
                <w:sz w:val="28"/>
                <w:szCs w:val="28"/>
              </w:rPr>
              <w:t>consideration</w:t>
            </w:r>
          </w:p>
        </w:tc>
      </w:tr>
    </w:tbl>
    <w:p w14:paraId="27DC71E7" w14:textId="77777777" w:rsidR="00262680" w:rsidRDefault="00262680" w:rsidP="00F67F88">
      <w:pPr>
        <w:pStyle w:val="Heading1"/>
        <w:spacing w:after="120"/>
        <w:ind w:left="1440" w:right="-446" w:hanging="720"/>
        <w:rPr>
          <w:rFonts w:asciiTheme="minorHAnsi" w:hAnsiTheme="minorHAnsi" w:cstheme="minorHAnsi"/>
          <w:b w:val="0"/>
          <w:bCs w:val="0"/>
          <w:sz w:val="28"/>
          <w:szCs w:val="28"/>
        </w:rPr>
      </w:pPr>
    </w:p>
    <w:p w14:paraId="305B863A" w14:textId="590175B4" w:rsidR="00722F98" w:rsidRPr="009A3031" w:rsidRDefault="005D6965" w:rsidP="005D6965">
      <w:pPr>
        <w:pStyle w:val="Heading1"/>
        <w:spacing w:after="120"/>
        <w:ind w:left="1800" w:right="-446" w:hanging="1080"/>
        <w:rPr>
          <w:rFonts w:asciiTheme="minorHAnsi" w:hAnsiTheme="minorHAnsi" w:cstheme="minorHAnsi"/>
          <w:b w:val="0"/>
          <w:bCs w:val="0"/>
          <w:sz w:val="28"/>
          <w:szCs w:val="28"/>
        </w:rPr>
      </w:pPr>
      <w:r>
        <w:rPr>
          <w:rFonts w:asciiTheme="minorHAnsi" w:hAnsiTheme="minorHAnsi" w:cstheme="minorHAnsi"/>
          <w:b w:val="0"/>
          <w:bCs w:val="0"/>
          <w:sz w:val="28"/>
          <w:szCs w:val="28"/>
        </w:rPr>
        <w:t>0</w:t>
      </w:r>
      <w:r w:rsidR="00262680">
        <w:rPr>
          <w:rFonts w:asciiTheme="minorHAnsi" w:hAnsiTheme="minorHAnsi" w:cstheme="minorHAnsi"/>
          <w:b w:val="0"/>
          <w:bCs w:val="0"/>
          <w:sz w:val="28"/>
          <w:szCs w:val="28"/>
        </w:rPr>
        <w:t xml:space="preserve">3.03        </w:t>
      </w:r>
      <w:r w:rsidR="00722F98" w:rsidRPr="009A3031">
        <w:rPr>
          <w:rFonts w:asciiTheme="minorHAnsi" w:hAnsiTheme="minorHAnsi" w:cstheme="minorHAnsi"/>
          <w:b w:val="0"/>
          <w:bCs w:val="0"/>
          <w:sz w:val="28"/>
          <w:szCs w:val="28"/>
        </w:rPr>
        <w:t>Leaves of absence and part-time appointments do not count as part of the probationary period.</w:t>
      </w:r>
    </w:p>
    <w:p w14:paraId="423929D9" w14:textId="2E0206BE" w:rsidR="00722F98" w:rsidRDefault="005D6965" w:rsidP="005D6965">
      <w:pPr>
        <w:pStyle w:val="Heading1"/>
        <w:spacing w:after="120"/>
        <w:ind w:left="1800" w:right="-446" w:hanging="108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03.04       </w:t>
      </w:r>
      <w:r w:rsidR="00722F98" w:rsidRPr="009A3031">
        <w:rPr>
          <w:rFonts w:asciiTheme="minorHAnsi" w:hAnsiTheme="minorHAnsi" w:cstheme="minorHAnsi"/>
          <w:b w:val="0"/>
          <w:bCs w:val="0"/>
          <w:sz w:val="28"/>
          <w:szCs w:val="28"/>
        </w:rPr>
        <w:t>Faculty may toll up to two years on their tenure clock (see AA/PPS 04.02.20).</w:t>
      </w:r>
    </w:p>
    <w:tbl>
      <w:tblPr>
        <w:tblStyle w:val="TableGrid"/>
        <w:tblW w:w="7169" w:type="dxa"/>
        <w:tblInd w:w="1744" w:type="dxa"/>
        <w:tblLook w:val="04A0" w:firstRow="1" w:lastRow="0" w:firstColumn="1" w:lastColumn="0" w:noHBand="0" w:noVBand="1"/>
      </w:tblPr>
      <w:tblGrid>
        <w:gridCol w:w="1705"/>
        <w:gridCol w:w="1800"/>
        <w:gridCol w:w="270"/>
        <w:gridCol w:w="1620"/>
        <w:gridCol w:w="1774"/>
      </w:tblGrid>
      <w:tr w:rsidR="00100993" w14:paraId="4A3E4239" w14:textId="77777777" w:rsidTr="00100993">
        <w:tc>
          <w:tcPr>
            <w:tcW w:w="1705" w:type="dxa"/>
          </w:tcPr>
          <w:p w14:paraId="02252BBB" w14:textId="14EA4759" w:rsidR="00100993" w:rsidRPr="00100993" w:rsidRDefault="00EF1241" w:rsidP="002C6ED4">
            <w:pPr>
              <w:rPr>
                <w:rFonts w:asciiTheme="minorHAnsi" w:hAnsiTheme="minorHAnsi" w:cstheme="minorHAnsi"/>
                <w:sz w:val="28"/>
                <w:szCs w:val="28"/>
              </w:rPr>
            </w:pPr>
            <w:r>
              <w:rPr>
                <w:rFonts w:asciiTheme="minorHAnsi" w:hAnsiTheme="minorHAnsi" w:cstheme="minorHAnsi"/>
                <w:sz w:val="28"/>
                <w:szCs w:val="28"/>
              </w:rPr>
              <w:t xml:space="preserve">Hired </w:t>
            </w:r>
            <w:r w:rsidR="00100993" w:rsidRPr="00100993">
              <w:rPr>
                <w:rFonts w:asciiTheme="minorHAnsi" w:hAnsiTheme="minorHAnsi" w:cstheme="minorHAnsi"/>
                <w:sz w:val="28"/>
                <w:szCs w:val="28"/>
              </w:rPr>
              <w:t>year 1</w:t>
            </w:r>
          </w:p>
        </w:tc>
        <w:tc>
          <w:tcPr>
            <w:tcW w:w="1800" w:type="dxa"/>
          </w:tcPr>
          <w:p w14:paraId="670B49A5"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Performance</w:t>
            </w:r>
          </w:p>
          <w:p w14:paraId="37153F4C"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criteria</w:t>
            </w:r>
          </w:p>
        </w:tc>
        <w:tc>
          <w:tcPr>
            <w:tcW w:w="270" w:type="dxa"/>
            <w:tcBorders>
              <w:top w:val="nil"/>
              <w:bottom w:val="nil"/>
            </w:tcBorders>
          </w:tcPr>
          <w:p w14:paraId="452A16DC" w14:textId="77777777" w:rsidR="00100993" w:rsidRPr="00100993" w:rsidRDefault="00100993" w:rsidP="002C6ED4">
            <w:pPr>
              <w:rPr>
                <w:rFonts w:asciiTheme="minorHAnsi" w:hAnsiTheme="minorHAnsi" w:cstheme="minorHAnsi"/>
                <w:sz w:val="28"/>
                <w:szCs w:val="28"/>
              </w:rPr>
            </w:pPr>
          </w:p>
        </w:tc>
        <w:tc>
          <w:tcPr>
            <w:tcW w:w="1620" w:type="dxa"/>
          </w:tcPr>
          <w:p w14:paraId="7ABBBE00"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year 4</w:t>
            </w:r>
          </w:p>
        </w:tc>
        <w:tc>
          <w:tcPr>
            <w:tcW w:w="1774" w:type="dxa"/>
          </w:tcPr>
          <w:p w14:paraId="0F74FC2A"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Performance</w:t>
            </w:r>
          </w:p>
          <w:p w14:paraId="15FA9BF8"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criteria</w:t>
            </w:r>
          </w:p>
        </w:tc>
      </w:tr>
      <w:tr w:rsidR="00100993" w14:paraId="426167D1" w14:textId="77777777" w:rsidTr="00100993">
        <w:tc>
          <w:tcPr>
            <w:tcW w:w="1705" w:type="dxa"/>
          </w:tcPr>
          <w:p w14:paraId="517F6956" w14:textId="558D64C2"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year 2</w:t>
            </w:r>
          </w:p>
        </w:tc>
        <w:tc>
          <w:tcPr>
            <w:tcW w:w="1800" w:type="dxa"/>
          </w:tcPr>
          <w:p w14:paraId="1FF8DFE9"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Performance</w:t>
            </w:r>
          </w:p>
          <w:p w14:paraId="29B2B50E"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criteria</w:t>
            </w:r>
          </w:p>
        </w:tc>
        <w:tc>
          <w:tcPr>
            <w:tcW w:w="270" w:type="dxa"/>
            <w:tcBorders>
              <w:top w:val="nil"/>
              <w:bottom w:val="nil"/>
            </w:tcBorders>
          </w:tcPr>
          <w:p w14:paraId="47D89188" w14:textId="77777777" w:rsidR="00100993" w:rsidRPr="00100993" w:rsidRDefault="00100993" w:rsidP="002C6ED4">
            <w:pPr>
              <w:rPr>
                <w:rFonts w:asciiTheme="minorHAnsi" w:hAnsiTheme="minorHAnsi" w:cstheme="minorHAnsi"/>
                <w:sz w:val="28"/>
                <w:szCs w:val="28"/>
              </w:rPr>
            </w:pPr>
          </w:p>
        </w:tc>
        <w:tc>
          <w:tcPr>
            <w:tcW w:w="1620" w:type="dxa"/>
          </w:tcPr>
          <w:p w14:paraId="5A53F821"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year 5</w:t>
            </w:r>
          </w:p>
        </w:tc>
        <w:tc>
          <w:tcPr>
            <w:tcW w:w="1774" w:type="dxa"/>
          </w:tcPr>
          <w:p w14:paraId="6262EF24"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Performance</w:t>
            </w:r>
          </w:p>
          <w:p w14:paraId="087D1A2A"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criteria</w:t>
            </w:r>
          </w:p>
        </w:tc>
      </w:tr>
      <w:tr w:rsidR="00100993" w14:paraId="736F0EFA" w14:textId="77777777" w:rsidTr="00100993">
        <w:tc>
          <w:tcPr>
            <w:tcW w:w="1705" w:type="dxa"/>
          </w:tcPr>
          <w:p w14:paraId="2DD89D5C"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Tolled year</w:t>
            </w:r>
          </w:p>
        </w:tc>
        <w:tc>
          <w:tcPr>
            <w:tcW w:w="1800" w:type="dxa"/>
          </w:tcPr>
          <w:p w14:paraId="6A19A37E" w14:textId="77777777" w:rsidR="00100993" w:rsidRPr="00100993" w:rsidRDefault="00100993" w:rsidP="002C6ED4">
            <w:pPr>
              <w:rPr>
                <w:rFonts w:asciiTheme="minorHAnsi" w:hAnsiTheme="minorHAnsi" w:cstheme="minorHAnsi"/>
                <w:sz w:val="28"/>
                <w:szCs w:val="28"/>
              </w:rPr>
            </w:pPr>
          </w:p>
        </w:tc>
        <w:tc>
          <w:tcPr>
            <w:tcW w:w="270" w:type="dxa"/>
            <w:tcBorders>
              <w:top w:val="nil"/>
              <w:bottom w:val="nil"/>
            </w:tcBorders>
          </w:tcPr>
          <w:p w14:paraId="74A20724" w14:textId="77777777" w:rsidR="00100993" w:rsidRPr="00100993" w:rsidRDefault="00100993" w:rsidP="002C6ED4">
            <w:pPr>
              <w:rPr>
                <w:rFonts w:asciiTheme="minorHAnsi" w:hAnsiTheme="minorHAnsi" w:cstheme="minorHAnsi"/>
                <w:sz w:val="28"/>
                <w:szCs w:val="28"/>
              </w:rPr>
            </w:pPr>
          </w:p>
        </w:tc>
        <w:tc>
          <w:tcPr>
            <w:tcW w:w="1620" w:type="dxa"/>
            <w:tcBorders>
              <w:bottom w:val="single" w:sz="4" w:space="0" w:color="auto"/>
            </w:tcBorders>
          </w:tcPr>
          <w:p w14:paraId="06F8DF47"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year 6</w:t>
            </w:r>
          </w:p>
        </w:tc>
        <w:tc>
          <w:tcPr>
            <w:tcW w:w="1774" w:type="dxa"/>
            <w:tcBorders>
              <w:bottom w:val="single" w:sz="4" w:space="0" w:color="auto"/>
            </w:tcBorders>
          </w:tcPr>
          <w:p w14:paraId="149A4930"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 xml:space="preserve">Year of </w:t>
            </w:r>
          </w:p>
          <w:p w14:paraId="7DF67839"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consideration</w:t>
            </w:r>
          </w:p>
        </w:tc>
      </w:tr>
      <w:tr w:rsidR="00100993" w14:paraId="28854709" w14:textId="77777777" w:rsidTr="00100993">
        <w:tc>
          <w:tcPr>
            <w:tcW w:w="1705" w:type="dxa"/>
          </w:tcPr>
          <w:p w14:paraId="069E78CC" w14:textId="2C5F4CE8"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year 3</w:t>
            </w:r>
          </w:p>
        </w:tc>
        <w:tc>
          <w:tcPr>
            <w:tcW w:w="1800" w:type="dxa"/>
          </w:tcPr>
          <w:p w14:paraId="088CD3D9"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Performance</w:t>
            </w:r>
          </w:p>
          <w:p w14:paraId="1DA7E5FB" w14:textId="77777777" w:rsidR="00100993" w:rsidRPr="00100993" w:rsidRDefault="00100993" w:rsidP="002C6ED4">
            <w:pPr>
              <w:rPr>
                <w:rFonts w:asciiTheme="minorHAnsi" w:hAnsiTheme="minorHAnsi" w:cstheme="minorHAnsi"/>
                <w:sz w:val="28"/>
                <w:szCs w:val="28"/>
              </w:rPr>
            </w:pPr>
            <w:r w:rsidRPr="00100993">
              <w:rPr>
                <w:rFonts w:asciiTheme="minorHAnsi" w:hAnsiTheme="minorHAnsi" w:cstheme="minorHAnsi"/>
                <w:sz w:val="28"/>
                <w:szCs w:val="28"/>
              </w:rPr>
              <w:t>criteria</w:t>
            </w:r>
          </w:p>
        </w:tc>
        <w:tc>
          <w:tcPr>
            <w:tcW w:w="270" w:type="dxa"/>
            <w:tcBorders>
              <w:top w:val="nil"/>
              <w:bottom w:val="nil"/>
              <w:right w:val="nil"/>
            </w:tcBorders>
          </w:tcPr>
          <w:p w14:paraId="4D2E7FDC" w14:textId="77777777" w:rsidR="00100993" w:rsidRPr="00100993" w:rsidRDefault="00100993" w:rsidP="002C6ED4">
            <w:pPr>
              <w:rPr>
                <w:rFonts w:asciiTheme="minorHAnsi" w:hAnsiTheme="minorHAnsi" w:cstheme="minorHAnsi"/>
                <w:sz w:val="28"/>
                <w:szCs w:val="28"/>
              </w:rPr>
            </w:pPr>
          </w:p>
        </w:tc>
        <w:tc>
          <w:tcPr>
            <w:tcW w:w="1620" w:type="dxa"/>
            <w:tcBorders>
              <w:left w:val="nil"/>
              <w:bottom w:val="nil"/>
              <w:right w:val="nil"/>
            </w:tcBorders>
          </w:tcPr>
          <w:p w14:paraId="0BEC052C" w14:textId="77777777" w:rsidR="00100993" w:rsidRPr="00100993" w:rsidRDefault="00100993" w:rsidP="002C6ED4">
            <w:pPr>
              <w:rPr>
                <w:rFonts w:asciiTheme="minorHAnsi" w:hAnsiTheme="minorHAnsi" w:cstheme="minorHAnsi"/>
                <w:sz w:val="28"/>
                <w:szCs w:val="28"/>
              </w:rPr>
            </w:pPr>
          </w:p>
        </w:tc>
        <w:tc>
          <w:tcPr>
            <w:tcW w:w="1774" w:type="dxa"/>
            <w:tcBorders>
              <w:left w:val="nil"/>
              <w:bottom w:val="nil"/>
              <w:right w:val="nil"/>
            </w:tcBorders>
          </w:tcPr>
          <w:p w14:paraId="788F3230" w14:textId="77777777" w:rsidR="00100993" w:rsidRPr="00100993" w:rsidRDefault="00100993" w:rsidP="002C6ED4">
            <w:pPr>
              <w:rPr>
                <w:rFonts w:asciiTheme="minorHAnsi" w:hAnsiTheme="minorHAnsi" w:cstheme="minorHAnsi"/>
                <w:sz w:val="28"/>
                <w:szCs w:val="28"/>
              </w:rPr>
            </w:pPr>
          </w:p>
        </w:tc>
      </w:tr>
    </w:tbl>
    <w:p w14:paraId="1EC978EC" w14:textId="77777777" w:rsidR="008F3922" w:rsidRPr="009A3031" w:rsidRDefault="008F3922" w:rsidP="005D6965">
      <w:pPr>
        <w:pStyle w:val="Heading1"/>
        <w:spacing w:after="120"/>
        <w:ind w:left="1800" w:right="-446" w:hanging="1080"/>
        <w:rPr>
          <w:rFonts w:asciiTheme="minorHAnsi" w:hAnsiTheme="minorHAnsi" w:cstheme="minorHAnsi"/>
          <w:b w:val="0"/>
          <w:bCs w:val="0"/>
          <w:sz w:val="28"/>
          <w:szCs w:val="28"/>
        </w:rPr>
      </w:pPr>
    </w:p>
    <w:p w14:paraId="6658134D" w14:textId="13D0FBDC" w:rsidR="0074585D" w:rsidRPr="009A3031" w:rsidRDefault="001F3174" w:rsidP="00866DB7">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03.05     </w:t>
      </w:r>
      <w:r w:rsidR="0074585D" w:rsidRPr="009A3031">
        <w:rPr>
          <w:rFonts w:asciiTheme="minorHAnsi" w:hAnsiTheme="minorHAnsi" w:cstheme="minorHAnsi"/>
          <w:b w:val="0"/>
          <w:bCs w:val="0"/>
          <w:sz w:val="28"/>
          <w:szCs w:val="28"/>
        </w:rPr>
        <w:t>Once tenured, faculty typically spend five years in rank prior to promotion, but this timeline can be altered (either direction) based on performance. Although the total record of performance will be considered, performance since last promotion will be emphasized.</w:t>
      </w:r>
    </w:p>
    <w:p w14:paraId="1062A5C2" w14:textId="77777777" w:rsidR="00722F98" w:rsidRPr="009A3031" w:rsidRDefault="00722F98" w:rsidP="00866DB7">
      <w:pPr>
        <w:pStyle w:val="BodyText"/>
        <w:spacing w:before="93"/>
        <w:ind w:left="1710" w:right="-440" w:hanging="990"/>
        <w:rPr>
          <w:rFonts w:asciiTheme="minorHAnsi" w:hAnsiTheme="minorHAnsi" w:cstheme="minorHAnsi"/>
          <w:sz w:val="28"/>
          <w:szCs w:val="28"/>
        </w:rPr>
      </w:pPr>
    </w:p>
    <w:p w14:paraId="2D6974AA" w14:textId="335A3136" w:rsidR="00722F98" w:rsidRPr="009A3031" w:rsidRDefault="001F3174" w:rsidP="00866DB7">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03.06     </w:t>
      </w:r>
      <w:r w:rsidR="00951DA2" w:rsidRPr="009A3031">
        <w:rPr>
          <w:rFonts w:asciiTheme="minorHAnsi" w:hAnsiTheme="minorHAnsi" w:cstheme="minorHAnsi"/>
          <w:b w:val="0"/>
          <w:bCs w:val="0"/>
          <w:sz w:val="28"/>
          <w:szCs w:val="28"/>
        </w:rPr>
        <w:t xml:space="preserve">Candidates for promotion must be mindful of the university’s expectations of sustained performance in the dimensions of teaching, scholarship, service, and collegiality. </w:t>
      </w:r>
    </w:p>
    <w:p w14:paraId="6EBF36D9" w14:textId="38BCDBF7" w:rsidR="00951DA2" w:rsidRPr="009A3031" w:rsidRDefault="001F3174" w:rsidP="00866DB7">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03.07     </w:t>
      </w:r>
      <w:r w:rsidR="00951DA2" w:rsidRPr="009A3031">
        <w:rPr>
          <w:rFonts w:asciiTheme="minorHAnsi" w:hAnsiTheme="minorHAnsi" w:cstheme="minorHAnsi"/>
          <w:b w:val="0"/>
          <w:bCs w:val="0"/>
          <w:sz w:val="28"/>
          <w:szCs w:val="28"/>
        </w:rPr>
        <w:t xml:space="preserve">The Texas State Vita (Form IA) must document all achievements since the initial date of full employment and highlight those activities which apply to the probationary period(s). </w:t>
      </w:r>
    </w:p>
    <w:p w14:paraId="38A81074" w14:textId="3C403216" w:rsidR="00951DA2" w:rsidRPr="009A3031" w:rsidRDefault="001F3174" w:rsidP="00866DB7">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03.08     </w:t>
      </w:r>
      <w:r w:rsidR="00951DA2" w:rsidRPr="009A3031">
        <w:rPr>
          <w:rFonts w:asciiTheme="minorHAnsi" w:hAnsiTheme="minorHAnsi" w:cstheme="minorHAnsi"/>
          <w:b w:val="0"/>
          <w:bCs w:val="0"/>
          <w:sz w:val="28"/>
          <w:szCs w:val="28"/>
        </w:rPr>
        <w:t>If a tenure-track faculty member pursues a clinical/practice appointment, years of service on the tenure-track will not be considered in the determination of the initial rank of appointment or eligibility for promotion.</w:t>
      </w:r>
    </w:p>
    <w:p w14:paraId="228C0217" w14:textId="7602AA36" w:rsidR="00951DA2" w:rsidRPr="009A3031" w:rsidRDefault="001F3174" w:rsidP="00866DB7">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03.09     </w:t>
      </w:r>
      <w:r w:rsidR="00951DA2" w:rsidRPr="009A3031">
        <w:rPr>
          <w:rFonts w:asciiTheme="minorHAnsi" w:hAnsiTheme="minorHAnsi" w:cstheme="minorHAnsi"/>
          <w:b w:val="0"/>
          <w:bCs w:val="0"/>
          <w:sz w:val="28"/>
          <w:szCs w:val="28"/>
        </w:rPr>
        <w:t>Teaching: A strong record in teaching is essential and would normally include evidence of sustained teaching effectiveness and commitment to continuous improvement in the form of:</w:t>
      </w:r>
    </w:p>
    <w:p w14:paraId="693D66FB" w14:textId="29A5C900" w:rsidR="0062527A" w:rsidRPr="009A3031" w:rsidRDefault="000C0A9A"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 xml:space="preserve">a.     </w:t>
      </w:r>
      <w:r w:rsidR="0062527A" w:rsidRPr="009A3031">
        <w:rPr>
          <w:rFonts w:asciiTheme="minorHAnsi" w:hAnsiTheme="minorHAnsi" w:cstheme="minorHAnsi"/>
          <w:sz w:val="28"/>
          <w:szCs w:val="28"/>
        </w:rPr>
        <w:t>Statement of teaching philosophy (required).</w:t>
      </w:r>
    </w:p>
    <w:p w14:paraId="73A4AB75" w14:textId="05ED34EF" w:rsidR="0062527A" w:rsidRPr="009A3031" w:rsidRDefault="007D5272"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 xml:space="preserve">b.     </w:t>
      </w:r>
      <w:r w:rsidR="0062527A" w:rsidRPr="009A3031">
        <w:rPr>
          <w:rFonts w:asciiTheme="minorHAnsi" w:hAnsiTheme="minorHAnsi" w:cstheme="minorHAnsi"/>
          <w:sz w:val="28"/>
          <w:szCs w:val="28"/>
        </w:rPr>
        <w:t xml:space="preserve">Student evaluations (required) – these should be at or above the </w:t>
      </w:r>
      <w:r w:rsidR="007C724B">
        <w:rPr>
          <w:rFonts w:asciiTheme="minorHAnsi" w:hAnsiTheme="minorHAnsi" w:cstheme="minorHAnsi"/>
          <w:sz w:val="28"/>
          <w:szCs w:val="28"/>
        </w:rPr>
        <w:t>CLS Program</w:t>
      </w:r>
      <w:r w:rsidR="0062527A" w:rsidRPr="009A3031">
        <w:rPr>
          <w:rFonts w:asciiTheme="minorHAnsi" w:hAnsiTheme="minorHAnsi" w:cstheme="minorHAnsi"/>
          <w:sz w:val="28"/>
          <w:szCs w:val="28"/>
        </w:rPr>
        <w:t xml:space="preserve"> median, however consideration is given for complexity/unpopularity of material.</w:t>
      </w:r>
    </w:p>
    <w:p w14:paraId="0F52A683" w14:textId="4350D3DE" w:rsidR="0062527A" w:rsidRPr="009A3031" w:rsidRDefault="007D5272"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c</w:t>
      </w:r>
      <w:r w:rsidR="000C0A9A">
        <w:rPr>
          <w:rFonts w:asciiTheme="minorHAnsi" w:hAnsiTheme="minorHAnsi" w:cstheme="minorHAnsi"/>
          <w:sz w:val="28"/>
          <w:szCs w:val="28"/>
        </w:rPr>
        <w:t xml:space="preserve">.     </w:t>
      </w:r>
      <w:r w:rsidR="0062527A" w:rsidRPr="009A3031">
        <w:rPr>
          <w:rFonts w:asciiTheme="minorHAnsi" w:hAnsiTheme="minorHAnsi" w:cstheme="minorHAnsi"/>
          <w:sz w:val="28"/>
          <w:szCs w:val="28"/>
        </w:rPr>
        <w:t xml:space="preserve">Evaluations by </w:t>
      </w:r>
      <w:r w:rsidR="00FA7D0B">
        <w:rPr>
          <w:rFonts w:asciiTheme="minorHAnsi" w:hAnsiTheme="minorHAnsi" w:cstheme="minorHAnsi"/>
          <w:sz w:val="28"/>
          <w:szCs w:val="28"/>
        </w:rPr>
        <w:t>CLS Chair</w:t>
      </w:r>
      <w:r w:rsidR="0062527A" w:rsidRPr="009A3031">
        <w:rPr>
          <w:rFonts w:asciiTheme="minorHAnsi" w:hAnsiTheme="minorHAnsi" w:cstheme="minorHAnsi"/>
          <w:sz w:val="28"/>
          <w:szCs w:val="28"/>
        </w:rPr>
        <w:t xml:space="preserve"> (required). This should be listed under additional documentation under the Tenure and Promotion section of </w:t>
      </w:r>
      <w:r w:rsidR="007C724B">
        <w:rPr>
          <w:rFonts w:asciiTheme="minorHAnsi" w:hAnsiTheme="minorHAnsi" w:cstheme="minorHAnsi"/>
          <w:sz w:val="28"/>
          <w:szCs w:val="28"/>
        </w:rPr>
        <w:t>Faculty Qualifications</w:t>
      </w:r>
      <w:r w:rsidR="0062527A" w:rsidRPr="009A3031">
        <w:rPr>
          <w:rFonts w:asciiTheme="minorHAnsi" w:hAnsiTheme="minorHAnsi" w:cstheme="minorHAnsi"/>
          <w:sz w:val="28"/>
          <w:szCs w:val="28"/>
        </w:rPr>
        <w:t>.</w:t>
      </w:r>
    </w:p>
    <w:p w14:paraId="70CA9E91" w14:textId="45E4A5D7" w:rsidR="0062527A" w:rsidRPr="009A3031" w:rsidRDefault="007D5272"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d</w:t>
      </w:r>
      <w:r w:rsidR="000C0A9A">
        <w:rPr>
          <w:rFonts w:asciiTheme="minorHAnsi" w:hAnsiTheme="minorHAnsi" w:cstheme="minorHAnsi"/>
          <w:sz w:val="28"/>
          <w:szCs w:val="28"/>
        </w:rPr>
        <w:t xml:space="preserve">.     </w:t>
      </w:r>
      <w:r w:rsidR="0062527A" w:rsidRPr="009A3031">
        <w:rPr>
          <w:rFonts w:asciiTheme="minorHAnsi" w:hAnsiTheme="minorHAnsi" w:cstheme="minorHAnsi"/>
          <w:sz w:val="28"/>
          <w:szCs w:val="28"/>
        </w:rPr>
        <w:t xml:space="preserve">Evaluations based on classroom observations by other faculty members. This peer-evaluation is performed </w:t>
      </w:r>
      <w:r w:rsidR="00FA7D0B">
        <w:rPr>
          <w:rFonts w:asciiTheme="minorHAnsi" w:hAnsiTheme="minorHAnsi" w:cstheme="minorHAnsi"/>
          <w:sz w:val="28"/>
          <w:szCs w:val="28"/>
        </w:rPr>
        <w:t xml:space="preserve">by </w:t>
      </w:r>
      <w:r w:rsidR="007C724B">
        <w:rPr>
          <w:rFonts w:asciiTheme="minorHAnsi" w:hAnsiTheme="minorHAnsi" w:cstheme="minorHAnsi"/>
          <w:sz w:val="28"/>
          <w:szCs w:val="28"/>
        </w:rPr>
        <w:t>other CLS faculty or invited University faculty.</w:t>
      </w:r>
      <w:r w:rsidR="0062527A" w:rsidRPr="009A3031">
        <w:rPr>
          <w:rFonts w:asciiTheme="minorHAnsi" w:hAnsiTheme="minorHAnsi" w:cstheme="minorHAnsi"/>
          <w:sz w:val="28"/>
          <w:szCs w:val="28"/>
        </w:rPr>
        <w:t xml:space="preserve"> Non-tenured faculty, Clinical/Practice faculty, and Lecturers/Adjuncts should </w:t>
      </w:r>
      <w:r w:rsidR="006869F6">
        <w:rPr>
          <w:rFonts w:asciiTheme="minorHAnsi" w:hAnsiTheme="minorHAnsi" w:cstheme="minorHAnsi"/>
          <w:sz w:val="28"/>
          <w:szCs w:val="28"/>
        </w:rPr>
        <w:t>have</w:t>
      </w:r>
      <w:r w:rsidR="0062527A" w:rsidRPr="009A3031">
        <w:rPr>
          <w:rFonts w:asciiTheme="minorHAnsi" w:hAnsiTheme="minorHAnsi" w:cstheme="minorHAnsi"/>
          <w:sz w:val="28"/>
          <w:szCs w:val="28"/>
        </w:rPr>
        <w:t xml:space="preserve"> a peer evaluation at least once per semester. </w:t>
      </w:r>
    </w:p>
    <w:p w14:paraId="28321C9C" w14:textId="76EAF2DF" w:rsidR="0062527A" w:rsidRPr="009A3031" w:rsidRDefault="007D5272"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e</w:t>
      </w:r>
      <w:r w:rsidR="000C0A9A">
        <w:rPr>
          <w:rFonts w:asciiTheme="minorHAnsi" w:hAnsiTheme="minorHAnsi" w:cstheme="minorHAnsi"/>
          <w:sz w:val="28"/>
          <w:szCs w:val="28"/>
        </w:rPr>
        <w:t xml:space="preserve">.     </w:t>
      </w:r>
      <w:r w:rsidR="0062527A" w:rsidRPr="009A3031">
        <w:rPr>
          <w:rFonts w:asciiTheme="minorHAnsi" w:hAnsiTheme="minorHAnsi" w:cstheme="minorHAnsi"/>
          <w:sz w:val="28"/>
          <w:szCs w:val="28"/>
        </w:rPr>
        <w:t>Evidence of continuing education in teaching discipline.</w:t>
      </w:r>
    </w:p>
    <w:p w14:paraId="258050EF" w14:textId="40C4E76B" w:rsidR="0062527A" w:rsidRPr="009A3031" w:rsidRDefault="007D5272" w:rsidP="003C04CE">
      <w:pPr>
        <w:pStyle w:val="BodyText"/>
        <w:spacing w:before="93"/>
        <w:ind w:left="2250" w:right="-440" w:hanging="540"/>
        <w:rPr>
          <w:rFonts w:asciiTheme="minorHAnsi" w:hAnsiTheme="minorHAnsi" w:cstheme="minorHAnsi"/>
          <w:sz w:val="28"/>
          <w:szCs w:val="28"/>
        </w:rPr>
      </w:pPr>
      <w:r>
        <w:rPr>
          <w:rFonts w:asciiTheme="minorHAnsi" w:hAnsiTheme="minorHAnsi" w:cstheme="minorHAnsi"/>
          <w:sz w:val="28"/>
          <w:szCs w:val="28"/>
        </w:rPr>
        <w:t>f</w:t>
      </w:r>
      <w:r w:rsidR="003C04CE">
        <w:rPr>
          <w:rFonts w:asciiTheme="minorHAnsi" w:hAnsiTheme="minorHAnsi" w:cstheme="minorHAnsi"/>
          <w:sz w:val="28"/>
          <w:szCs w:val="28"/>
        </w:rPr>
        <w:t xml:space="preserve">.     </w:t>
      </w:r>
      <w:r w:rsidR="0062527A" w:rsidRPr="009A3031">
        <w:rPr>
          <w:rFonts w:asciiTheme="minorHAnsi" w:hAnsiTheme="minorHAnsi" w:cstheme="minorHAnsi"/>
          <w:sz w:val="28"/>
          <w:szCs w:val="28"/>
        </w:rPr>
        <w:t>Other evidence, possibly including but not limited to letters from former students, development or revision of courses or programs, evidence of innovative instructional materials and teaching techniques, faculty development activities focused on improving teaching effectiveness (such as attendance at conferences and workshops or formal academic study), and teaching awards, honors, and funded teaching grants.</w:t>
      </w:r>
    </w:p>
    <w:p w14:paraId="1F74E30B" w14:textId="4D17D62A" w:rsidR="0062527A" w:rsidRPr="004328F3" w:rsidRDefault="007D5272" w:rsidP="003C04CE">
      <w:pPr>
        <w:pStyle w:val="BodyText"/>
        <w:spacing w:before="93" w:after="120"/>
        <w:ind w:left="2250" w:right="-446" w:hanging="540"/>
        <w:rPr>
          <w:rFonts w:asciiTheme="minorHAnsi" w:hAnsiTheme="minorHAnsi" w:cstheme="minorHAnsi"/>
          <w:sz w:val="28"/>
          <w:szCs w:val="28"/>
        </w:rPr>
      </w:pPr>
      <w:r>
        <w:rPr>
          <w:rFonts w:asciiTheme="minorHAnsi" w:hAnsiTheme="minorHAnsi" w:cstheme="minorHAnsi"/>
          <w:sz w:val="28"/>
          <w:szCs w:val="28"/>
        </w:rPr>
        <w:t>g</w:t>
      </w:r>
      <w:r w:rsidR="003C04CE">
        <w:rPr>
          <w:rFonts w:asciiTheme="minorHAnsi" w:hAnsiTheme="minorHAnsi" w:cstheme="minorHAnsi"/>
          <w:sz w:val="28"/>
          <w:szCs w:val="28"/>
        </w:rPr>
        <w:t xml:space="preserve">.     </w:t>
      </w:r>
      <w:r w:rsidR="0062527A" w:rsidRPr="009A3031">
        <w:rPr>
          <w:rFonts w:asciiTheme="minorHAnsi" w:hAnsiTheme="minorHAnsi" w:cstheme="minorHAnsi"/>
          <w:sz w:val="28"/>
          <w:szCs w:val="28"/>
        </w:rPr>
        <w:t xml:space="preserve">During evaluation periods, </w:t>
      </w:r>
      <w:r w:rsidR="006869F6">
        <w:rPr>
          <w:rFonts w:asciiTheme="minorHAnsi" w:hAnsiTheme="minorHAnsi" w:cstheme="minorHAnsi"/>
          <w:sz w:val="28"/>
          <w:szCs w:val="28"/>
        </w:rPr>
        <w:t>the Chair</w:t>
      </w:r>
      <w:r w:rsidR="0062527A" w:rsidRPr="009A3031">
        <w:rPr>
          <w:rFonts w:asciiTheme="minorHAnsi" w:hAnsiTheme="minorHAnsi" w:cstheme="minorHAnsi"/>
          <w:sz w:val="28"/>
          <w:szCs w:val="28"/>
        </w:rPr>
        <w:t xml:space="preserve"> will also examine grade </w:t>
      </w:r>
      <w:r w:rsidR="0062527A" w:rsidRPr="009A3031">
        <w:rPr>
          <w:rFonts w:asciiTheme="minorHAnsi" w:hAnsiTheme="minorHAnsi" w:cstheme="minorHAnsi"/>
          <w:sz w:val="28"/>
          <w:szCs w:val="28"/>
        </w:rPr>
        <w:lastRenderedPageBreak/>
        <w:t>distributions of all faculty</w:t>
      </w:r>
      <w:r w:rsidR="006869F6">
        <w:rPr>
          <w:rFonts w:asciiTheme="minorHAnsi" w:hAnsiTheme="minorHAnsi" w:cstheme="minorHAnsi"/>
          <w:sz w:val="28"/>
          <w:szCs w:val="28"/>
        </w:rPr>
        <w:t>.</w:t>
      </w:r>
      <w:r w:rsidR="0062527A" w:rsidRPr="009A3031">
        <w:rPr>
          <w:rFonts w:asciiTheme="minorHAnsi" w:hAnsiTheme="minorHAnsi" w:cstheme="minorHAnsi"/>
          <w:sz w:val="28"/>
          <w:szCs w:val="28"/>
        </w:rPr>
        <w:t xml:space="preserve"> </w:t>
      </w:r>
    </w:p>
    <w:p w14:paraId="4D95505B" w14:textId="4B310907" w:rsidR="00722F98" w:rsidRPr="004328F3" w:rsidRDefault="00DD0A15" w:rsidP="0017222F">
      <w:pPr>
        <w:pStyle w:val="Heading1"/>
        <w:spacing w:after="120"/>
        <w:ind w:left="1710" w:right="-446" w:hanging="99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03.10      </w:t>
      </w:r>
      <w:r w:rsidR="0062527A" w:rsidRPr="004328F3">
        <w:rPr>
          <w:rFonts w:asciiTheme="minorHAnsi" w:hAnsiTheme="minorHAnsi" w:cstheme="minorHAnsi"/>
          <w:b w:val="0"/>
          <w:bCs w:val="0"/>
          <w:sz w:val="28"/>
          <w:szCs w:val="28"/>
        </w:rPr>
        <w:t xml:space="preserve">Research: A strong record in research is essential and would normally include evidence of sustained research contributions, defined as approximately </w:t>
      </w:r>
      <w:r w:rsidR="00BA24CE" w:rsidRPr="004328F3">
        <w:rPr>
          <w:rFonts w:asciiTheme="minorHAnsi" w:hAnsiTheme="minorHAnsi" w:cstheme="minorHAnsi"/>
          <w:b w:val="0"/>
          <w:bCs w:val="0"/>
          <w:sz w:val="28"/>
          <w:szCs w:val="28"/>
        </w:rPr>
        <w:t xml:space="preserve">one to </w:t>
      </w:r>
      <w:r w:rsidR="0062527A" w:rsidRPr="004328F3">
        <w:rPr>
          <w:rFonts w:asciiTheme="minorHAnsi" w:hAnsiTheme="minorHAnsi" w:cstheme="minorHAnsi"/>
          <w:b w:val="0"/>
          <w:bCs w:val="0"/>
          <w:sz w:val="28"/>
          <w:szCs w:val="28"/>
        </w:rPr>
        <w:t xml:space="preserve">two publications/year in a scholarly journal with an impact factor </w:t>
      </w:r>
      <w:r w:rsidR="0062527A" w:rsidRPr="004328F3">
        <w:rPr>
          <w:rFonts w:asciiTheme="minorHAnsi" w:hAnsiTheme="minorHAnsi" w:cstheme="minorHAnsi"/>
          <w:b w:val="0"/>
          <w:bCs w:val="0"/>
          <w:sz w:val="28"/>
          <w:szCs w:val="28"/>
          <w:u w:val="single"/>
        </w:rPr>
        <w:t>&gt;</w:t>
      </w:r>
      <w:r w:rsidR="0062527A" w:rsidRPr="004328F3">
        <w:rPr>
          <w:rFonts w:asciiTheme="minorHAnsi" w:hAnsiTheme="minorHAnsi" w:cstheme="minorHAnsi"/>
          <w:b w:val="0"/>
          <w:bCs w:val="0"/>
          <w:sz w:val="28"/>
          <w:szCs w:val="28"/>
        </w:rPr>
        <w:t xml:space="preserve"> 1.0 (quantitative or qualitative), funded grants, and textbook publishing. Faculty should be mindful of the university’s strategic goal to attain a National Research University status, which requires peer-reviewed, published research recognized in respective fields (ours is </w:t>
      </w:r>
      <w:r w:rsidR="00A046D1" w:rsidRPr="004328F3">
        <w:rPr>
          <w:rFonts w:asciiTheme="minorHAnsi" w:hAnsiTheme="minorHAnsi" w:cstheme="minorHAnsi"/>
          <w:b w:val="0"/>
          <w:bCs w:val="0"/>
          <w:sz w:val="28"/>
          <w:szCs w:val="28"/>
        </w:rPr>
        <w:t>CLS or medical laboratory science</w:t>
      </w:r>
      <w:r w:rsidR="0062527A" w:rsidRPr="004328F3">
        <w:rPr>
          <w:rFonts w:asciiTheme="minorHAnsi" w:hAnsiTheme="minorHAnsi" w:cstheme="minorHAnsi"/>
          <w:b w:val="0"/>
          <w:bCs w:val="0"/>
          <w:sz w:val="28"/>
          <w:szCs w:val="28"/>
        </w:rPr>
        <w:t>), and externally funded grants</w:t>
      </w:r>
      <w:r w:rsidR="00FD130A" w:rsidRPr="004328F3">
        <w:rPr>
          <w:rFonts w:asciiTheme="minorHAnsi" w:hAnsiTheme="minorHAnsi" w:cstheme="minorHAnsi"/>
          <w:b w:val="0"/>
          <w:bCs w:val="0"/>
          <w:sz w:val="28"/>
          <w:szCs w:val="28"/>
        </w:rPr>
        <w:t xml:space="preserve">. </w:t>
      </w:r>
      <w:r w:rsidR="0062527A" w:rsidRPr="004328F3">
        <w:rPr>
          <w:rFonts w:asciiTheme="minorHAnsi" w:hAnsiTheme="minorHAnsi" w:cstheme="minorHAnsi"/>
          <w:b w:val="0"/>
          <w:bCs w:val="0"/>
          <w:sz w:val="28"/>
          <w:szCs w:val="28"/>
        </w:rPr>
        <w:t>Any research activity that does not promote this strategic goal may not be recognized by the university as a research outcome. Research that is eligible for consideration for tenure and promotion is as follows:</w:t>
      </w:r>
    </w:p>
    <w:p w14:paraId="6B3D86B8" w14:textId="7C0709C3" w:rsidR="004A3F7C" w:rsidRPr="004328F3" w:rsidRDefault="00F12023" w:rsidP="0017222F">
      <w:pPr>
        <w:pStyle w:val="BodyText"/>
        <w:tabs>
          <w:tab w:val="left" w:pos="2160"/>
        </w:tabs>
        <w:spacing w:before="93" w:after="120"/>
        <w:ind w:left="2070" w:right="-446" w:hanging="360"/>
        <w:rPr>
          <w:rFonts w:asciiTheme="minorHAnsi" w:hAnsiTheme="minorHAnsi" w:cstheme="minorHAnsi"/>
          <w:sz w:val="28"/>
          <w:szCs w:val="28"/>
        </w:rPr>
      </w:pPr>
      <w:r>
        <w:rPr>
          <w:rFonts w:asciiTheme="minorHAnsi" w:hAnsiTheme="minorHAnsi" w:cstheme="minorHAnsi"/>
          <w:sz w:val="28"/>
          <w:szCs w:val="28"/>
        </w:rPr>
        <w:t xml:space="preserve">a.   </w:t>
      </w:r>
      <w:r w:rsidR="004A3F7C" w:rsidRPr="004328F3">
        <w:rPr>
          <w:rFonts w:asciiTheme="minorHAnsi" w:hAnsiTheme="minorHAnsi" w:cstheme="minorHAnsi"/>
          <w:sz w:val="28"/>
          <w:szCs w:val="28"/>
        </w:rPr>
        <w:t xml:space="preserve">Publications are data-driven research (quantitative or qualitative) in peer-reviewed scholarly/professional journals. Authors should verify the journal is not predatory (check using </w:t>
      </w:r>
      <w:hyperlink r:id="rId15" w:history="1">
        <w:r w:rsidR="004A3F7C" w:rsidRPr="004328F3">
          <w:rPr>
            <w:rStyle w:val="Hyperlink"/>
            <w:rFonts w:asciiTheme="minorHAnsi" w:hAnsiTheme="minorHAnsi" w:cstheme="minorHAnsi"/>
            <w:color w:val="auto"/>
            <w:sz w:val="28"/>
            <w:szCs w:val="28"/>
          </w:rPr>
          <w:t>CABELLS</w:t>
        </w:r>
      </w:hyperlink>
      <w:r w:rsidR="004A3F7C" w:rsidRPr="004328F3">
        <w:rPr>
          <w:rFonts w:asciiTheme="minorHAnsi" w:hAnsiTheme="minorHAnsi" w:cstheme="minorHAnsi"/>
          <w:sz w:val="28"/>
          <w:szCs w:val="28"/>
        </w:rPr>
        <w:t xml:space="preserve">) and its impact factor (IF) is listed in </w:t>
      </w:r>
      <w:hyperlink r:id="rId16" w:history="1">
        <w:r w:rsidR="004A3F7C" w:rsidRPr="004328F3">
          <w:rPr>
            <w:rStyle w:val="Hyperlink"/>
            <w:rFonts w:asciiTheme="minorHAnsi" w:hAnsiTheme="minorHAnsi" w:cstheme="minorHAnsi"/>
            <w:color w:val="auto"/>
            <w:sz w:val="28"/>
            <w:szCs w:val="28"/>
          </w:rPr>
          <w:t>Journal Citation Reports (JCR)</w:t>
        </w:r>
      </w:hyperlink>
      <w:r w:rsidR="004A3F7C" w:rsidRPr="004328F3">
        <w:rPr>
          <w:rFonts w:asciiTheme="minorHAnsi" w:hAnsiTheme="minorHAnsi" w:cstheme="minorHAnsi"/>
          <w:sz w:val="28"/>
          <w:szCs w:val="28"/>
        </w:rPr>
        <w:t>.</w:t>
      </w:r>
    </w:p>
    <w:p w14:paraId="37D5912B" w14:textId="7C1318CE" w:rsidR="004A3F7C" w:rsidRPr="004328F3" w:rsidRDefault="00876129"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1.     </w:t>
      </w:r>
      <w:r w:rsidR="004A3F7C" w:rsidRPr="004328F3">
        <w:rPr>
          <w:rFonts w:asciiTheme="minorHAnsi" w:hAnsiTheme="minorHAnsi" w:cstheme="minorHAnsi"/>
          <w:sz w:val="28"/>
          <w:szCs w:val="28"/>
        </w:rPr>
        <w:t xml:space="preserve">Peer review is defined by </w:t>
      </w:r>
      <w:hyperlink r:id="rId17" w:history="1">
        <w:r w:rsidR="004A3F7C" w:rsidRPr="004328F3">
          <w:rPr>
            <w:rStyle w:val="Hyperlink"/>
            <w:rFonts w:asciiTheme="minorHAnsi" w:hAnsiTheme="minorHAnsi" w:cstheme="minorHAnsi"/>
            <w:color w:val="auto"/>
            <w:sz w:val="28"/>
            <w:szCs w:val="28"/>
          </w:rPr>
          <w:t xml:space="preserve">Elsevier </w:t>
        </w:r>
      </w:hyperlink>
      <w:r w:rsidR="004A3F7C" w:rsidRPr="004328F3">
        <w:rPr>
          <w:rFonts w:asciiTheme="minorHAnsi" w:hAnsiTheme="minorHAnsi" w:cstheme="minorHAnsi"/>
          <w:sz w:val="28"/>
          <w:szCs w:val="28"/>
        </w:rPr>
        <w:t xml:space="preserve">as a validation of academic work, helping to improve the quality of published research. </w:t>
      </w:r>
      <w:hyperlink r:id="rId18" w:history="1">
        <w:r w:rsidR="004A3F7C" w:rsidRPr="004328F3">
          <w:rPr>
            <w:rStyle w:val="Hyperlink"/>
            <w:rFonts w:asciiTheme="minorHAnsi" w:hAnsiTheme="minorHAnsi" w:cstheme="minorHAnsi"/>
            <w:color w:val="auto"/>
            <w:sz w:val="28"/>
            <w:szCs w:val="28"/>
          </w:rPr>
          <w:t xml:space="preserve">PubMed </w:t>
        </w:r>
      </w:hyperlink>
      <w:r w:rsidR="004A3F7C" w:rsidRPr="004328F3">
        <w:rPr>
          <w:rFonts w:asciiTheme="minorHAnsi" w:hAnsiTheme="minorHAnsi" w:cstheme="minorHAnsi"/>
          <w:sz w:val="28"/>
          <w:szCs w:val="28"/>
        </w:rPr>
        <w:t>recognizes peer review as, “a process of subjecting an author’s scholarly work, research or ideas to the scrutiny of others who are experts in the same field.</w:t>
      </w:r>
      <w:r w:rsidR="009419F7">
        <w:rPr>
          <w:rFonts w:asciiTheme="minorHAnsi" w:hAnsiTheme="minorHAnsi" w:cstheme="minorHAnsi"/>
          <w:sz w:val="28"/>
          <w:szCs w:val="28"/>
        </w:rPr>
        <w:t>”</w:t>
      </w:r>
      <w:r w:rsidR="004A3F7C" w:rsidRPr="004328F3">
        <w:rPr>
          <w:rFonts w:asciiTheme="minorHAnsi" w:hAnsiTheme="minorHAnsi" w:cstheme="minorHAnsi"/>
          <w:sz w:val="28"/>
          <w:szCs w:val="28"/>
        </w:rPr>
        <w:t xml:space="preserve"> It transcends the editing process. The library’s </w:t>
      </w:r>
      <w:hyperlink r:id="rId19" w:history="1">
        <w:r w:rsidR="004A3F7C" w:rsidRPr="004328F3">
          <w:rPr>
            <w:rStyle w:val="Hyperlink"/>
            <w:rFonts w:asciiTheme="minorHAnsi" w:hAnsiTheme="minorHAnsi" w:cstheme="minorHAnsi"/>
            <w:color w:val="auto"/>
            <w:sz w:val="28"/>
            <w:szCs w:val="28"/>
          </w:rPr>
          <w:t>Research Guides</w:t>
        </w:r>
      </w:hyperlink>
      <w:r w:rsidR="004A3F7C" w:rsidRPr="004328F3">
        <w:rPr>
          <w:rFonts w:asciiTheme="minorHAnsi" w:hAnsiTheme="minorHAnsi" w:cstheme="minorHAnsi"/>
          <w:sz w:val="28"/>
          <w:szCs w:val="28"/>
        </w:rPr>
        <w:t xml:space="preserve"> coach on peer review. A blind peer-review process is preferred.</w:t>
      </w:r>
    </w:p>
    <w:p w14:paraId="172EEBE0" w14:textId="689BF970" w:rsidR="004A3F7C" w:rsidRPr="004328F3" w:rsidRDefault="00876129"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2.     </w:t>
      </w:r>
      <w:r w:rsidR="004A3F7C" w:rsidRPr="004328F3">
        <w:rPr>
          <w:rFonts w:asciiTheme="minorHAnsi" w:hAnsiTheme="minorHAnsi" w:cstheme="minorHAnsi"/>
          <w:sz w:val="28"/>
          <w:szCs w:val="28"/>
        </w:rPr>
        <w:t xml:space="preserve">A </w:t>
      </w:r>
      <w:hyperlink r:id="rId20" w:history="1">
        <w:r w:rsidR="004A3F7C" w:rsidRPr="004328F3">
          <w:rPr>
            <w:rStyle w:val="Hyperlink"/>
            <w:rFonts w:asciiTheme="minorHAnsi" w:hAnsiTheme="minorHAnsi" w:cstheme="minorHAnsi"/>
            <w:color w:val="auto"/>
            <w:sz w:val="28"/>
            <w:szCs w:val="28"/>
          </w:rPr>
          <w:t>predatory journals or publishers</w:t>
        </w:r>
      </w:hyperlink>
      <w:r w:rsidR="004A3F7C" w:rsidRPr="004328F3">
        <w:rPr>
          <w:rFonts w:asciiTheme="minorHAnsi" w:hAnsiTheme="minorHAnsi" w:cstheme="minorHAnsi"/>
          <w:sz w:val="28"/>
          <w:szCs w:val="28"/>
        </w:rPr>
        <w:t xml:space="preserve"> are defined as “entities that prioritize self-interest at the expense of scholarship and are characterized by false or misleading information, deviation from best editorial and publication practices, a lack of transparency, and/or the use of aggressive and indiscriminate solicitation practices.” These entities “accept articles for publication — along with authors’ fees — without performing promised quality checks for issues such as plagiarism or ethical approval” (</w:t>
      </w:r>
      <w:hyperlink r:id="rId21" w:history="1">
        <w:r w:rsidR="004A3F7C" w:rsidRPr="004328F3">
          <w:rPr>
            <w:rStyle w:val="Hyperlink"/>
            <w:rFonts w:asciiTheme="minorHAnsi" w:hAnsiTheme="minorHAnsi" w:cstheme="minorHAnsi"/>
            <w:color w:val="auto"/>
            <w:sz w:val="28"/>
            <w:szCs w:val="28"/>
          </w:rPr>
          <w:t>Nature, 2019</w:t>
        </w:r>
      </w:hyperlink>
      <w:r w:rsidR="004A3F7C" w:rsidRPr="004328F3">
        <w:rPr>
          <w:rFonts w:asciiTheme="minorHAnsi" w:hAnsiTheme="minorHAnsi" w:cstheme="minorHAnsi"/>
          <w:sz w:val="28"/>
          <w:szCs w:val="28"/>
        </w:rPr>
        <w:t xml:space="preserve">). These journals/publishers often do not index the work, </w:t>
      </w:r>
      <w:r w:rsidR="004A3F7C" w:rsidRPr="004328F3">
        <w:rPr>
          <w:rFonts w:asciiTheme="minorHAnsi" w:hAnsiTheme="minorHAnsi" w:cstheme="minorHAnsi"/>
          <w:sz w:val="28"/>
          <w:szCs w:val="28"/>
        </w:rPr>
        <w:lastRenderedPageBreak/>
        <w:t>which means publications are extremely difficult to find, and therefore, they are not read or used in other research.</w:t>
      </w:r>
    </w:p>
    <w:p w14:paraId="7E1BAE43" w14:textId="10F33D73" w:rsidR="004A3F7C" w:rsidRPr="004328F3" w:rsidRDefault="00876129"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3.     </w:t>
      </w:r>
      <w:r w:rsidR="004A3F7C" w:rsidRPr="004328F3">
        <w:rPr>
          <w:rFonts w:asciiTheme="minorHAnsi" w:hAnsiTheme="minorHAnsi" w:cstheme="minorHAnsi"/>
          <w:sz w:val="28"/>
          <w:szCs w:val="28"/>
        </w:rPr>
        <w:t xml:space="preserve">It is recommended that candidates for tenure have a strong record in data-driven research demonstrating a sustained research activity with an average of </w:t>
      </w:r>
      <w:r w:rsidR="00BA24CE" w:rsidRPr="004328F3">
        <w:rPr>
          <w:rFonts w:asciiTheme="minorHAnsi" w:hAnsiTheme="minorHAnsi" w:cstheme="minorHAnsi"/>
          <w:sz w:val="28"/>
          <w:szCs w:val="28"/>
        </w:rPr>
        <w:t xml:space="preserve">one to </w:t>
      </w:r>
      <w:r w:rsidR="004A3F7C" w:rsidRPr="004328F3">
        <w:rPr>
          <w:rFonts w:asciiTheme="minorHAnsi" w:hAnsiTheme="minorHAnsi" w:cstheme="minorHAnsi"/>
          <w:sz w:val="28"/>
          <w:szCs w:val="28"/>
        </w:rPr>
        <w:t>two articles per year, (</w:t>
      </w:r>
      <w:r w:rsidR="00A67063" w:rsidRPr="004328F3">
        <w:rPr>
          <w:rFonts w:asciiTheme="minorHAnsi" w:hAnsiTheme="minorHAnsi" w:cstheme="minorHAnsi"/>
          <w:sz w:val="28"/>
          <w:szCs w:val="28"/>
        </w:rPr>
        <w:t>~</w:t>
      </w:r>
      <w:r w:rsidR="004A3F7C" w:rsidRPr="004328F3">
        <w:rPr>
          <w:rFonts w:asciiTheme="minorHAnsi" w:hAnsiTheme="minorHAnsi" w:cstheme="minorHAnsi"/>
          <w:sz w:val="28"/>
          <w:szCs w:val="28"/>
        </w:rPr>
        <w:t xml:space="preserve"> </w:t>
      </w:r>
      <w:r w:rsidR="00BA24CE" w:rsidRPr="004328F3">
        <w:rPr>
          <w:rFonts w:asciiTheme="minorHAnsi" w:hAnsiTheme="minorHAnsi" w:cstheme="minorHAnsi"/>
          <w:sz w:val="28"/>
          <w:szCs w:val="28"/>
        </w:rPr>
        <w:t>8-10</w:t>
      </w:r>
      <w:r w:rsidR="004A3F7C" w:rsidRPr="004328F3">
        <w:rPr>
          <w:rFonts w:asciiTheme="minorHAnsi" w:hAnsiTheme="minorHAnsi" w:cstheme="minorHAnsi"/>
          <w:sz w:val="28"/>
          <w:szCs w:val="28"/>
        </w:rPr>
        <w:t xml:space="preserve"> articles that support the university’s strategic goal) in the approved research agenda. </w:t>
      </w:r>
      <w:r w:rsidR="00BA24CE" w:rsidRPr="004328F3">
        <w:rPr>
          <w:rFonts w:asciiTheme="minorHAnsi" w:hAnsiTheme="minorHAnsi" w:cstheme="minorHAnsi"/>
          <w:sz w:val="28"/>
          <w:szCs w:val="28"/>
        </w:rPr>
        <w:t>A</w:t>
      </w:r>
      <w:r w:rsidR="004A3F7C" w:rsidRPr="004328F3">
        <w:rPr>
          <w:rFonts w:asciiTheme="minorHAnsi" w:hAnsiTheme="minorHAnsi" w:cstheme="minorHAnsi"/>
          <w:sz w:val="28"/>
          <w:szCs w:val="28"/>
        </w:rPr>
        <w:t>rticles can be</w:t>
      </w:r>
      <w:r w:rsidR="00BA24CE" w:rsidRPr="004328F3">
        <w:rPr>
          <w:rFonts w:asciiTheme="minorHAnsi" w:hAnsiTheme="minorHAnsi" w:cstheme="minorHAnsi"/>
          <w:sz w:val="28"/>
          <w:szCs w:val="28"/>
        </w:rPr>
        <w:t xml:space="preserve"> original research expertise</w:t>
      </w:r>
      <w:r w:rsidR="0006458C" w:rsidRPr="004328F3">
        <w:rPr>
          <w:rFonts w:asciiTheme="minorHAnsi" w:hAnsiTheme="minorHAnsi" w:cstheme="minorHAnsi"/>
          <w:sz w:val="28"/>
          <w:szCs w:val="28"/>
        </w:rPr>
        <w:t xml:space="preserve"> and </w:t>
      </w:r>
      <w:r w:rsidR="004A3F7C" w:rsidRPr="004328F3">
        <w:rPr>
          <w:rFonts w:asciiTheme="minorHAnsi" w:hAnsiTheme="minorHAnsi" w:cstheme="minorHAnsi"/>
          <w:sz w:val="28"/>
          <w:szCs w:val="28"/>
        </w:rPr>
        <w:t>pedagogy (what we teach, how and why we teach it, process improvement, etc.)</w:t>
      </w:r>
      <w:r w:rsidR="0006458C" w:rsidRPr="004328F3">
        <w:rPr>
          <w:rFonts w:asciiTheme="minorHAnsi" w:hAnsiTheme="minorHAnsi" w:cstheme="minorHAnsi"/>
          <w:sz w:val="28"/>
          <w:szCs w:val="28"/>
        </w:rPr>
        <w:t>.</w:t>
      </w:r>
      <w:r w:rsidR="00BA24CE" w:rsidRPr="004328F3">
        <w:rPr>
          <w:rFonts w:asciiTheme="minorHAnsi" w:hAnsiTheme="minorHAnsi" w:cstheme="minorHAnsi"/>
          <w:sz w:val="28"/>
          <w:szCs w:val="28"/>
        </w:rPr>
        <w:t xml:space="preserve"> </w:t>
      </w:r>
      <w:r w:rsidR="00004915" w:rsidRPr="004328F3">
        <w:rPr>
          <w:rFonts w:asciiTheme="minorHAnsi" w:hAnsiTheme="minorHAnsi" w:cstheme="minorHAnsi"/>
          <w:sz w:val="28"/>
          <w:szCs w:val="28"/>
        </w:rPr>
        <w:t>Some a</w:t>
      </w:r>
      <w:r w:rsidR="004A3F7C" w:rsidRPr="004328F3">
        <w:rPr>
          <w:rFonts w:asciiTheme="minorHAnsi" w:hAnsiTheme="minorHAnsi" w:cstheme="minorHAnsi"/>
          <w:sz w:val="28"/>
          <w:szCs w:val="28"/>
        </w:rPr>
        <w:t>rticles should show leadership in research through first author.</w:t>
      </w:r>
    </w:p>
    <w:p w14:paraId="06F941E5" w14:textId="3EE475F7" w:rsidR="004A3F7C" w:rsidRPr="004328F3" w:rsidRDefault="00876129"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4.     </w:t>
      </w:r>
      <w:r w:rsidR="004A3F7C" w:rsidRPr="004328F3">
        <w:rPr>
          <w:rFonts w:asciiTheme="minorHAnsi" w:hAnsiTheme="minorHAnsi" w:cstheme="minorHAnsi"/>
          <w:sz w:val="28"/>
          <w:szCs w:val="28"/>
        </w:rPr>
        <w:t>It is recommended that candidates for promotion to Professor have a strong record in research with an average of two additional peer-reviewed, data-driven research articles (which support the university’s strategic goal) per year (</w:t>
      </w:r>
      <w:r w:rsidR="004A3F7C" w:rsidRPr="004328F3">
        <w:rPr>
          <w:rFonts w:asciiTheme="minorHAnsi" w:hAnsiTheme="minorHAnsi" w:cstheme="minorHAnsi"/>
          <w:sz w:val="28"/>
          <w:szCs w:val="28"/>
          <w:u w:val="single"/>
        </w:rPr>
        <w:t>&gt;</w:t>
      </w:r>
      <w:r w:rsidR="004A3F7C" w:rsidRPr="004328F3">
        <w:rPr>
          <w:rFonts w:asciiTheme="minorHAnsi" w:hAnsiTheme="minorHAnsi" w:cstheme="minorHAnsi"/>
          <w:sz w:val="28"/>
          <w:szCs w:val="28"/>
        </w:rPr>
        <w:t xml:space="preserve"> 10 articles that support the university’s strategic goal) </w:t>
      </w:r>
      <w:r w:rsidR="004A3F7C" w:rsidRPr="004328F3">
        <w:rPr>
          <w:rFonts w:asciiTheme="minorHAnsi" w:hAnsiTheme="minorHAnsi" w:cstheme="minorHAnsi"/>
          <w:i/>
          <w:iCs/>
          <w:sz w:val="28"/>
          <w:szCs w:val="28"/>
        </w:rPr>
        <w:t>since promotion to associate professor</w:t>
      </w:r>
      <w:r w:rsidR="004A3F7C" w:rsidRPr="004328F3">
        <w:rPr>
          <w:rFonts w:asciiTheme="minorHAnsi" w:hAnsiTheme="minorHAnsi" w:cstheme="minorHAnsi"/>
          <w:sz w:val="28"/>
          <w:szCs w:val="28"/>
        </w:rPr>
        <w:t xml:space="preserve"> in the approved research agenda for the period under review, which is usually five years. Most of the required peer-reviewed articles should be in scholarly/professional journals with IF </w:t>
      </w:r>
      <w:r w:rsidR="004A3F7C" w:rsidRPr="004328F3">
        <w:rPr>
          <w:rFonts w:asciiTheme="minorHAnsi" w:hAnsiTheme="minorHAnsi" w:cstheme="minorHAnsi"/>
          <w:sz w:val="28"/>
          <w:szCs w:val="28"/>
          <w:u w:val="single"/>
        </w:rPr>
        <w:t>&gt;</w:t>
      </w:r>
      <w:r w:rsidR="004A3F7C" w:rsidRPr="004328F3">
        <w:rPr>
          <w:rFonts w:asciiTheme="minorHAnsi" w:hAnsiTheme="minorHAnsi" w:cstheme="minorHAnsi"/>
          <w:sz w:val="28"/>
          <w:szCs w:val="28"/>
        </w:rPr>
        <w:t xml:space="preserve"> 1.0 and the record should show strong evidence of leadership in research through first author. Records of candidates for Professor should demonstrate effort through grant activity, and they may show more activity in contributions toward textbooks. Research productivity must be sustained over the period under review, and there must be evidence of sustainability (future research).</w:t>
      </w:r>
    </w:p>
    <w:p w14:paraId="2361A3EB" w14:textId="06527B80" w:rsidR="004A3F7C" w:rsidRPr="004328F3" w:rsidRDefault="009E76F0"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5.     </w:t>
      </w:r>
      <w:r w:rsidR="004A3F7C" w:rsidRPr="004328F3">
        <w:rPr>
          <w:rFonts w:asciiTheme="minorHAnsi" w:hAnsiTheme="minorHAnsi" w:cstheme="minorHAnsi"/>
          <w:sz w:val="28"/>
          <w:szCs w:val="28"/>
        </w:rPr>
        <w:t xml:space="preserve">Other scholarly publications (e.g., textbooks, book chapters) may be regarded in </w:t>
      </w:r>
      <w:r w:rsidR="00004915" w:rsidRPr="004328F3">
        <w:rPr>
          <w:rFonts w:asciiTheme="minorHAnsi" w:hAnsiTheme="minorHAnsi" w:cstheme="minorHAnsi"/>
          <w:sz w:val="28"/>
          <w:szCs w:val="28"/>
        </w:rPr>
        <w:t>CLS</w:t>
      </w:r>
      <w:r w:rsidR="004A3F7C" w:rsidRPr="004328F3">
        <w:rPr>
          <w:rFonts w:asciiTheme="minorHAnsi" w:hAnsiTheme="minorHAnsi" w:cstheme="minorHAnsi"/>
          <w:sz w:val="28"/>
          <w:szCs w:val="28"/>
        </w:rPr>
        <w:t xml:space="preserve"> as equivalent to peer-reviewed articles if they carry a similar level of prestige, require a similar level of effort, and undergo a peer-review process (beyond editing). A published book chapter would be equivalent to one publication, and a published textbook would be equivalent to multiple publications. </w:t>
      </w:r>
      <w:r w:rsidR="00004915" w:rsidRPr="004328F3">
        <w:rPr>
          <w:rFonts w:asciiTheme="minorHAnsi" w:hAnsiTheme="minorHAnsi" w:cstheme="minorHAnsi"/>
          <w:sz w:val="28"/>
          <w:szCs w:val="28"/>
        </w:rPr>
        <w:t>It should be noted that</w:t>
      </w:r>
      <w:r w:rsidR="004A3F7C" w:rsidRPr="004328F3">
        <w:rPr>
          <w:rFonts w:asciiTheme="minorHAnsi" w:hAnsiTheme="minorHAnsi" w:cstheme="minorHAnsi"/>
          <w:sz w:val="28"/>
          <w:szCs w:val="28"/>
        </w:rPr>
        <w:t xml:space="preserve"> textbooks </w:t>
      </w:r>
      <w:r w:rsidR="00004915" w:rsidRPr="004328F3">
        <w:rPr>
          <w:rFonts w:asciiTheme="minorHAnsi" w:hAnsiTheme="minorHAnsi" w:cstheme="minorHAnsi"/>
          <w:sz w:val="28"/>
          <w:szCs w:val="28"/>
        </w:rPr>
        <w:t xml:space="preserve">may be discouraged </w:t>
      </w:r>
      <w:r w:rsidR="004A3F7C" w:rsidRPr="004328F3">
        <w:rPr>
          <w:rFonts w:asciiTheme="minorHAnsi" w:hAnsiTheme="minorHAnsi" w:cstheme="minorHAnsi"/>
          <w:sz w:val="28"/>
          <w:szCs w:val="28"/>
        </w:rPr>
        <w:t xml:space="preserve">due to the time involved that distracts them from publishing journal </w:t>
      </w:r>
      <w:r w:rsidR="004A3F7C" w:rsidRPr="004328F3">
        <w:rPr>
          <w:rFonts w:asciiTheme="minorHAnsi" w:hAnsiTheme="minorHAnsi" w:cstheme="minorHAnsi"/>
          <w:sz w:val="28"/>
          <w:szCs w:val="28"/>
        </w:rPr>
        <w:lastRenderedPageBreak/>
        <w:t>articles.</w:t>
      </w:r>
    </w:p>
    <w:p w14:paraId="73DA2AE9" w14:textId="30291C0B" w:rsidR="004A3F7C" w:rsidRPr="004328F3" w:rsidRDefault="009E76F0"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6.     </w:t>
      </w:r>
      <w:r w:rsidR="004A3F7C" w:rsidRPr="004328F3">
        <w:rPr>
          <w:rFonts w:asciiTheme="minorHAnsi" w:hAnsiTheme="minorHAnsi" w:cstheme="minorHAnsi"/>
          <w:sz w:val="28"/>
          <w:szCs w:val="28"/>
        </w:rPr>
        <w:t>Evaluation of scholarly contributions involves a judgment about quality as well as quantity. In addition, lead authorship and the number of co-authors of a scholarly contribution may be considered as well as whether the scholarly contribution is international, national, state, or local. A significant portion of the research must deal directly with the research agenda while only a minor portion can deal with support disciplines such as pedagogy.</w:t>
      </w:r>
    </w:p>
    <w:p w14:paraId="5101470D" w14:textId="7EEF7712" w:rsidR="00327762" w:rsidRPr="004328F3" w:rsidRDefault="009E76F0"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7.     </w:t>
      </w:r>
      <w:r w:rsidR="00327762" w:rsidRPr="004328F3">
        <w:rPr>
          <w:rFonts w:asciiTheme="minorHAnsi" w:hAnsiTheme="minorHAnsi" w:cstheme="minorHAnsi"/>
          <w:sz w:val="28"/>
          <w:szCs w:val="28"/>
        </w:rPr>
        <w:t xml:space="preserve">Other scholarly activities including but not limited to non-scholarly books, publications in non-peer-reviewed journals or trade publications, conference proceedings, case publications (not in peer-reviewed journals), Internet-based publications, study guides, papers (refereed) at professional conferences, invited presentations and workshops at professional conferences, internal grants, non-peer reviewed journals and book chapters, and software development, are recognized and appreciated by </w:t>
      </w:r>
      <w:r w:rsidR="00004915" w:rsidRPr="004328F3">
        <w:rPr>
          <w:rFonts w:asciiTheme="minorHAnsi" w:hAnsiTheme="minorHAnsi" w:cstheme="minorHAnsi"/>
          <w:sz w:val="28"/>
          <w:szCs w:val="28"/>
        </w:rPr>
        <w:t>the CLS Program</w:t>
      </w:r>
      <w:r w:rsidR="00327762" w:rsidRPr="004328F3">
        <w:rPr>
          <w:rFonts w:asciiTheme="minorHAnsi" w:hAnsiTheme="minorHAnsi" w:cstheme="minorHAnsi"/>
          <w:sz w:val="28"/>
          <w:szCs w:val="28"/>
        </w:rPr>
        <w:t xml:space="preserve">, but these may not be considered as productivity for T&amp;P decisions and research workload releases. These activities are encouraged because they provide evidence of activity, but they do not substitute for peer-reviewed articles/books or external grants because they do not directly support the university’s strategic goals. </w:t>
      </w:r>
    </w:p>
    <w:p w14:paraId="18EEB3E2" w14:textId="1ACB7739" w:rsidR="0071741F" w:rsidRPr="004328F3" w:rsidRDefault="009E76F0" w:rsidP="009E76F0">
      <w:pPr>
        <w:pStyle w:val="BodyText"/>
        <w:spacing w:before="93"/>
        <w:ind w:left="2610" w:right="-440" w:hanging="540"/>
        <w:rPr>
          <w:rFonts w:asciiTheme="minorHAnsi" w:hAnsiTheme="minorHAnsi" w:cstheme="minorHAnsi"/>
          <w:sz w:val="28"/>
          <w:szCs w:val="28"/>
        </w:rPr>
      </w:pPr>
      <w:r>
        <w:rPr>
          <w:rFonts w:asciiTheme="minorHAnsi" w:hAnsiTheme="minorHAnsi" w:cstheme="minorHAnsi"/>
          <w:sz w:val="28"/>
          <w:szCs w:val="28"/>
        </w:rPr>
        <w:t xml:space="preserve">8.     </w:t>
      </w:r>
      <w:r w:rsidR="00327762" w:rsidRPr="004328F3">
        <w:rPr>
          <w:rFonts w:asciiTheme="minorHAnsi" w:hAnsiTheme="minorHAnsi" w:cstheme="minorHAnsi"/>
          <w:sz w:val="28"/>
          <w:szCs w:val="28"/>
        </w:rPr>
        <w:t xml:space="preserve">Grants: Tenure-track faculty </w:t>
      </w:r>
      <w:r w:rsidR="00004915" w:rsidRPr="004328F3">
        <w:rPr>
          <w:rFonts w:asciiTheme="minorHAnsi" w:hAnsiTheme="minorHAnsi" w:cstheme="minorHAnsi"/>
          <w:sz w:val="28"/>
          <w:szCs w:val="28"/>
        </w:rPr>
        <w:t>should use caution</w:t>
      </w:r>
      <w:r w:rsidR="00327762" w:rsidRPr="004328F3">
        <w:rPr>
          <w:rFonts w:asciiTheme="minorHAnsi" w:hAnsiTheme="minorHAnsi" w:cstheme="minorHAnsi"/>
          <w:sz w:val="28"/>
          <w:szCs w:val="28"/>
        </w:rPr>
        <w:t xml:space="preserve"> from seeking a PI position in a grant due to the time involved that distracts them from publishing journal articles. However, newly tenured faculty will be asked to submit one external grant submission per year that, in addition to research, attempts to fund one GRA, and travel to a conference where research can be presented. It is also recommended to include tenure-track faculty on grants, but not as PIs. Senior faculty should coach tenure-track faculty on REP submissions. A funded external grant carries </w:t>
      </w:r>
      <w:r w:rsidR="004328F3" w:rsidRPr="004328F3">
        <w:rPr>
          <w:rFonts w:asciiTheme="minorHAnsi" w:hAnsiTheme="minorHAnsi" w:cstheme="minorHAnsi"/>
          <w:sz w:val="28"/>
          <w:szCs w:val="28"/>
        </w:rPr>
        <w:t>as PI carries stronger weight as a product.</w:t>
      </w:r>
      <w:r w:rsidR="00327762" w:rsidRPr="004328F3">
        <w:rPr>
          <w:rFonts w:asciiTheme="minorHAnsi" w:hAnsiTheme="minorHAnsi" w:cstheme="minorHAnsi"/>
          <w:sz w:val="28"/>
          <w:szCs w:val="28"/>
        </w:rPr>
        <w:t xml:space="preserve"> </w:t>
      </w:r>
    </w:p>
    <w:p w14:paraId="6FDFF538" w14:textId="58000AB6" w:rsidR="00216DB8" w:rsidRPr="004328F3" w:rsidRDefault="00F12023" w:rsidP="00F12023">
      <w:pPr>
        <w:pStyle w:val="BodyText"/>
        <w:spacing w:before="93" w:after="120"/>
        <w:ind w:left="1440" w:right="-446"/>
        <w:rPr>
          <w:rFonts w:asciiTheme="minorHAnsi" w:hAnsiTheme="minorHAnsi" w:cstheme="minorHAnsi"/>
          <w:sz w:val="28"/>
          <w:szCs w:val="28"/>
        </w:rPr>
      </w:pPr>
      <w:r>
        <w:rPr>
          <w:rFonts w:asciiTheme="minorHAnsi" w:hAnsiTheme="minorHAnsi" w:cstheme="minorHAnsi"/>
          <w:sz w:val="28"/>
          <w:szCs w:val="28"/>
        </w:rPr>
        <w:t>b.</w:t>
      </w:r>
      <w:r w:rsidR="00876129">
        <w:rPr>
          <w:rFonts w:asciiTheme="minorHAnsi" w:hAnsiTheme="minorHAnsi" w:cstheme="minorHAnsi"/>
          <w:sz w:val="28"/>
          <w:szCs w:val="28"/>
        </w:rPr>
        <w:tab/>
      </w:r>
      <w:r w:rsidR="00216DB8" w:rsidRPr="004328F3">
        <w:rPr>
          <w:rFonts w:asciiTheme="minorHAnsi" w:hAnsiTheme="minorHAnsi" w:cstheme="minorHAnsi"/>
          <w:sz w:val="28"/>
          <w:szCs w:val="28"/>
        </w:rPr>
        <w:t>Expectations:</w:t>
      </w:r>
    </w:p>
    <w:p w14:paraId="02CFE567" w14:textId="1F17F27E" w:rsidR="002C5C3C" w:rsidRPr="004328F3" w:rsidRDefault="009E76F0" w:rsidP="009E76F0">
      <w:pPr>
        <w:pStyle w:val="BodyText"/>
        <w:spacing w:before="93"/>
        <w:ind w:left="2610" w:right="-440" w:hanging="450"/>
        <w:rPr>
          <w:rFonts w:asciiTheme="minorHAnsi" w:hAnsiTheme="minorHAnsi" w:cstheme="minorHAnsi"/>
          <w:sz w:val="28"/>
          <w:szCs w:val="28"/>
        </w:rPr>
      </w:pPr>
      <w:r>
        <w:rPr>
          <w:rFonts w:asciiTheme="minorHAnsi" w:hAnsiTheme="minorHAnsi" w:cstheme="minorHAnsi"/>
          <w:sz w:val="28"/>
          <w:szCs w:val="28"/>
        </w:rPr>
        <w:lastRenderedPageBreak/>
        <w:t xml:space="preserve">1.    </w:t>
      </w:r>
      <w:r w:rsidR="002C5C3C" w:rsidRPr="004328F3">
        <w:rPr>
          <w:rFonts w:asciiTheme="minorHAnsi" w:hAnsiTheme="minorHAnsi" w:cstheme="minorHAnsi"/>
          <w:sz w:val="28"/>
          <w:szCs w:val="28"/>
        </w:rPr>
        <w:t xml:space="preserve">Faculty on the tenure track should focus their efforts on establishing a sustained research agenda. The </w:t>
      </w:r>
      <w:r w:rsidR="004328F3" w:rsidRPr="004328F3">
        <w:rPr>
          <w:rFonts w:asciiTheme="minorHAnsi" w:hAnsiTheme="minorHAnsi" w:cstheme="minorHAnsi"/>
          <w:sz w:val="28"/>
          <w:szCs w:val="28"/>
        </w:rPr>
        <w:t>CLS program</w:t>
      </w:r>
      <w:r w:rsidR="002C5C3C" w:rsidRPr="004328F3">
        <w:rPr>
          <w:rFonts w:asciiTheme="minorHAnsi" w:hAnsiTheme="minorHAnsi" w:cstheme="minorHAnsi"/>
          <w:sz w:val="28"/>
          <w:szCs w:val="28"/>
        </w:rPr>
        <w:t xml:space="preserve"> leadership will help mentor them along this path</w:t>
      </w:r>
      <w:r w:rsidR="00A167C4" w:rsidRPr="004328F3">
        <w:rPr>
          <w:rFonts w:asciiTheme="minorHAnsi" w:hAnsiTheme="minorHAnsi" w:cstheme="minorHAnsi"/>
          <w:sz w:val="28"/>
          <w:szCs w:val="28"/>
        </w:rPr>
        <w:t xml:space="preserve">, and they will only assign </w:t>
      </w:r>
      <w:r w:rsidR="007F6B54" w:rsidRPr="004328F3">
        <w:rPr>
          <w:rFonts w:asciiTheme="minorHAnsi" w:hAnsiTheme="minorHAnsi" w:cstheme="minorHAnsi"/>
          <w:sz w:val="28"/>
          <w:szCs w:val="28"/>
        </w:rPr>
        <w:t>limited-service</w:t>
      </w:r>
      <w:r w:rsidR="00A167C4" w:rsidRPr="004328F3">
        <w:rPr>
          <w:rFonts w:asciiTheme="minorHAnsi" w:hAnsiTheme="minorHAnsi" w:cstheme="minorHAnsi"/>
          <w:sz w:val="28"/>
          <w:szCs w:val="28"/>
        </w:rPr>
        <w:t xml:space="preserve"> responsibilities.</w:t>
      </w:r>
    </w:p>
    <w:p w14:paraId="24265C19" w14:textId="74BE914E" w:rsidR="00ED3CC3" w:rsidRPr="004328F3" w:rsidRDefault="009E76F0" w:rsidP="009E76F0">
      <w:pPr>
        <w:pStyle w:val="BodyText"/>
        <w:spacing w:before="93"/>
        <w:ind w:left="2610" w:right="-440" w:hanging="450"/>
        <w:rPr>
          <w:rFonts w:asciiTheme="minorHAnsi" w:hAnsiTheme="minorHAnsi" w:cstheme="minorHAnsi"/>
          <w:sz w:val="28"/>
          <w:szCs w:val="28"/>
        </w:rPr>
      </w:pPr>
      <w:r>
        <w:rPr>
          <w:rFonts w:asciiTheme="minorHAnsi" w:hAnsiTheme="minorHAnsi" w:cstheme="minorHAnsi"/>
          <w:sz w:val="28"/>
          <w:szCs w:val="28"/>
        </w:rPr>
        <w:t xml:space="preserve">2.    </w:t>
      </w:r>
      <w:r w:rsidR="00ED3CC3" w:rsidRPr="004328F3">
        <w:rPr>
          <w:rFonts w:asciiTheme="minorHAnsi" w:hAnsiTheme="minorHAnsi" w:cstheme="minorHAnsi"/>
          <w:sz w:val="28"/>
          <w:szCs w:val="28"/>
        </w:rPr>
        <w:t xml:space="preserve">Once faculty are tenured, </w:t>
      </w:r>
      <w:r w:rsidR="00D3441E" w:rsidRPr="004328F3">
        <w:rPr>
          <w:rFonts w:asciiTheme="minorHAnsi" w:hAnsiTheme="minorHAnsi" w:cstheme="minorHAnsi"/>
          <w:sz w:val="28"/>
          <w:szCs w:val="28"/>
        </w:rPr>
        <w:t>they should be mindful of scholarly expectations should they desire to pursue promotion to Professor.</w:t>
      </w:r>
      <w:r w:rsidR="00F43C31" w:rsidRPr="004328F3">
        <w:rPr>
          <w:rFonts w:asciiTheme="minorHAnsi" w:hAnsiTheme="minorHAnsi" w:cstheme="minorHAnsi"/>
          <w:sz w:val="28"/>
          <w:szCs w:val="28"/>
        </w:rPr>
        <w:t xml:space="preserve"> While they are not under the same probationary period for tenure</w:t>
      </w:r>
      <w:r w:rsidR="00876ACD" w:rsidRPr="004328F3">
        <w:rPr>
          <w:rFonts w:asciiTheme="minorHAnsi" w:hAnsiTheme="minorHAnsi" w:cstheme="minorHAnsi"/>
          <w:sz w:val="28"/>
          <w:szCs w:val="28"/>
        </w:rPr>
        <w:t xml:space="preserve">, if promotion to Professor is a goal, they should maintain the sustained record of publication that </w:t>
      </w:r>
      <w:r w:rsidR="001F6CFF" w:rsidRPr="004328F3">
        <w:rPr>
          <w:rFonts w:asciiTheme="minorHAnsi" w:hAnsiTheme="minorHAnsi" w:cstheme="minorHAnsi"/>
          <w:sz w:val="28"/>
          <w:szCs w:val="28"/>
        </w:rPr>
        <w:t>helped them achieve tenure</w:t>
      </w:r>
      <w:r w:rsidR="00876ACD" w:rsidRPr="004328F3">
        <w:rPr>
          <w:rFonts w:asciiTheme="minorHAnsi" w:hAnsiTheme="minorHAnsi" w:cstheme="minorHAnsi"/>
          <w:sz w:val="28"/>
          <w:szCs w:val="28"/>
        </w:rPr>
        <w:t>.</w:t>
      </w:r>
      <w:r w:rsidR="00451039" w:rsidRPr="004328F3">
        <w:rPr>
          <w:rFonts w:asciiTheme="minorHAnsi" w:hAnsiTheme="minorHAnsi" w:cstheme="minorHAnsi"/>
          <w:sz w:val="28"/>
          <w:szCs w:val="28"/>
        </w:rPr>
        <w:t xml:space="preserve"> Consideration for promotion will view the last five years or time since promotion for </w:t>
      </w:r>
      <w:r w:rsidR="008731D5" w:rsidRPr="004328F3">
        <w:rPr>
          <w:rFonts w:asciiTheme="minorHAnsi" w:hAnsiTheme="minorHAnsi" w:cstheme="minorHAnsi"/>
          <w:sz w:val="28"/>
          <w:szCs w:val="28"/>
        </w:rPr>
        <w:t xml:space="preserve">scholarly outcomes. </w:t>
      </w:r>
      <w:r w:rsidR="00A675C4" w:rsidRPr="004328F3">
        <w:rPr>
          <w:rFonts w:asciiTheme="minorHAnsi" w:hAnsiTheme="minorHAnsi" w:cstheme="minorHAnsi"/>
          <w:sz w:val="28"/>
          <w:szCs w:val="28"/>
        </w:rPr>
        <w:t xml:space="preserve">Records with &lt; 10 data-driven, scholarly </w:t>
      </w:r>
      <w:r w:rsidR="00206BFF" w:rsidRPr="004328F3">
        <w:rPr>
          <w:rFonts w:asciiTheme="minorHAnsi" w:hAnsiTheme="minorHAnsi" w:cstheme="minorHAnsi"/>
          <w:sz w:val="28"/>
          <w:szCs w:val="28"/>
        </w:rPr>
        <w:t>publications</w:t>
      </w:r>
      <w:r w:rsidR="00A675C4" w:rsidRPr="004328F3">
        <w:rPr>
          <w:rFonts w:asciiTheme="minorHAnsi" w:hAnsiTheme="minorHAnsi" w:cstheme="minorHAnsi"/>
          <w:sz w:val="28"/>
          <w:szCs w:val="28"/>
        </w:rPr>
        <w:t xml:space="preserve">, </w:t>
      </w:r>
      <w:r w:rsidR="00287C60" w:rsidRPr="004328F3">
        <w:rPr>
          <w:rFonts w:asciiTheme="minorHAnsi" w:hAnsiTheme="minorHAnsi" w:cstheme="minorHAnsi"/>
          <w:sz w:val="28"/>
          <w:szCs w:val="28"/>
        </w:rPr>
        <w:t xml:space="preserve">or equivalent </w:t>
      </w:r>
      <w:r w:rsidR="00A675C4" w:rsidRPr="004328F3">
        <w:rPr>
          <w:rFonts w:asciiTheme="minorHAnsi" w:hAnsiTheme="minorHAnsi" w:cstheme="minorHAnsi"/>
          <w:sz w:val="28"/>
          <w:szCs w:val="28"/>
        </w:rPr>
        <w:t>externally funded grants or textbooks</w:t>
      </w:r>
      <w:r w:rsidR="00541B08" w:rsidRPr="004328F3">
        <w:rPr>
          <w:rFonts w:asciiTheme="minorHAnsi" w:hAnsiTheme="minorHAnsi" w:cstheme="minorHAnsi"/>
          <w:sz w:val="28"/>
          <w:szCs w:val="28"/>
        </w:rPr>
        <w:t xml:space="preserve"> </w:t>
      </w:r>
      <w:r w:rsidR="00287C60" w:rsidRPr="004328F3">
        <w:rPr>
          <w:rFonts w:asciiTheme="minorHAnsi" w:hAnsiTheme="minorHAnsi" w:cstheme="minorHAnsi"/>
          <w:sz w:val="28"/>
          <w:szCs w:val="28"/>
        </w:rPr>
        <w:t>awarded/</w:t>
      </w:r>
      <w:r w:rsidR="00541B08" w:rsidRPr="004328F3">
        <w:rPr>
          <w:rFonts w:asciiTheme="minorHAnsi" w:hAnsiTheme="minorHAnsi" w:cstheme="minorHAnsi"/>
          <w:sz w:val="28"/>
          <w:szCs w:val="28"/>
        </w:rPr>
        <w:t>published in a sustained manner since promotion will be difficult to defend or support.</w:t>
      </w:r>
    </w:p>
    <w:p w14:paraId="390BE026" w14:textId="63BCBEC4" w:rsidR="00BE6A05" w:rsidRDefault="009E76F0" w:rsidP="008C7831">
      <w:pPr>
        <w:pStyle w:val="BodyText"/>
        <w:spacing w:before="93"/>
        <w:ind w:left="2610" w:right="-440" w:hanging="450"/>
        <w:rPr>
          <w:rFonts w:asciiTheme="minorHAnsi" w:hAnsiTheme="minorHAnsi" w:cstheme="minorHAnsi"/>
          <w:sz w:val="28"/>
          <w:szCs w:val="28"/>
        </w:rPr>
      </w:pPr>
      <w:r>
        <w:rPr>
          <w:rFonts w:asciiTheme="minorHAnsi" w:hAnsiTheme="minorHAnsi" w:cstheme="minorHAnsi"/>
          <w:sz w:val="28"/>
          <w:szCs w:val="28"/>
        </w:rPr>
        <w:t xml:space="preserve">3.    </w:t>
      </w:r>
      <w:r w:rsidR="008C5B60" w:rsidRPr="004328F3">
        <w:rPr>
          <w:rFonts w:asciiTheme="minorHAnsi" w:hAnsiTheme="minorHAnsi" w:cstheme="minorHAnsi"/>
          <w:sz w:val="28"/>
          <w:szCs w:val="28"/>
        </w:rPr>
        <w:t xml:space="preserve">Once faculty are promoted to Full Professor, they have the greatest level of flexibility for </w:t>
      </w:r>
      <w:r w:rsidR="002C14BB" w:rsidRPr="004328F3">
        <w:rPr>
          <w:rFonts w:asciiTheme="minorHAnsi" w:hAnsiTheme="minorHAnsi" w:cstheme="minorHAnsi"/>
          <w:sz w:val="28"/>
          <w:szCs w:val="28"/>
        </w:rPr>
        <w:t>scholarly pursuits. They should be mindful, however, that consideration for merit will consider scholarly outcomes</w:t>
      </w:r>
      <w:r w:rsidR="0086644F" w:rsidRPr="004328F3">
        <w:rPr>
          <w:rFonts w:asciiTheme="minorHAnsi" w:hAnsiTheme="minorHAnsi" w:cstheme="minorHAnsi"/>
          <w:sz w:val="28"/>
          <w:szCs w:val="28"/>
        </w:rPr>
        <w:t xml:space="preserve"> and mentoring of junior faculty</w:t>
      </w:r>
      <w:r w:rsidR="008F7D18">
        <w:rPr>
          <w:rFonts w:asciiTheme="minorHAnsi" w:hAnsiTheme="minorHAnsi" w:cstheme="minorHAnsi"/>
          <w:sz w:val="28"/>
          <w:szCs w:val="28"/>
        </w:rPr>
        <w:t>.</w:t>
      </w:r>
    </w:p>
    <w:p w14:paraId="1C6E382A" w14:textId="31A1425A" w:rsidR="008C7831" w:rsidRPr="009A3031" w:rsidRDefault="008C7831" w:rsidP="008C7831">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03</w:t>
      </w:r>
      <w:r w:rsidR="0037406C">
        <w:rPr>
          <w:rFonts w:asciiTheme="minorHAnsi" w:hAnsiTheme="minorHAnsi" w:cstheme="minorHAnsi"/>
          <w:b w:val="0"/>
          <w:bCs w:val="0"/>
          <w:sz w:val="28"/>
          <w:szCs w:val="28"/>
        </w:rPr>
        <w:t>.11.</w:t>
      </w:r>
      <w:r w:rsidR="00E04D11">
        <w:rPr>
          <w:rFonts w:asciiTheme="minorHAnsi" w:hAnsiTheme="minorHAnsi" w:cstheme="minorHAnsi"/>
          <w:b w:val="0"/>
          <w:bCs w:val="0"/>
          <w:sz w:val="28"/>
          <w:szCs w:val="28"/>
        </w:rPr>
        <w:t xml:space="preserve">  </w:t>
      </w:r>
      <w:r w:rsidRPr="009A3031">
        <w:rPr>
          <w:rFonts w:asciiTheme="minorHAnsi" w:hAnsiTheme="minorHAnsi" w:cstheme="minorHAnsi"/>
          <w:b w:val="0"/>
          <w:bCs w:val="0"/>
          <w:sz w:val="28"/>
          <w:szCs w:val="28"/>
        </w:rPr>
        <w:t xml:space="preserve">Service:  </w:t>
      </w:r>
    </w:p>
    <w:p w14:paraId="4B6D5CE1" w14:textId="2CABE35A" w:rsidR="008C7831" w:rsidRPr="009A3031" w:rsidRDefault="00E04D11" w:rsidP="00722A4B">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a.</w:t>
      </w:r>
      <w:r>
        <w:rPr>
          <w:rFonts w:asciiTheme="minorHAnsi" w:hAnsiTheme="minorHAnsi" w:cstheme="minorHAnsi"/>
          <w:sz w:val="28"/>
          <w:szCs w:val="28"/>
        </w:rPr>
        <w:tab/>
      </w:r>
      <w:r w:rsidR="008C7831" w:rsidRPr="009A3031">
        <w:rPr>
          <w:rFonts w:asciiTheme="minorHAnsi" w:hAnsiTheme="minorHAnsi" w:cstheme="minorHAnsi"/>
          <w:sz w:val="28"/>
          <w:szCs w:val="28"/>
        </w:rPr>
        <w:t>Evidence of a strong commitment to service may include but is not limited to the following:</w:t>
      </w:r>
    </w:p>
    <w:p w14:paraId="3D90F15D" w14:textId="2CECFE7F" w:rsidR="008C7831" w:rsidRPr="009A3031" w:rsidRDefault="00722A4B"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1.     </w:t>
      </w:r>
      <w:r w:rsidR="008C7831" w:rsidRPr="009A3031">
        <w:rPr>
          <w:rFonts w:asciiTheme="minorHAnsi" w:hAnsiTheme="minorHAnsi" w:cstheme="minorHAnsi"/>
          <w:sz w:val="28"/>
          <w:szCs w:val="28"/>
        </w:rPr>
        <w:t>Membership on (junior faculty) or chairing of (senior faculty) University, College, or Department committees.</w:t>
      </w:r>
    </w:p>
    <w:p w14:paraId="7C885D84" w14:textId="3D9F7856"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2.     </w:t>
      </w:r>
      <w:r w:rsidR="008C7831" w:rsidRPr="009A3031">
        <w:rPr>
          <w:rFonts w:asciiTheme="minorHAnsi" w:hAnsiTheme="minorHAnsi" w:cstheme="minorHAnsi"/>
          <w:sz w:val="28"/>
          <w:szCs w:val="28"/>
        </w:rPr>
        <w:t>Membership (junior faculty) or leadership (senior faculty) in national, regional, and/or local professional organizations.</w:t>
      </w:r>
    </w:p>
    <w:p w14:paraId="16787DE7" w14:textId="0960367E"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3.     </w:t>
      </w:r>
      <w:r w:rsidR="008C7831" w:rsidRPr="009A3031">
        <w:rPr>
          <w:rFonts w:asciiTheme="minorHAnsi" w:hAnsiTheme="minorHAnsi" w:cstheme="minorHAnsi"/>
          <w:sz w:val="28"/>
          <w:szCs w:val="28"/>
        </w:rPr>
        <w:t>Academic and career advising.</w:t>
      </w:r>
    </w:p>
    <w:p w14:paraId="2782BE97" w14:textId="641F4296"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4.     </w:t>
      </w:r>
      <w:r w:rsidR="008C7831" w:rsidRPr="009A3031">
        <w:rPr>
          <w:rFonts w:asciiTheme="minorHAnsi" w:hAnsiTheme="minorHAnsi" w:cstheme="minorHAnsi"/>
          <w:sz w:val="28"/>
          <w:szCs w:val="28"/>
        </w:rPr>
        <w:t>Sponsorship and advising of student organizations.</w:t>
      </w:r>
    </w:p>
    <w:p w14:paraId="5DD67F1F" w14:textId="39352750"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5.     </w:t>
      </w:r>
      <w:r w:rsidR="008C7831" w:rsidRPr="009A3031">
        <w:rPr>
          <w:rFonts w:asciiTheme="minorHAnsi" w:hAnsiTheme="minorHAnsi" w:cstheme="minorHAnsi"/>
          <w:sz w:val="28"/>
          <w:szCs w:val="28"/>
        </w:rPr>
        <w:t>Community service</w:t>
      </w:r>
    </w:p>
    <w:p w14:paraId="08D7A10E" w14:textId="60B31B4B"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6.     </w:t>
      </w:r>
      <w:r w:rsidR="008C7831" w:rsidRPr="009A3031">
        <w:rPr>
          <w:rFonts w:asciiTheme="minorHAnsi" w:hAnsiTheme="minorHAnsi" w:cstheme="minorHAnsi"/>
          <w:sz w:val="28"/>
          <w:szCs w:val="28"/>
        </w:rPr>
        <w:t>Mentoring of students and other faculty.</w:t>
      </w:r>
    </w:p>
    <w:p w14:paraId="534A52ED" w14:textId="3C02637C"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7.     </w:t>
      </w:r>
      <w:r w:rsidR="008C7831" w:rsidRPr="009A3031">
        <w:rPr>
          <w:rFonts w:asciiTheme="minorHAnsi" w:hAnsiTheme="minorHAnsi" w:cstheme="minorHAnsi"/>
          <w:sz w:val="28"/>
          <w:szCs w:val="28"/>
        </w:rPr>
        <w:t>Peer review of journal manuscripts or grant proposals.</w:t>
      </w:r>
    </w:p>
    <w:p w14:paraId="655C3AD1" w14:textId="14BB7C21"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8.     </w:t>
      </w:r>
      <w:r w:rsidR="008C7831" w:rsidRPr="009A3031">
        <w:rPr>
          <w:rFonts w:asciiTheme="minorHAnsi" w:hAnsiTheme="minorHAnsi" w:cstheme="minorHAnsi"/>
          <w:sz w:val="28"/>
          <w:szCs w:val="28"/>
        </w:rPr>
        <w:t>Administrative activities such as leadership roles or degree proposals.</w:t>
      </w:r>
    </w:p>
    <w:p w14:paraId="1E495346" w14:textId="3D16D0D5"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lastRenderedPageBreak/>
        <w:t xml:space="preserve">9.     </w:t>
      </w:r>
      <w:r w:rsidR="008C7831" w:rsidRPr="009A3031">
        <w:rPr>
          <w:rFonts w:asciiTheme="minorHAnsi" w:hAnsiTheme="minorHAnsi" w:cstheme="minorHAnsi"/>
          <w:sz w:val="28"/>
          <w:szCs w:val="28"/>
        </w:rPr>
        <w:t xml:space="preserve">Serving as “ambassadors” of </w:t>
      </w:r>
      <w:r w:rsidR="008C7831">
        <w:rPr>
          <w:rFonts w:asciiTheme="minorHAnsi" w:hAnsiTheme="minorHAnsi" w:cstheme="minorHAnsi"/>
          <w:sz w:val="28"/>
          <w:szCs w:val="28"/>
        </w:rPr>
        <w:t>CLS Program</w:t>
      </w:r>
      <w:r w:rsidR="008C7831" w:rsidRPr="009A3031">
        <w:rPr>
          <w:rFonts w:asciiTheme="minorHAnsi" w:hAnsiTheme="minorHAnsi" w:cstheme="minorHAnsi"/>
          <w:sz w:val="28"/>
          <w:szCs w:val="28"/>
        </w:rPr>
        <w:t xml:space="preserve"> in college, university, or national events (conferences, etc.).</w:t>
      </w:r>
    </w:p>
    <w:p w14:paraId="7E0C54C1" w14:textId="53CD92A9" w:rsidR="008C7831" w:rsidRPr="009A3031" w:rsidRDefault="00893313" w:rsidP="00893313">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10.   </w:t>
      </w:r>
      <w:r w:rsidR="008C7831" w:rsidRPr="009A3031">
        <w:rPr>
          <w:rFonts w:asciiTheme="minorHAnsi" w:hAnsiTheme="minorHAnsi" w:cstheme="minorHAnsi"/>
          <w:sz w:val="28"/>
          <w:szCs w:val="28"/>
        </w:rPr>
        <w:t>Interprofessional and interdepartmental teaching and honoring requests from other departments.</w:t>
      </w:r>
    </w:p>
    <w:p w14:paraId="3A1C7663" w14:textId="489FD04F" w:rsidR="008C7831" w:rsidRPr="009A3031" w:rsidRDefault="001E68C6" w:rsidP="001E68C6">
      <w:pPr>
        <w:pStyle w:val="BodyText"/>
        <w:spacing w:before="93" w:after="120"/>
        <w:ind w:left="207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8C7831" w:rsidRPr="009A3031">
        <w:rPr>
          <w:rFonts w:asciiTheme="minorHAnsi" w:hAnsiTheme="minorHAnsi" w:cstheme="minorHAnsi"/>
          <w:sz w:val="28"/>
          <w:szCs w:val="28"/>
        </w:rPr>
        <w:t xml:space="preserve">Newly hired, tenure-track faculty will be asked to assume limited and targeted time and energy to service at the </w:t>
      </w:r>
      <w:r w:rsidR="008C7831">
        <w:rPr>
          <w:rFonts w:asciiTheme="minorHAnsi" w:hAnsiTheme="minorHAnsi" w:cstheme="minorHAnsi"/>
          <w:sz w:val="28"/>
          <w:szCs w:val="28"/>
        </w:rPr>
        <w:t>CLS Program</w:t>
      </w:r>
      <w:r w:rsidR="008C7831" w:rsidRPr="009A3031">
        <w:rPr>
          <w:rFonts w:asciiTheme="minorHAnsi" w:hAnsiTheme="minorHAnsi" w:cstheme="minorHAnsi"/>
          <w:sz w:val="28"/>
          <w:szCs w:val="28"/>
        </w:rPr>
        <w:t xml:space="preserve"> or CHP level. Greater service expectations will start in contract year two. Additional service responsibility is expected with seniority.</w:t>
      </w:r>
    </w:p>
    <w:p w14:paraId="70F67A9F" w14:textId="6DD479C0" w:rsidR="008C7831" w:rsidRPr="009678A8" w:rsidRDefault="001E68C6" w:rsidP="001E68C6">
      <w:pPr>
        <w:pStyle w:val="BodyText"/>
        <w:spacing w:before="93" w:after="120"/>
        <w:ind w:left="2070" w:right="-446" w:hanging="540"/>
        <w:rPr>
          <w:rFonts w:asciiTheme="minorHAnsi" w:hAnsiTheme="minorHAnsi" w:cstheme="minorHAnsi"/>
          <w:sz w:val="28"/>
          <w:szCs w:val="28"/>
        </w:rPr>
      </w:pPr>
      <w:r>
        <w:rPr>
          <w:rFonts w:asciiTheme="minorHAnsi" w:hAnsiTheme="minorHAnsi" w:cstheme="minorHAnsi"/>
          <w:i/>
          <w:iCs/>
          <w:sz w:val="28"/>
          <w:szCs w:val="28"/>
        </w:rPr>
        <w:t xml:space="preserve">c.     </w:t>
      </w:r>
      <w:r w:rsidR="008C7831" w:rsidRPr="004328F3">
        <w:rPr>
          <w:rFonts w:asciiTheme="minorHAnsi" w:hAnsiTheme="minorHAnsi" w:cstheme="minorHAnsi"/>
          <w:i/>
          <w:iCs/>
          <w:sz w:val="28"/>
          <w:szCs w:val="28"/>
        </w:rPr>
        <w:t>Service activities carry greater weight in evaluating candidates for Professor</w:t>
      </w:r>
      <w:r w:rsidR="008C7831" w:rsidRPr="009A3031">
        <w:rPr>
          <w:rFonts w:asciiTheme="minorHAnsi" w:hAnsiTheme="minorHAnsi" w:cstheme="minorHAnsi"/>
          <w:sz w:val="28"/>
          <w:szCs w:val="28"/>
        </w:rPr>
        <w:t xml:space="preserve"> than for Associate Professor and tenure. Candidates for tenure and/or promotion must understand that recommendations on service are based on judgments. Tenure-track faculty must assume the personal responsibility to know the current </w:t>
      </w:r>
      <w:r w:rsidR="008C7831" w:rsidRPr="009678A8">
        <w:rPr>
          <w:rFonts w:asciiTheme="minorHAnsi" w:hAnsiTheme="minorHAnsi" w:cstheme="minorHAnsi"/>
          <w:sz w:val="28"/>
          <w:szCs w:val="28"/>
        </w:rPr>
        <w:t xml:space="preserve">expectations for tenure and constantly monitor the environment for changes. </w:t>
      </w:r>
    </w:p>
    <w:p w14:paraId="3ACB0A9E" w14:textId="08289582" w:rsidR="008C7831" w:rsidRPr="009678A8" w:rsidRDefault="005D5650" w:rsidP="005D5650">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 xml:space="preserve">03.12.      </w:t>
      </w:r>
      <w:r w:rsidR="008C7831" w:rsidRPr="009678A8">
        <w:rPr>
          <w:rFonts w:asciiTheme="minorHAnsi" w:hAnsiTheme="minorHAnsi" w:cstheme="minorHAnsi"/>
          <w:b w:val="0"/>
          <w:bCs w:val="0"/>
          <w:sz w:val="28"/>
          <w:szCs w:val="28"/>
        </w:rPr>
        <w:t xml:space="preserve">Collegiality: </w:t>
      </w:r>
    </w:p>
    <w:p w14:paraId="1A6315C2" w14:textId="5D0F9CDF" w:rsidR="008C7831" w:rsidRPr="009678A8" w:rsidRDefault="005D5650" w:rsidP="005D5650">
      <w:pPr>
        <w:pStyle w:val="BodyText"/>
        <w:spacing w:before="93" w:after="120"/>
        <w:ind w:left="2160" w:right="-446" w:hanging="540"/>
        <w:rPr>
          <w:rFonts w:asciiTheme="minorHAnsi" w:hAnsiTheme="minorHAnsi" w:cstheme="minorHAnsi"/>
          <w:sz w:val="28"/>
          <w:szCs w:val="28"/>
        </w:rPr>
      </w:pPr>
      <w:r>
        <w:rPr>
          <w:rFonts w:asciiTheme="minorHAnsi" w:hAnsiTheme="minorHAnsi" w:cstheme="minorHAnsi"/>
          <w:sz w:val="28"/>
          <w:szCs w:val="28"/>
        </w:rPr>
        <w:t xml:space="preserve">a.     </w:t>
      </w:r>
      <w:r w:rsidR="008C7831" w:rsidRPr="009678A8">
        <w:rPr>
          <w:rFonts w:asciiTheme="minorHAnsi" w:hAnsiTheme="minorHAnsi" w:cstheme="minorHAnsi"/>
          <w:sz w:val="28"/>
          <w:szCs w:val="28"/>
        </w:rPr>
        <w:t>Objective – Many aspects of collegiality can be measured. Some were mentioned above. Faculty are encouraged to list on their CV evidence of collegiality in these measured activities.</w:t>
      </w:r>
    </w:p>
    <w:p w14:paraId="66467C74" w14:textId="4379F253" w:rsidR="008C7831" w:rsidRPr="009678A8" w:rsidRDefault="005D5650" w:rsidP="005D5650">
      <w:pPr>
        <w:pStyle w:val="BodyText"/>
        <w:spacing w:before="93" w:after="120"/>
        <w:ind w:left="216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8C7831" w:rsidRPr="009678A8">
        <w:rPr>
          <w:rFonts w:asciiTheme="minorHAnsi" w:hAnsiTheme="minorHAnsi" w:cstheme="minorHAnsi"/>
          <w:sz w:val="28"/>
          <w:szCs w:val="28"/>
        </w:rPr>
        <w:t xml:space="preserve">Subjective – Faculty who struggle in this area often see this attribute to be either </w:t>
      </w:r>
      <w:hyperlink r:id="rId22" w:history="1">
        <w:r w:rsidR="008C7831" w:rsidRPr="00AF11F5">
          <w:rPr>
            <w:rStyle w:val="Hyperlink"/>
            <w:rFonts w:asciiTheme="minorHAnsi" w:hAnsiTheme="minorHAnsi" w:cstheme="minorHAnsi"/>
            <w:sz w:val="28"/>
            <w:szCs w:val="28"/>
          </w:rPr>
          <w:t>fake or contrived</w:t>
        </w:r>
      </w:hyperlink>
      <w:r w:rsidR="008C7831" w:rsidRPr="009678A8">
        <w:rPr>
          <w:rFonts w:asciiTheme="minorHAnsi" w:hAnsiTheme="minorHAnsi" w:cstheme="minorHAnsi"/>
          <w:sz w:val="28"/>
          <w:szCs w:val="28"/>
        </w:rPr>
        <w:t xml:space="preserve"> (Hargreaves, 1991), however, much </w:t>
      </w:r>
      <w:hyperlink r:id="rId23" w:history="1">
        <w:r w:rsidR="008C7831" w:rsidRPr="005B2330">
          <w:rPr>
            <w:rStyle w:val="Hyperlink"/>
            <w:rFonts w:asciiTheme="minorHAnsi" w:hAnsiTheme="minorHAnsi" w:cstheme="minorHAnsi"/>
            <w:sz w:val="28"/>
            <w:szCs w:val="28"/>
          </w:rPr>
          <w:t>research</w:t>
        </w:r>
      </w:hyperlink>
      <w:r w:rsidR="008C7831" w:rsidRPr="009678A8">
        <w:rPr>
          <w:rFonts w:asciiTheme="minorHAnsi" w:hAnsiTheme="minorHAnsi" w:cstheme="minorHAnsi"/>
          <w:sz w:val="28"/>
          <w:szCs w:val="28"/>
        </w:rPr>
        <w:t xml:space="preserve"> has been conducted on this soft skill</w:t>
      </w:r>
      <w:r w:rsidR="008C7831">
        <w:rPr>
          <w:rFonts w:asciiTheme="minorHAnsi" w:hAnsiTheme="minorHAnsi" w:cstheme="minorHAnsi"/>
          <w:sz w:val="28"/>
          <w:szCs w:val="28"/>
        </w:rPr>
        <w:t>.</w:t>
      </w:r>
    </w:p>
    <w:p w14:paraId="39216B32" w14:textId="020A51B5" w:rsidR="008C7831" w:rsidRDefault="008C7831" w:rsidP="005D5650">
      <w:pPr>
        <w:ind w:left="2160"/>
        <w:rPr>
          <w:rFonts w:asciiTheme="minorHAnsi" w:hAnsiTheme="minorHAnsi" w:cstheme="minorHAnsi"/>
          <w:sz w:val="28"/>
          <w:szCs w:val="28"/>
        </w:rPr>
      </w:pPr>
      <w:r w:rsidRPr="009678A8">
        <w:rPr>
          <w:rFonts w:asciiTheme="minorHAnsi" w:hAnsiTheme="minorHAnsi" w:cstheme="minorHAnsi"/>
          <w:sz w:val="28"/>
          <w:szCs w:val="28"/>
        </w:rPr>
        <w:t>(This subscale is not provided as a standard, but only as an example)</w:t>
      </w:r>
    </w:p>
    <w:p w14:paraId="60ED3716" w14:textId="77777777" w:rsidR="005D5650" w:rsidRPr="009678A8" w:rsidRDefault="005D5650" w:rsidP="005D5650">
      <w:pPr>
        <w:ind w:left="2160"/>
        <w:rPr>
          <w:rFonts w:asciiTheme="minorHAnsi" w:hAnsiTheme="minorHAnsi" w:cstheme="minorHAnsi"/>
          <w:sz w:val="28"/>
          <w:szCs w:val="28"/>
        </w:rPr>
      </w:pPr>
    </w:p>
    <w:tbl>
      <w:tblPr>
        <w:tblW w:w="6025" w:type="dxa"/>
        <w:tblInd w:w="2160" w:type="dxa"/>
        <w:tblLook w:val="04A0" w:firstRow="1" w:lastRow="0" w:firstColumn="1" w:lastColumn="0" w:noHBand="0" w:noVBand="1"/>
      </w:tblPr>
      <w:tblGrid>
        <w:gridCol w:w="6025"/>
      </w:tblGrid>
      <w:tr w:rsidR="008C7831" w:rsidRPr="009678A8" w14:paraId="53A5C88F" w14:textId="77777777" w:rsidTr="00071CDA">
        <w:trPr>
          <w:trHeight w:val="300"/>
        </w:trPr>
        <w:tc>
          <w:tcPr>
            <w:tcW w:w="6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75EA53" w14:textId="0DB3CC85" w:rsidR="008C7831" w:rsidRDefault="008C7831" w:rsidP="006E5EE0">
            <w:pPr>
              <w:widowControl/>
              <w:autoSpaceDE/>
              <w:autoSpaceDN/>
              <w:ind w:left="165"/>
              <w:rPr>
                <w:rFonts w:asciiTheme="minorHAnsi" w:hAnsiTheme="minorHAnsi" w:cstheme="minorHAnsi"/>
                <w:b/>
                <w:bCs/>
                <w:sz w:val="12"/>
                <w:szCs w:val="12"/>
              </w:rPr>
            </w:pPr>
            <w:r w:rsidRPr="009678A8">
              <w:rPr>
                <w:rFonts w:asciiTheme="minorHAnsi" w:hAnsiTheme="minorHAnsi" w:cstheme="minorHAnsi"/>
                <w:b/>
                <w:bCs/>
                <w:sz w:val="28"/>
                <w:szCs w:val="28"/>
              </w:rPr>
              <w:t>Teacher collegiality subscales (</w:t>
            </w:r>
            <w:hyperlink r:id="rId24" w:history="1">
              <w:r w:rsidRPr="00B245FE">
                <w:rPr>
                  <w:rStyle w:val="Hyperlink"/>
                  <w:rFonts w:asciiTheme="minorHAnsi" w:hAnsiTheme="minorHAnsi" w:cstheme="minorHAnsi"/>
                  <w:b/>
                  <w:bCs/>
                  <w:sz w:val="28"/>
                  <w:szCs w:val="28"/>
                </w:rPr>
                <w:t>Sha</w:t>
              </w:r>
              <w:r w:rsidR="003F6892">
                <w:rPr>
                  <w:rStyle w:val="Hyperlink"/>
                  <w:rFonts w:asciiTheme="minorHAnsi" w:hAnsiTheme="minorHAnsi" w:cstheme="minorHAnsi"/>
                  <w:b/>
                  <w:bCs/>
                  <w:sz w:val="28"/>
                  <w:szCs w:val="28"/>
                </w:rPr>
                <w:t>h</w:t>
              </w:r>
              <w:r w:rsidRPr="00B245FE">
                <w:rPr>
                  <w:rStyle w:val="Hyperlink"/>
                  <w:rFonts w:asciiTheme="minorHAnsi" w:hAnsiTheme="minorHAnsi" w:cstheme="minorHAnsi"/>
                  <w:b/>
                  <w:bCs/>
                  <w:sz w:val="28"/>
                  <w:szCs w:val="28"/>
                </w:rPr>
                <w:t>, 201</w:t>
              </w:r>
              <w:r w:rsidR="003B303B">
                <w:rPr>
                  <w:rStyle w:val="Hyperlink"/>
                  <w:rFonts w:asciiTheme="minorHAnsi" w:hAnsiTheme="minorHAnsi" w:cstheme="minorHAnsi"/>
                  <w:b/>
                  <w:bCs/>
                  <w:sz w:val="28"/>
                  <w:szCs w:val="28"/>
                </w:rPr>
                <w:t>2</w:t>
              </w:r>
            </w:hyperlink>
            <w:r w:rsidRPr="009678A8">
              <w:rPr>
                <w:rFonts w:asciiTheme="minorHAnsi" w:hAnsiTheme="minorHAnsi" w:cstheme="minorHAnsi"/>
                <w:b/>
                <w:bCs/>
                <w:sz w:val="28"/>
                <w:szCs w:val="28"/>
              </w:rPr>
              <w:t>)</w:t>
            </w:r>
          </w:p>
          <w:p w14:paraId="4F3456DB" w14:textId="77777777" w:rsidR="00071CDA" w:rsidRPr="00071CDA" w:rsidRDefault="00071CDA" w:rsidP="006E5EE0">
            <w:pPr>
              <w:widowControl/>
              <w:autoSpaceDE/>
              <w:autoSpaceDN/>
              <w:ind w:left="165"/>
              <w:rPr>
                <w:rFonts w:asciiTheme="minorHAnsi" w:hAnsiTheme="minorHAnsi" w:cstheme="minorHAnsi"/>
                <w:b/>
                <w:bCs/>
                <w:sz w:val="12"/>
                <w:szCs w:val="12"/>
              </w:rPr>
            </w:pPr>
          </w:p>
          <w:p w14:paraId="521A3D12" w14:textId="7E1A77E1" w:rsidR="005D5650" w:rsidRPr="005D5650" w:rsidRDefault="005D5650" w:rsidP="006E5EE0">
            <w:pPr>
              <w:widowControl/>
              <w:autoSpaceDE/>
              <w:autoSpaceDN/>
              <w:ind w:left="165"/>
              <w:rPr>
                <w:rFonts w:asciiTheme="minorHAnsi" w:hAnsiTheme="minorHAnsi" w:cstheme="minorHAnsi"/>
                <w:b/>
                <w:bCs/>
                <w:sz w:val="12"/>
                <w:szCs w:val="12"/>
              </w:rPr>
            </w:pPr>
          </w:p>
        </w:tc>
      </w:tr>
      <w:tr w:rsidR="008C7831" w:rsidRPr="009678A8" w14:paraId="58A1770B"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1A0BFACE"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Demonstrating mutual support and trust (DMS)</w:t>
            </w:r>
          </w:p>
        </w:tc>
      </w:tr>
      <w:tr w:rsidR="008C7831" w:rsidRPr="009678A8" w14:paraId="2C0EC85B"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4560C267"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Observing one another teaching (OT)</w:t>
            </w:r>
          </w:p>
        </w:tc>
      </w:tr>
      <w:tr w:rsidR="008C7831" w:rsidRPr="009678A8" w14:paraId="1685B643"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4E2903DB"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Joint planning and assessment (JPA)</w:t>
            </w:r>
          </w:p>
        </w:tc>
      </w:tr>
      <w:tr w:rsidR="008C7831" w:rsidRPr="009678A8" w14:paraId="04EA7AAD"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22ADE9AE"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Sharing ideas and expertise (SIE)</w:t>
            </w:r>
          </w:p>
        </w:tc>
      </w:tr>
      <w:tr w:rsidR="008C7831" w:rsidRPr="009678A8" w14:paraId="32B6C432"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3270F6BF"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Teaching each other (TE)</w:t>
            </w:r>
          </w:p>
        </w:tc>
      </w:tr>
      <w:tr w:rsidR="008C7831" w:rsidRPr="009678A8" w14:paraId="70B24B2F" w14:textId="77777777" w:rsidTr="00071CDA">
        <w:trPr>
          <w:trHeight w:val="300"/>
        </w:trPr>
        <w:tc>
          <w:tcPr>
            <w:tcW w:w="6025" w:type="dxa"/>
            <w:tcBorders>
              <w:top w:val="nil"/>
              <w:left w:val="single" w:sz="4" w:space="0" w:color="auto"/>
              <w:bottom w:val="nil"/>
              <w:right w:val="single" w:sz="4" w:space="0" w:color="auto"/>
            </w:tcBorders>
            <w:shd w:val="clear" w:color="000000" w:fill="FFFFFF"/>
            <w:noWrap/>
            <w:vAlign w:val="bottom"/>
            <w:hideMark/>
          </w:tcPr>
          <w:p w14:paraId="28917E98"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Developing curriculum together (DC)</w:t>
            </w:r>
          </w:p>
        </w:tc>
      </w:tr>
      <w:tr w:rsidR="008C7831" w:rsidRPr="009678A8" w14:paraId="78DCAB79" w14:textId="77777777" w:rsidTr="00071CDA">
        <w:trPr>
          <w:trHeight w:val="300"/>
        </w:trPr>
        <w:tc>
          <w:tcPr>
            <w:tcW w:w="6025" w:type="dxa"/>
            <w:tcBorders>
              <w:top w:val="nil"/>
              <w:left w:val="single" w:sz="4" w:space="0" w:color="auto"/>
              <w:bottom w:val="single" w:sz="4" w:space="0" w:color="auto"/>
              <w:right w:val="single" w:sz="4" w:space="0" w:color="auto"/>
            </w:tcBorders>
            <w:shd w:val="clear" w:color="000000" w:fill="FFFFFF"/>
            <w:noWrap/>
            <w:vAlign w:val="bottom"/>
            <w:hideMark/>
          </w:tcPr>
          <w:p w14:paraId="02FB2C3C" w14:textId="77777777" w:rsidR="008C7831" w:rsidRPr="009678A8" w:rsidRDefault="008C7831" w:rsidP="006E5EE0">
            <w:pPr>
              <w:widowControl/>
              <w:autoSpaceDE/>
              <w:autoSpaceDN/>
              <w:ind w:left="165"/>
              <w:rPr>
                <w:rFonts w:asciiTheme="minorHAnsi" w:hAnsiTheme="minorHAnsi" w:cstheme="minorHAnsi"/>
                <w:sz w:val="28"/>
                <w:szCs w:val="28"/>
              </w:rPr>
            </w:pPr>
            <w:r w:rsidRPr="009678A8">
              <w:rPr>
                <w:rFonts w:asciiTheme="minorHAnsi" w:hAnsiTheme="minorHAnsi" w:cstheme="minorHAnsi"/>
                <w:sz w:val="28"/>
                <w:szCs w:val="28"/>
              </w:rPr>
              <w:t>Sharing resources (SR)</w:t>
            </w:r>
          </w:p>
        </w:tc>
      </w:tr>
    </w:tbl>
    <w:p w14:paraId="44AB2B35" w14:textId="64B94ECE" w:rsidR="008C7831" w:rsidRDefault="008C7831" w:rsidP="008C7831">
      <w:pPr>
        <w:pStyle w:val="BodyText"/>
        <w:spacing w:before="93"/>
        <w:ind w:left="2160" w:right="-440"/>
        <w:rPr>
          <w:rFonts w:asciiTheme="minorHAnsi" w:hAnsiTheme="minorHAnsi" w:cstheme="minorHAnsi"/>
          <w:sz w:val="28"/>
          <w:szCs w:val="28"/>
        </w:rPr>
      </w:pPr>
      <w:r w:rsidRPr="009678A8">
        <w:rPr>
          <w:rFonts w:asciiTheme="minorHAnsi" w:hAnsiTheme="minorHAnsi" w:cstheme="minorHAnsi"/>
          <w:sz w:val="28"/>
          <w:szCs w:val="28"/>
        </w:rPr>
        <w:t xml:space="preserve">Many of these suggestions demonstrate higher levels of </w:t>
      </w:r>
      <w:r w:rsidRPr="009678A8">
        <w:rPr>
          <w:rFonts w:asciiTheme="minorHAnsi" w:hAnsiTheme="minorHAnsi" w:cstheme="minorHAnsi"/>
          <w:sz w:val="28"/>
          <w:szCs w:val="28"/>
        </w:rPr>
        <w:lastRenderedPageBreak/>
        <w:t>Emotional Intelligence (EI): Greet fellow faculty in the hallway (quietly and politely); Offer assistance to help plan or implement changes to curriculum to improve the program, the student, or both; Once per semester, invite one faculty member to guest lecture in your course as a subject matter expert, and offer to reciprocate; Invite others to contribute to research; Offer a best practice at a faculty meeting; Recommend a colleague for a CHP or Presidential Faculty Award of Excellence; Set a goal to memorize the children’s</w:t>
      </w:r>
      <w:r>
        <w:rPr>
          <w:rFonts w:asciiTheme="minorHAnsi" w:hAnsiTheme="minorHAnsi" w:cstheme="minorHAnsi"/>
          <w:sz w:val="28"/>
          <w:szCs w:val="28"/>
        </w:rPr>
        <w:t xml:space="preserve"> </w:t>
      </w:r>
      <w:r w:rsidRPr="009678A8">
        <w:rPr>
          <w:rFonts w:asciiTheme="minorHAnsi" w:hAnsiTheme="minorHAnsi" w:cstheme="minorHAnsi"/>
          <w:sz w:val="28"/>
          <w:szCs w:val="28"/>
        </w:rPr>
        <w:t xml:space="preserve">names of the faculty in the offices on either side of you; Participate in university, college, and </w:t>
      </w:r>
      <w:r>
        <w:rPr>
          <w:rFonts w:asciiTheme="minorHAnsi" w:hAnsiTheme="minorHAnsi" w:cstheme="minorHAnsi"/>
          <w:sz w:val="28"/>
          <w:szCs w:val="28"/>
        </w:rPr>
        <w:t>program</w:t>
      </w:r>
      <w:r w:rsidRPr="009678A8">
        <w:rPr>
          <w:rFonts w:asciiTheme="minorHAnsi" w:hAnsiTheme="minorHAnsi" w:cstheme="minorHAnsi"/>
          <w:sz w:val="28"/>
          <w:szCs w:val="28"/>
        </w:rPr>
        <w:t xml:space="preserve"> assessments relative to performance/perceptions of President, Provost, Dean, Director, etc.; “</w:t>
      </w:r>
      <w:hyperlink r:id="rId25" w:history="1">
        <w:r w:rsidRPr="00F403F2">
          <w:rPr>
            <w:rStyle w:val="Hyperlink"/>
            <w:rFonts w:asciiTheme="minorHAnsi" w:hAnsiTheme="minorHAnsi" w:cstheme="minorHAnsi"/>
            <w:sz w:val="28"/>
            <w:szCs w:val="28"/>
          </w:rPr>
          <w:t>Managing Up</w:t>
        </w:r>
      </w:hyperlink>
      <w:r w:rsidRPr="009678A8">
        <w:rPr>
          <w:rFonts w:asciiTheme="minorHAnsi" w:hAnsiTheme="minorHAnsi" w:cstheme="minorHAnsi"/>
          <w:sz w:val="28"/>
          <w:szCs w:val="28"/>
        </w:rPr>
        <w:t>” by speaking positively about faculty/peers to students and other professionals. This is the soft side of collegiality, and while it can be contrived, it can easily be practiced.</w:t>
      </w:r>
    </w:p>
    <w:p w14:paraId="3411127F" w14:textId="77777777" w:rsidR="00071CDA" w:rsidRPr="009678A8" w:rsidRDefault="00071CDA" w:rsidP="008C7831">
      <w:pPr>
        <w:pStyle w:val="BodyText"/>
        <w:spacing w:before="93"/>
        <w:ind w:left="2160" w:right="-440"/>
        <w:rPr>
          <w:rFonts w:asciiTheme="minorHAnsi" w:hAnsiTheme="minorHAnsi" w:cstheme="minorHAnsi"/>
          <w:sz w:val="28"/>
          <w:szCs w:val="28"/>
        </w:rPr>
      </w:pPr>
    </w:p>
    <w:p w14:paraId="75A57089" w14:textId="749130DD" w:rsidR="008C7831" w:rsidRPr="009A3031" w:rsidRDefault="00071CDA" w:rsidP="00071CDA">
      <w:pPr>
        <w:pStyle w:val="Heading1"/>
        <w:spacing w:after="120"/>
        <w:ind w:left="-86" w:right="-446"/>
        <w:rPr>
          <w:rFonts w:asciiTheme="minorHAnsi" w:hAnsiTheme="minorHAnsi" w:cstheme="minorHAnsi"/>
          <w:b w:val="0"/>
          <w:sz w:val="28"/>
          <w:szCs w:val="28"/>
        </w:rPr>
      </w:pPr>
      <w:r>
        <w:rPr>
          <w:rFonts w:asciiTheme="minorHAnsi" w:hAnsiTheme="minorHAnsi" w:cstheme="minorHAnsi"/>
          <w:sz w:val="28"/>
          <w:szCs w:val="28"/>
        </w:rPr>
        <w:t xml:space="preserve">04.   </w:t>
      </w:r>
      <w:r w:rsidR="00795FBC">
        <w:rPr>
          <w:rFonts w:asciiTheme="minorHAnsi" w:hAnsiTheme="minorHAnsi" w:cstheme="minorHAnsi"/>
          <w:sz w:val="28"/>
          <w:szCs w:val="28"/>
        </w:rPr>
        <w:t xml:space="preserve"> </w:t>
      </w:r>
      <w:r w:rsidR="008C7831" w:rsidRPr="009A3031">
        <w:rPr>
          <w:rFonts w:asciiTheme="minorHAnsi" w:hAnsiTheme="minorHAnsi" w:cstheme="minorHAnsi"/>
          <w:sz w:val="28"/>
          <w:szCs w:val="28"/>
        </w:rPr>
        <w:t>CLINICAL/PRACTICE FACULTY</w:t>
      </w:r>
    </w:p>
    <w:p w14:paraId="66DB2144" w14:textId="76BA55A1" w:rsidR="008C7831" w:rsidRPr="009A3031" w:rsidRDefault="00795FBC" w:rsidP="00795FBC">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04.01</w:t>
      </w:r>
      <w:r>
        <w:rPr>
          <w:rFonts w:asciiTheme="minorHAnsi" w:hAnsiTheme="minorHAnsi" w:cstheme="minorHAnsi"/>
          <w:b w:val="0"/>
          <w:bCs w:val="0"/>
          <w:sz w:val="28"/>
          <w:szCs w:val="28"/>
        </w:rPr>
        <w:tab/>
      </w:r>
      <w:r w:rsidR="00431D5A">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 xml:space="preserve">Search and hiring of faculty for clinical/practice appointments are described in </w:t>
      </w:r>
      <w:hyperlink r:id="rId26" w:history="1">
        <w:r w:rsidR="008C7831" w:rsidRPr="009A3031">
          <w:rPr>
            <w:rStyle w:val="Hyperlink"/>
            <w:rFonts w:asciiTheme="minorHAnsi" w:hAnsiTheme="minorHAnsi" w:cstheme="minorHAnsi"/>
            <w:b w:val="0"/>
            <w:bCs w:val="0"/>
            <w:sz w:val="28"/>
            <w:szCs w:val="28"/>
          </w:rPr>
          <w:t>AA/PPS 04.01.01</w:t>
        </w:r>
      </w:hyperlink>
      <w:r w:rsidR="008C7831" w:rsidRPr="009A3031">
        <w:rPr>
          <w:rFonts w:asciiTheme="minorHAnsi" w:hAnsiTheme="minorHAnsi" w:cstheme="minorHAnsi"/>
          <w:b w:val="0"/>
          <w:bCs w:val="0"/>
          <w:sz w:val="28"/>
          <w:szCs w:val="28"/>
        </w:rPr>
        <w:t>.</w:t>
      </w:r>
    </w:p>
    <w:p w14:paraId="7F982450" w14:textId="1F395D3B" w:rsidR="008C7831" w:rsidRPr="009A3031" w:rsidRDefault="00795FBC" w:rsidP="00795FBC">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04.02</w:t>
      </w:r>
      <w:r>
        <w:rPr>
          <w:rFonts w:asciiTheme="minorHAnsi" w:hAnsiTheme="minorHAnsi" w:cstheme="minorHAnsi"/>
          <w:b w:val="0"/>
          <w:bCs w:val="0"/>
          <w:sz w:val="28"/>
          <w:szCs w:val="28"/>
        </w:rPr>
        <w:tab/>
      </w:r>
      <w:r w:rsidR="00431D5A">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 xml:space="preserve">Appointments to these positions recognize professional background and contributions as well as potential to provide education, scholarship, service, and collegiality. </w:t>
      </w:r>
    </w:p>
    <w:p w14:paraId="0AB5FF83" w14:textId="20A96FF9" w:rsidR="008C7831" w:rsidRPr="009A3031" w:rsidRDefault="00795FBC" w:rsidP="00795FBC">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04.03</w:t>
      </w:r>
      <w:r>
        <w:rPr>
          <w:rFonts w:asciiTheme="minorHAnsi" w:hAnsiTheme="minorHAnsi" w:cstheme="minorHAnsi"/>
          <w:b w:val="0"/>
          <w:bCs w:val="0"/>
          <w:sz w:val="28"/>
          <w:szCs w:val="28"/>
        </w:rPr>
        <w:tab/>
      </w:r>
      <w:r w:rsidR="00431D5A">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Clinical/practice faculty are eligible for all benefits except tenure.</w:t>
      </w:r>
    </w:p>
    <w:p w14:paraId="0317EE2E" w14:textId="3515CEC0" w:rsidR="008C7831" w:rsidRPr="009A3031" w:rsidRDefault="00795FBC" w:rsidP="008E52C3">
      <w:pPr>
        <w:pStyle w:val="Heading1"/>
        <w:tabs>
          <w:tab w:val="left" w:pos="1620"/>
        </w:tabs>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04.04</w:t>
      </w:r>
      <w:r w:rsidR="008E52C3">
        <w:rPr>
          <w:rFonts w:asciiTheme="minorHAnsi" w:hAnsiTheme="minorHAnsi" w:cstheme="minorHAnsi"/>
          <w:b w:val="0"/>
          <w:bCs w:val="0"/>
          <w:sz w:val="28"/>
          <w:szCs w:val="28"/>
        </w:rPr>
        <w:t xml:space="preserve">    </w:t>
      </w:r>
      <w:r w:rsidR="00431D5A">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 xml:space="preserve">Clinical/practice faculty are annual appointments subject to annual performance review and reappointment, and their continued hire is based </w:t>
      </w:r>
      <w:r w:rsidR="008C7831">
        <w:rPr>
          <w:rFonts w:asciiTheme="minorHAnsi" w:hAnsiTheme="minorHAnsi" w:cstheme="minorHAnsi"/>
          <w:b w:val="0"/>
          <w:bCs w:val="0"/>
          <w:sz w:val="28"/>
          <w:szCs w:val="28"/>
        </w:rPr>
        <w:t>CLS Program</w:t>
      </w:r>
      <w:r w:rsidR="008C7831" w:rsidRPr="009A3031">
        <w:rPr>
          <w:rFonts w:asciiTheme="minorHAnsi" w:hAnsiTheme="minorHAnsi" w:cstheme="minorHAnsi"/>
          <w:b w:val="0"/>
          <w:bCs w:val="0"/>
          <w:sz w:val="28"/>
          <w:szCs w:val="28"/>
        </w:rPr>
        <w:t xml:space="preserve"> needs. </w:t>
      </w:r>
    </w:p>
    <w:p w14:paraId="481906EB" w14:textId="636CC2A8" w:rsidR="008C7831" w:rsidRPr="009A3031" w:rsidRDefault="00431D5A" w:rsidP="003A3FAE">
      <w:pPr>
        <w:pStyle w:val="BodyText"/>
        <w:tabs>
          <w:tab w:val="left" w:pos="1890"/>
        </w:tabs>
        <w:spacing w:before="93" w:after="120"/>
        <w:ind w:left="2070" w:right="-446" w:hanging="540"/>
        <w:rPr>
          <w:rFonts w:asciiTheme="minorHAnsi" w:hAnsiTheme="minorHAnsi" w:cstheme="minorHAnsi"/>
          <w:sz w:val="28"/>
          <w:szCs w:val="28"/>
        </w:rPr>
      </w:pPr>
      <w:r>
        <w:rPr>
          <w:rFonts w:asciiTheme="minorHAnsi" w:hAnsiTheme="minorHAnsi" w:cstheme="minorHAnsi"/>
          <w:sz w:val="28"/>
          <w:szCs w:val="28"/>
        </w:rPr>
        <w:t xml:space="preserve">a.     </w:t>
      </w:r>
      <w:r w:rsidR="008C7831" w:rsidRPr="009A3031">
        <w:rPr>
          <w:rFonts w:asciiTheme="minorHAnsi" w:hAnsiTheme="minorHAnsi" w:cstheme="minorHAnsi"/>
          <w:sz w:val="28"/>
          <w:szCs w:val="28"/>
        </w:rPr>
        <w:t xml:space="preserve">A lecturer of clinical/practice may be appointed for a specific term, not to exceed three years, or if for a lesser period of time, the time period specified, subject to annual reappointment review. </w:t>
      </w:r>
    </w:p>
    <w:p w14:paraId="032B45A9" w14:textId="56093AF2" w:rsidR="008C7831" w:rsidRPr="009A3031" w:rsidRDefault="003A3FAE" w:rsidP="003A3FAE">
      <w:pPr>
        <w:pStyle w:val="BodyText"/>
        <w:tabs>
          <w:tab w:val="left" w:pos="1890"/>
        </w:tabs>
        <w:spacing w:before="93" w:after="120"/>
        <w:ind w:left="207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8C7831" w:rsidRPr="009A3031">
        <w:rPr>
          <w:rFonts w:asciiTheme="minorHAnsi" w:hAnsiTheme="minorHAnsi" w:cstheme="minorHAnsi"/>
          <w:sz w:val="28"/>
          <w:szCs w:val="28"/>
        </w:rPr>
        <w:t>An assistant/associate/professor of clinical/practice may be appointed for a term not to exceed five years or, if for a lesser period of time, the time specified, subject to annual reappointment review.</w:t>
      </w:r>
    </w:p>
    <w:p w14:paraId="2E1C182C" w14:textId="33357797" w:rsidR="008C7831" w:rsidRPr="009A3031" w:rsidRDefault="003A3FAE" w:rsidP="003A3FAE">
      <w:pPr>
        <w:pStyle w:val="BodyText"/>
        <w:tabs>
          <w:tab w:val="left" w:pos="1890"/>
          <w:tab w:val="left" w:pos="2160"/>
        </w:tabs>
        <w:spacing w:before="93" w:after="120"/>
        <w:ind w:left="2070" w:right="-446" w:hanging="540"/>
        <w:rPr>
          <w:rFonts w:asciiTheme="minorHAnsi" w:hAnsiTheme="minorHAnsi" w:cstheme="minorHAnsi"/>
          <w:sz w:val="28"/>
          <w:szCs w:val="28"/>
        </w:rPr>
      </w:pPr>
      <w:r>
        <w:rPr>
          <w:rFonts w:asciiTheme="minorHAnsi" w:hAnsiTheme="minorHAnsi" w:cstheme="minorHAnsi"/>
          <w:sz w:val="28"/>
          <w:szCs w:val="28"/>
        </w:rPr>
        <w:lastRenderedPageBreak/>
        <w:t xml:space="preserve">c.     </w:t>
      </w:r>
      <w:r w:rsidR="008C7831" w:rsidRPr="009A3031">
        <w:rPr>
          <w:rFonts w:asciiTheme="minorHAnsi" w:hAnsiTheme="minorHAnsi" w:cstheme="minorHAnsi"/>
          <w:sz w:val="28"/>
          <w:szCs w:val="28"/>
        </w:rPr>
        <w:t>A faculty member may be reappointed in the clinical/practice for additional terms, contingent on satisfactory performance review, continuity of funding, and departmental need.</w:t>
      </w:r>
    </w:p>
    <w:p w14:paraId="2AFDAC88" w14:textId="59984A5D" w:rsidR="008C7831" w:rsidRPr="009A3031" w:rsidRDefault="003A3FAE" w:rsidP="00CC19E8">
      <w:pPr>
        <w:pStyle w:val="Heading1"/>
        <w:ind w:left="1440" w:right="-446" w:hanging="893"/>
        <w:rPr>
          <w:rFonts w:asciiTheme="minorHAnsi" w:hAnsiTheme="minorHAnsi" w:cstheme="minorHAnsi"/>
          <w:sz w:val="28"/>
          <w:szCs w:val="28"/>
        </w:rPr>
      </w:pPr>
      <w:r>
        <w:rPr>
          <w:rFonts w:asciiTheme="minorHAnsi" w:hAnsiTheme="minorHAnsi" w:cstheme="minorHAnsi"/>
          <w:b w:val="0"/>
          <w:bCs w:val="0"/>
          <w:sz w:val="28"/>
          <w:szCs w:val="28"/>
        </w:rPr>
        <w:t>04.05</w:t>
      </w:r>
      <w:r w:rsidR="00CC19E8">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The probationary period for clinical/practice faculty are the same as for tenure-track faculty: Five years in rank. Candidates for promotion should be mindful of expectations of teaching, scholarship, service, and collegiality for consideration for promotion.</w:t>
      </w:r>
    </w:p>
    <w:p w14:paraId="60D0A410" w14:textId="3A5A8975" w:rsidR="008C7831" w:rsidRPr="00304C51" w:rsidRDefault="000F50FB" w:rsidP="00325164">
      <w:pPr>
        <w:pStyle w:val="BodyText"/>
        <w:spacing w:before="93" w:after="120"/>
        <w:ind w:left="1440" w:right="-446"/>
        <w:rPr>
          <w:rFonts w:asciiTheme="minorHAnsi" w:hAnsiTheme="minorHAnsi" w:cstheme="minorHAnsi"/>
          <w:sz w:val="28"/>
          <w:szCs w:val="28"/>
        </w:rPr>
      </w:pPr>
      <w:r>
        <w:rPr>
          <w:rFonts w:asciiTheme="minorHAnsi" w:hAnsiTheme="minorHAnsi" w:cstheme="minorHAnsi"/>
          <w:sz w:val="28"/>
          <w:szCs w:val="28"/>
        </w:rPr>
        <w:t xml:space="preserve">a.     </w:t>
      </w:r>
      <w:r w:rsidR="008C7831" w:rsidRPr="009A3031">
        <w:rPr>
          <w:rFonts w:asciiTheme="minorHAnsi" w:hAnsiTheme="minorHAnsi" w:cstheme="minorHAnsi"/>
          <w:sz w:val="28"/>
          <w:szCs w:val="28"/>
        </w:rPr>
        <w:t xml:space="preserve">Teaching: student evaluations should be at or above the </w:t>
      </w:r>
      <w:r w:rsidR="008C7831">
        <w:rPr>
          <w:rFonts w:asciiTheme="minorHAnsi" w:hAnsiTheme="minorHAnsi" w:cstheme="minorHAnsi"/>
          <w:sz w:val="28"/>
          <w:szCs w:val="28"/>
        </w:rPr>
        <w:t>CLS Program</w:t>
      </w:r>
      <w:r w:rsidR="008C7831" w:rsidRPr="009A3031">
        <w:rPr>
          <w:rFonts w:asciiTheme="minorHAnsi" w:hAnsiTheme="minorHAnsi" w:cstheme="minorHAnsi"/>
          <w:sz w:val="28"/>
          <w:szCs w:val="28"/>
        </w:rPr>
        <w:t xml:space="preserve"> median. Peer evaluations should be at or above the </w:t>
      </w:r>
      <w:r w:rsidR="008C7831">
        <w:rPr>
          <w:rFonts w:asciiTheme="minorHAnsi" w:hAnsiTheme="minorHAnsi" w:cstheme="minorHAnsi"/>
          <w:sz w:val="28"/>
          <w:szCs w:val="28"/>
        </w:rPr>
        <w:t xml:space="preserve">CLS </w:t>
      </w:r>
      <w:r w:rsidR="008C7831" w:rsidRPr="00304C51">
        <w:rPr>
          <w:rFonts w:asciiTheme="minorHAnsi" w:hAnsiTheme="minorHAnsi" w:cstheme="minorHAnsi"/>
          <w:sz w:val="28"/>
          <w:szCs w:val="28"/>
        </w:rPr>
        <w:t xml:space="preserve">Program median. </w:t>
      </w:r>
    </w:p>
    <w:p w14:paraId="3F32DEAB" w14:textId="4FDA5809" w:rsidR="008C7831" w:rsidRPr="00304C51" w:rsidRDefault="000F50FB" w:rsidP="00325164">
      <w:pPr>
        <w:pStyle w:val="BodyText"/>
        <w:spacing w:before="93" w:after="120"/>
        <w:ind w:left="1440" w:right="-446"/>
        <w:rPr>
          <w:rFonts w:asciiTheme="minorHAnsi" w:hAnsiTheme="minorHAnsi" w:cstheme="minorHAnsi"/>
          <w:sz w:val="28"/>
          <w:szCs w:val="28"/>
        </w:rPr>
      </w:pPr>
      <w:r>
        <w:rPr>
          <w:rFonts w:asciiTheme="minorHAnsi" w:hAnsiTheme="minorHAnsi" w:cstheme="minorHAnsi"/>
          <w:sz w:val="28"/>
          <w:szCs w:val="28"/>
        </w:rPr>
        <w:t xml:space="preserve">b.     </w:t>
      </w:r>
      <w:r w:rsidR="008C7831" w:rsidRPr="00304C51">
        <w:rPr>
          <w:rFonts w:asciiTheme="minorHAnsi" w:hAnsiTheme="minorHAnsi" w:cstheme="minorHAnsi"/>
          <w:sz w:val="28"/>
          <w:szCs w:val="28"/>
        </w:rPr>
        <w:t xml:space="preserve">Scholarship: The expectations for clinical/practice appointments are not as high as for tenure-track. Clinical/practice faculty are encouraged to produce data-based research and seek publication in high-quality journals with an impact factor (IF) of </w:t>
      </w:r>
      <w:r w:rsidR="008C7831" w:rsidRPr="00304C51">
        <w:rPr>
          <w:rFonts w:asciiTheme="minorHAnsi" w:hAnsiTheme="minorHAnsi" w:cstheme="minorHAnsi"/>
          <w:sz w:val="28"/>
          <w:szCs w:val="28"/>
          <w:u w:val="single"/>
        </w:rPr>
        <w:t>&gt;</w:t>
      </w:r>
      <w:r w:rsidR="008C7831" w:rsidRPr="00304C51">
        <w:rPr>
          <w:rFonts w:asciiTheme="minorHAnsi" w:hAnsiTheme="minorHAnsi" w:cstheme="minorHAnsi"/>
          <w:sz w:val="28"/>
          <w:szCs w:val="28"/>
        </w:rPr>
        <w:t xml:space="preserve"> 1.0. Adequate performance is one publication every other year of consideration. </w:t>
      </w:r>
      <w:r>
        <w:rPr>
          <w:rFonts w:asciiTheme="minorHAnsi" w:hAnsiTheme="minorHAnsi" w:cstheme="minorHAnsi"/>
          <w:sz w:val="28"/>
          <w:szCs w:val="28"/>
        </w:rPr>
        <w:t xml:space="preserve">C.   c.     </w:t>
      </w:r>
      <w:r w:rsidR="008C7831" w:rsidRPr="00304C51">
        <w:rPr>
          <w:rFonts w:asciiTheme="minorHAnsi" w:hAnsiTheme="minorHAnsi" w:cstheme="minorHAnsi"/>
          <w:sz w:val="28"/>
          <w:szCs w:val="28"/>
        </w:rPr>
        <w:t>Other scholarly activities, as defined in TENURE-TRACK AND TENURED FACULTY paragraph 11.b., will serve as the majority of activity for clinical/practice faculty, but these outcomes will not count as high as a data-based research publication.</w:t>
      </w:r>
    </w:p>
    <w:p w14:paraId="1D950C55" w14:textId="77777777" w:rsidR="008C7831" w:rsidRPr="009A3031" w:rsidRDefault="008C7831" w:rsidP="00325164">
      <w:pPr>
        <w:pStyle w:val="BodyText"/>
        <w:spacing w:before="93" w:after="120"/>
        <w:ind w:left="1440" w:right="-446"/>
        <w:rPr>
          <w:rFonts w:asciiTheme="minorHAnsi" w:hAnsiTheme="minorHAnsi" w:cstheme="minorHAnsi"/>
          <w:sz w:val="28"/>
          <w:szCs w:val="28"/>
        </w:rPr>
      </w:pPr>
      <w:r w:rsidRPr="009A3031">
        <w:rPr>
          <w:rFonts w:asciiTheme="minorHAnsi" w:hAnsiTheme="minorHAnsi" w:cstheme="minorHAnsi"/>
          <w:sz w:val="28"/>
          <w:szCs w:val="28"/>
        </w:rPr>
        <w:t>Service: Outreach activities both internal and external to the university, committee membership, program coordination, or related professional activities.</w:t>
      </w:r>
    </w:p>
    <w:p w14:paraId="7A06D3EB" w14:textId="77777777" w:rsidR="008C7831" w:rsidRPr="009A3031" w:rsidRDefault="008C7831" w:rsidP="00325164">
      <w:pPr>
        <w:pStyle w:val="BodyText"/>
        <w:spacing w:before="93" w:after="120"/>
        <w:ind w:left="1440" w:right="-446"/>
        <w:rPr>
          <w:rFonts w:asciiTheme="minorHAnsi" w:hAnsiTheme="minorHAnsi" w:cstheme="minorHAnsi"/>
          <w:sz w:val="28"/>
          <w:szCs w:val="28"/>
        </w:rPr>
      </w:pPr>
      <w:r w:rsidRPr="009A3031">
        <w:rPr>
          <w:rFonts w:asciiTheme="minorHAnsi" w:hAnsiTheme="minorHAnsi" w:cstheme="minorHAnsi"/>
          <w:sz w:val="28"/>
          <w:szCs w:val="28"/>
        </w:rPr>
        <w:t xml:space="preserve">Collegiality: The rules of collegiality apply equally to all faculty </w:t>
      </w:r>
    </w:p>
    <w:p w14:paraId="72FCE3AA" w14:textId="4806C670" w:rsidR="008C7831" w:rsidRPr="009A3031" w:rsidRDefault="00F02548" w:rsidP="00F02548">
      <w:pPr>
        <w:pStyle w:val="Heading1"/>
        <w:spacing w:after="120"/>
        <w:ind w:left="1440" w:right="-446" w:hanging="900"/>
        <w:rPr>
          <w:rFonts w:asciiTheme="minorHAnsi" w:hAnsiTheme="minorHAnsi" w:cstheme="minorHAnsi"/>
          <w:b w:val="0"/>
          <w:bCs w:val="0"/>
          <w:sz w:val="28"/>
          <w:szCs w:val="28"/>
        </w:rPr>
      </w:pPr>
      <w:r>
        <w:rPr>
          <w:rFonts w:asciiTheme="minorHAnsi" w:hAnsiTheme="minorHAnsi" w:cstheme="minorHAnsi"/>
          <w:b w:val="0"/>
          <w:bCs w:val="0"/>
          <w:sz w:val="28"/>
          <w:szCs w:val="28"/>
        </w:rPr>
        <w:t xml:space="preserve">04.05     </w:t>
      </w:r>
      <w:r w:rsidR="008C7831" w:rsidRPr="009A3031">
        <w:rPr>
          <w:rFonts w:asciiTheme="minorHAnsi" w:hAnsiTheme="minorHAnsi" w:cstheme="minorHAnsi"/>
          <w:b w:val="0"/>
          <w:bCs w:val="0"/>
          <w:sz w:val="28"/>
          <w:szCs w:val="28"/>
        </w:rPr>
        <w:t>If clinical/practice faculty pursue a tenure-track appointment at Texas State University, years of service in the clinical/practice role will not be considered in the determination of rank or appointment and probationary period for tenure or promotion purposes.</w:t>
      </w:r>
    </w:p>
    <w:p w14:paraId="6AB6F65A" w14:textId="7C06CF96" w:rsidR="008C7831" w:rsidRPr="009A3031" w:rsidRDefault="00BE20A4" w:rsidP="00F02548">
      <w:pPr>
        <w:pStyle w:val="Heading1"/>
        <w:spacing w:after="120"/>
        <w:ind w:left="-86" w:right="-446"/>
        <w:rPr>
          <w:rFonts w:asciiTheme="minorHAnsi" w:hAnsiTheme="minorHAnsi" w:cstheme="minorHAnsi"/>
          <w:sz w:val="28"/>
          <w:szCs w:val="28"/>
        </w:rPr>
      </w:pPr>
      <w:r>
        <w:rPr>
          <w:rFonts w:asciiTheme="minorHAnsi" w:hAnsiTheme="minorHAnsi" w:cstheme="minorHAnsi"/>
          <w:sz w:val="28"/>
          <w:szCs w:val="28"/>
        </w:rPr>
        <w:t xml:space="preserve">05.     </w:t>
      </w:r>
      <w:r w:rsidR="008C7831" w:rsidRPr="009A3031">
        <w:rPr>
          <w:rFonts w:asciiTheme="minorHAnsi" w:hAnsiTheme="minorHAnsi" w:cstheme="minorHAnsi"/>
          <w:sz w:val="28"/>
          <w:szCs w:val="28"/>
        </w:rPr>
        <w:t>PROCEDURES FOR PROMOTION FOR ALL FACULTY</w:t>
      </w:r>
    </w:p>
    <w:p w14:paraId="0815D5CE" w14:textId="71C48F69" w:rsidR="008C7831" w:rsidRPr="009A3031" w:rsidRDefault="00BE20A4" w:rsidP="00BE20A4">
      <w:pPr>
        <w:pStyle w:val="Heading1"/>
        <w:spacing w:after="120"/>
        <w:ind w:left="1440" w:right="-446" w:hanging="893"/>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05.01    </w:t>
      </w:r>
      <w:r w:rsidR="008C7831" w:rsidRPr="009A3031">
        <w:rPr>
          <w:rFonts w:asciiTheme="minorHAnsi" w:hAnsiTheme="minorHAnsi" w:cstheme="minorHAnsi"/>
          <w:b w:val="0"/>
          <w:bCs w:val="0"/>
          <w:sz w:val="28"/>
          <w:szCs w:val="28"/>
        </w:rPr>
        <w:t xml:space="preserve">General Information: Recommendations on tenure/promotion and promotion are based on judgments of professional achievements and on the expectation of future achievement. To gain the support of the </w:t>
      </w:r>
      <w:r w:rsidR="008C7831">
        <w:rPr>
          <w:rFonts w:asciiTheme="minorHAnsi" w:hAnsiTheme="minorHAnsi" w:cstheme="minorHAnsi"/>
          <w:b w:val="0"/>
          <w:bCs w:val="0"/>
          <w:sz w:val="28"/>
          <w:szCs w:val="28"/>
        </w:rPr>
        <w:t>CLS Program Chair</w:t>
      </w:r>
      <w:r w:rsidR="008C7831" w:rsidRPr="009A3031">
        <w:rPr>
          <w:rFonts w:asciiTheme="minorHAnsi" w:hAnsiTheme="minorHAnsi" w:cstheme="minorHAnsi"/>
          <w:b w:val="0"/>
          <w:bCs w:val="0"/>
          <w:sz w:val="28"/>
          <w:szCs w:val="28"/>
        </w:rPr>
        <w:t xml:space="preserve">, candidates for tenure and promotion are expected to have a strong record in teaching, research, service, and collegiality as documented in their curriculum vitae submitted in University format. In assessing the expectation of future </w:t>
      </w:r>
      <w:r w:rsidR="008C7831" w:rsidRPr="009A3031">
        <w:rPr>
          <w:rFonts w:asciiTheme="minorHAnsi" w:hAnsiTheme="minorHAnsi" w:cstheme="minorHAnsi"/>
          <w:b w:val="0"/>
          <w:bCs w:val="0"/>
          <w:sz w:val="28"/>
          <w:szCs w:val="28"/>
        </w:rPr>
        <w:lastRenderedPageBreak/>
        <w:t>achievement, the following should be considered:</w:t>
      </w:r>
    </w:p>
    <w:p w14:paraId="48B80405" w14:textId="3070A1C3" w:rsidR="008C7831" w:rsidRPr="009A3031" w:rsidRDefault="006D13FB" w:rsidP="006D13FB">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a.     </w:t>
      </w:r>
      <w:r w:rsidR="008C7831" w:rsidRPr="009A3031">
        <w:rPr>
          <w:rFonts w:asciiTheme="minorHAnsi" w:hAnsiTheme="minorHAnsi" w:cstheme="minorHAnsi"/>
          <w:sz w:val="28"/>
          <w:szCs w:val="28"/>
        </w:rPr>
        <w:t>The record over the entire career will be considered.</w:t>
      </w:r>
    </w:p>
    <w:p w14:paraId="567F18E5" w14:textId="43AA09F8" w:rsidR="008C7831" w:rsidRPr="009A3031" w:rsidRDefault="006D13FB" w:rsidP="006D13FB">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8C7831" w:rsidRPr="009A3031">
        <w:rPr>
          <w:rFonts w:asciiTheme="minorHAnsi" w:hAnsiTheme="minorHAnsi" w:cstheme="minorHAnsi"/>
          <w:sz w:val="28"/>
          <w:szCs w:val="28"/>
        </w:rPr>
        <w:t>The record since being hired at Texas State University will be emphasized.</w:t>
      </w:r>
    </w:p>
    <w:p w14:paraId="64EAE44D" w14:textId="74197F7A" w:rsidR="008C7831" w:rsidRPr="009A3031" w:rsidRDefault="006D13FB" w:rsidP="006D13FB">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c.     </w:t>
      </w:r>
      <w:r w:rsidR="008C7831" w:rsidRPr="009A3031">
        <w:rPr>
          <w:rFonts w:asciiTheme="minorHAnsi" w:hAnsiTheme="minorHAnsi" w:cstheme="minorHAnsi"/>
          <w:sz w:val="28"/>
          <w:szCs w:val="28"/>
        </w:rPr>
        <w:t>The sustained record since the most recent promotion will be prioritized.</w:t>
      </w:r>
    </w:p>
    <w:p w14:paraId="22455962" w14:textId="7E8A392A" w:rsidR="008C7831" w:rsidRPr="009A3031" w:rsidRDefault="006D13FB" w:rsidP="006D13FB">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d.     </w:t>
      </w:r>
      <w:r w:rsidR="008C7831" w:rsidRPr="009A3031">
        <w:rPr>
          <w:rFonts w:asciiTheme="minorHAnsi" w:hAnsiTheme="minorHAnsi" w:cstheme="minorHAnsi"/>
          <w:sz w:val="28"/>
          <w:szCs w:val="28"/>
        </w:rPr>
        <w:t>Future prospects for continuing achievement (sustainability) should be evident.</w:t>
      </w:r>
    </w:p>
    <w:p w14:paraId="5982BE4C" w14:textId="510DF4F4" w:rsidR="008C7831" w:rsidRPr="009A3031" w:rsidRDefault="00D01668" w:rsidP="00D01668">
      <w:pPr>
        <w:pStyle w:val="Heading1"/>
        <w:spacing w:after="120"/>
        <w:ind w:left="1440" w:right="-446" w:hanging="893"/>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05.02    </w:t>
      </w:r>
      <w:r w:rsidR="008C7831" w:rsidRPr="009A3031">
        <w:rPr>
          <w:rFonts w:asciiTheme="minorHAnsi" w:hAnsiTheme="minorHAnsi" w:cstheme="minorHAnsi"/>
          <w:b w:val="0"/>
          <w:bCs w:val="0"/>
          <w:sz w:val="28"/>
          <w:szCs w:val="28"/>
        </w:rPr>
        <w:t xml:space="preserve">The timeline for T&amp;P and promotion are listed on the university’s </w:t>
      </w:r>
      <w:hyperlink r:id="rId27" w:history="1">
        <w:r w:rsidR="008C7831" w:rsidRPr="009A3031">
          <w:rPr>
            <w:rStyle w:val="Hyperlink"/>
            <w:rFonts w:asciiTheme="minorHAnsi" w:hAnsiTheme="minorHAnsi" w:cstheme="minorHAnsi"/>
            <w:b w:val="0"/>
            <w:bCs w:val="0"/>
            <w:sz w:val="28"/>
            <w:szCs w:val="28"/>
          </w:rPr>
          <w:t>website</w:t>
        </w:r>
      </w:hyperlink>
      <w:r w:rsidR="008C7831" w:rsidRPr="009A3031">
        <w:rPr>
          <w:rFonts w:asciiTheme="minorHAnsi" w:hAnsiTheme="minorHAnsi" w:cstheme="minorHAnsi"/>
          <w:b w:val="0"/>
          <w:bCs w:val="0"/>
          <w:sz w:val="28"/>
          <w:szCs w:val="28"/>
        </w:rPr>
        <w:t xml:space="preserve">. </w:t>
      </w:r>
    </w:p>
    <w:p w14:paraId="07CB3E35" w14:textId="79C15054" w:rsidR="008C7831" w:rsidRPr="009A3031" w:rsidRDefault="00D01668" w:rsidP="00D01668">
      <w:pPr>
        <w:pStyle w:val="Heading1"/>
        <w:spacing w:after="120"/>
        <w:ind w:left="1440" w:right="-446" w:hanging="893"/>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05.03    </w:t>
      </w:r>
      <w:r w:rsidR="008C7831" w:rsidRPr="009A3031">
        <w:rPr>
          <w:rFonts w:asciiTheme="minorHAnsi" w:hAnsiTheme="minorHAnsi" w:cstheme="minorHAnsi"/>
          <w:b w:val="0"/>
          <w:bCs w:val="0"/>
          <w:sz w:val="28"/>
          <w:szCs w:val="28"/>
        </w:rPr>
        <w:t xml:space="preserve">External Review: The purpose of external reviews is to obtain a professional assessment of the tenure and/or promotion candidate's performance by individuals with similar expertise in the discipline. External reviewers should ordinarily hold the terminal degree (a doctorate and a masters, one of which must be in </w:t>
      </w:r>
      <w:r w:rsidR="008C7831">
        <w:rPr>
          <w:rFonts w:asciiTheme="minorHAnsi" w:hAnsiTheme="minorHAnsi" w:cstheme="minorHAnsi"/>
          <w:b w:val="0"/>
          <w:bCs w:val="0"/>
          <w:sz w:val="28"/>
          <w:szCs w:val="28"/>
        </w:rPr>
        <w:t>clinical laboratory science</w:t>
      </w:r>
      <w:r w:rsidR="008C7831" w:rsidRPr="009A3031">
        <w:rPr>
          <w:rFonts w:asciiTheme="minorHAnsi" w:hAnsiTheme="minorHAnsi" w:cstheme="minorHAnsi"/>
          <w:b w:val="0"/>
          <w:bCs w:val="0"/>
          <w:sz w:val="28"/>
          <w:szCs w:val="28"/>
        </w:rPr>
        <w:t xml:space="preserve"> or a closely related discipline) and be a professor in rank. External reviewers should be from a </w:t>
      </w:r>
      <w:hyperlink r:id="rId28" w:history="1">
        <w:r w:rsidR="008C7831" w:rsidRPr="009A3031">
          <w:rPr>
            <w:rStyle w:val="Hyperlink"/>
            <w:rFonts w:asciiTheme="minorHAnsi" w:hAnsiTheme="minorHAnsi" w:cstheme="minorHAnsi"/>
            <w:b w:val="0"/>
            <w:bCs w:val="0"/>
            <w:sz w:val="28"/>
            <w:szCs w:val="28"/>
          </w:rPr>
          <w:t>Carnegie R1 or R2 university</w:t>
        </w:r>
      </w:hyperlink>
      <w:r w:rsidR="008C7831" w:rsidRPr="009A3031">
        <w:rPr>
          <w:rFonts w:asciiTheme="minorHAnsi" w:hAnsiTheme="minorHAnsi" w:cstheme="minorHAnsi"/>
          <w:b w:val="0"/>
          <w:bCs w:val="0"/>
          <w:sz w:val="28"/>
          <w:szCs w:val="28"/>
        </w:rPr>
        <w:t>. To minimize biases for or against the candidate, external reviews should not be solicited from the candidate's thesis/dissertation advisor, co-authors, former students, or former professors. The external reviewer shall provide feedback on the quality and significance of the candidate's performance in the areas</w:t>
      </w:r>
      <w:r w:rsidR="008C7831" w:rsidRPr="009A3031">
        <w:rPr>
          <w:rFonts w:asciiTheme="minorHAnsi" w:hAnsiTheme="minorHAnsi" w:cstheme="minorHAnsi"/>
          <w:b w:val="0"/>
          <w:bCs w:val="0"/>
          <w:color w:val="3366FF"/>
          <w:sz w:val="28"/>
          <w:szCs w:val="28"/>
        </w:rPr>
        <w:t xml:space="preserve"> </w:t>
      </w:r>
      <w:r w:rsidR="008C7831" w:rsidRPr="009A3031">
        <w:rPr>
          <w:rFonts w:asciiTheme="minorHAnsi" w:hAnsiTheme="minorHAnsi" w:cstheme="minorHAnsi"/>
          <w:b w:val="0"/>
          <w:bCs w:val="0"/>
          <w:sz w:val="28"/>
          <w:szCs w:val="28"/>
        </w:rPr>
        <w:t>of scholarship, teaching, and service. External reviews shall follow the following process.</w:t>
      </w:r>
    </w:p>
    <w:p w14:paraId="1B1E2D81" w14:textId="68B20E5D" w:rsidR="008C7831" w:rsidRPr="009A3031" w:rsidRDefault="00D01668" w:rsidP="00D01668">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a.     </w:t>
      </w:r>
      <w:r w:rsidR="008C7831" w:rsidRPr="009A3031">
        <w:rPr>
          <w:rFonts w:asciiTheme="minorHAnsi" w:hAnsiTheme="minorHAnsi" w:cstheme="minorHAnsi"/>
          <w:sz w:val="28"/>
          <w:szCs w:val="28"/>
        </w:rPr>
        <w:t xml:space="preserve">Along with the candidate's submission of intent to apply for promotion/tenure by June 1, candidates for tenure and promotion will submit to the </w:t>
      </w:r>
      <w:r w:rsidR="008C7831">
        <w:rPr>
          <w:rFonts w:asciiTheme="minorHAnsi" w:hAnsiTheme="minorHAnsi" w:cstheme="minorHAnsi"/>
          <w:sz w:val="28"/>
          <w:szCs w:val="28"/>
        </w:rPr>
        <w:t>Program Chair</w:t>
      </w:r>
      <w:r w:rsidR="008C7831" w:rsidRPr="009A3031">
        <w:rPr>
          <w:rFonts w:asciiTheme="minorHAnsi" w:hAnsiTheme="minorHAnsi" w:cstheme="minorHAnsi"/>
          <w:sz w:val="28"/>
          <w:szCs w:val="28"/>
        </w:rPr>
        <w:t xml:space="preserve"> the following:</w:t>
      </w:r>
    </w:p>
    <w:p w14:paraId="6FC474D1" w14:textId="3C1827FC" w:rsidR="008C7831" w:rsidRPr="009A3031" w:rsidRDefault="00D01668" w:rsidP="00D01668">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b.     </w:t>
      </w:r>
      <w:r w:rsidR="008C7831" w:rsidRPr="009A3031">
        <w:rPr>
          <w:rFonts w:asciiTheme="minorHAnsi" w:hAnsiTheme="minorHAnsi" w:cstheme="minorHAnsi"/>
          <w:sz w:val="28"/>
          <w:szCs w:val="28"/>
        </w:rPr>
        <w:t>Names, titles, and complete addresses of three (3) individuals who have the qualifications to serve as external reviewers.</w:t>
      </w:r>
    </w:p>
    <w:p w14:paraId="5EC276A7" w14:textId="2506D87D" w:rsidR="008C7831" w:rsidRPr="009A3031" w:rsidRDefault="00D01668" w:rsidP="00D01668">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c.     </w:t>
      </w:r>
      <w:r w:rsidR="008C7831" w:rsidRPr="009A3031">
        <w:rPr>
          <w:rFonts w:asciiTheme="minorHAnsi" w:hAnsiTheme="minorHAnsi" w:cstheme="minorHAnsi"/>
          <w:sz w:val="28"/>
          <w:szCs w:val="28"/>
        </w:rPr>
        <w:t xml:space="preserve">Materials to be reviewed will be updated in the </w:t>
      </w:r>
      <w:r w:rsidR="008C7831">
        <w:rPr>
          <w:rFonts w:asciiTheme="minorHAnsi" w:hAnsiTheme="minorHAnsi" w:cstheme="minorHAnsi"/>
          <w:sz w:val="28"/>
          <w:szCs w:val="28"/>
        </w:rPr>
        <w:t>Faculty Qualifications</w:t>
      </w:r>
      <w:r w:rsidR="008C7831" w:rsidRPr="009A3031">
        <w:rPr>
          <w:rFonts w:asciiTheme="minorHAnsi" w:hAnsiTheme="minorHAnsi" w:cstheme="minorHAnsi"/>
          <w:sz w:val="28"/>
          <w:szCs w:val="28"/>
        </w:rPr>
        <w:t xml:space="preserve"> system so that they appear in the report generated. </w:t>
      </w:r>
    </w:p>
    <w:p w14:paraId="654EC0E7" w14:textId="4B5944BB" w:rsidR="008C7831" w:rsidRPr="009A3031" w:rsidRDefault="00D01668" w:rsidP="00D01668">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t xml:space="preserve">d.     </w:t>
      </w:r>
      <w:r w:rsidR="008C7831" w:rsidRPr="009A3031">
        <w:rPr>
          <w:rFonts w:asciiTheme="minorHAnsi" w:hAnsiTheme="minorHAnsi" w:cstheme="minorHAnsi"/>
          <w:sz w:val="28"/>
          <w:szCs w:val="28"/>
        </w:rPr>
        <w:t xml:space="preserve">The </w:t>
      </w:r>
      <w:r w:rsidR="008C7831">
        <w:rPr>
          <w:rFonts w:asciiTheme="minorHAnsi" w:hAnsiTheme="minorHAnsi" w:cstheme="minorHAnsi"/>
          <w:sz w:val="28"/>
          <w:szCs w:val="28"/>
        </w:rPr>
        <w:t>Program</w:t>
      </w:r>
      <w:r w:rsidR="008C7831" w:rsidRPr="009A3031">
        <w:rPr>
          <w:rFonts w:asciiTheme="minorHAnsi" w:hAnsiTheme="minorHAnsi" w:cstheme="minorHAnsi"/>
          <w:sz w:val="28"/>
          <w:szCs w:val="28"/>
        </w:rPr>
        <w:t xml:space="preserve"> will then select one (1) individual from the list and contact them by phone/e-mail to determine their willingness to serve as external reviewers.</w:t>
      </w:r>
    </w:p>
    <w:p w14:paraId="194B4EC3" w14:textId="747AE165" w:rsidR="008C7831" w:rsidRPr="009A3031" w:rsidRDefault="00D01668" w:rsidP="00D01668">
      <w:pPr>
        <w:pStyle w:val="BodyText"/>
        <w:spacing w:before="93" w:after="120"/>
        <w:ind w:left="1980" w:right="-446" w:hanging="540"/>
        <w:rPr>
          <w:rFonts w:asciiTheme="minorHAnsi" w:hAnsiTheme="minorHAnsi" w:cstheme="minorHAnsi"/>
          <w:sz w:val="28"/>
          <w:szCs w:val="28"/>
        </w:rPr>
      </w:pPr>
      <w:r>
        <w:rPr>
          <w:rFonts w:asciiTheme="minorHAnsi" w:hAnsiTheme="minorHAnsi" w:cstheme="minorHAnsi"/>
          <w:sz w:val="28"/>
          <w:szCs w:val="28"/>
        </w:rPr>
        <w:lastRenderedPageBreak/>
        <w:t xml:space="preserve">e.     </w:t>
      </w:r>
      <w:r w:rsidR="008C7831" w:rsidRPr="009A3031">
        <w:rPr>
          <w:rFonts w:asciiTheme="minorHAnsi" w:hAnsiTheme="minorHAnsi" w:cstheme="minorHAnsi"/>
          <w:sz w:val="28"/>
          <w:szCs w:val="28"/>
        </w:rPr>
        <w:t xml:space="preserve">If the individuals selected are willing to serve, the </w:t>
      </w:r>
      <w:r w:rsidR="008C7831">
        <w:rPr>
          <w:rFonts w:asciiTheme="minorHAnsi" w:hAnsiTheme="minorHAnsi" w:cstheme="minorHAnsi"/>
          <w:sz w:val="28"/>
          <w:szCs w:val="28"/>
        </w:rPr>
        <w:t>CLS Chair</w:t>
      </w:r>
      <w:r w:rsidR="008C7831" w:rsidRPr="009A3031">
        <w:rPr>
          <w:rFonts w:asciiTheme="minorHAnsi" w:hAnsiTheme="minorHAnsi" w:cstheme="minorHAnsi"/>
          <w:sz w:val="28"/>
          <w:szCs w:val="28"/>
        </w:rPr>
        <w:t xml:space="preserve"> shall send a letter explaining the following information to the external reviewers:</w:t>
      </w:r>
    </w:p>
    <w:p w14:paraId="79195771" w14:textId="510D8F28"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1.     </w:t>
      </w:r>
      <w:r w:rsidR="008C7831" w:rsidRPr="009A3031">
        <w:rPr>
          <w:rFonts w:asciiTheme="minorHAnsi" w:hAnsiTheme="minorHAnsi" w:cstheme="minorHAnsi"/>
          <w:sz w:val="28"/>
          <w:szCs w:val="28"/>
        </w:rPr>
        <w:t>The purpose of the external review.</w:t>
      </w:r>
    </w:p>
    <w:p w14:paraId="5C3C8AA0" w14:textId="764D318F"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2.     </w:t>
      </w:r>
      <w:r w:rsidR="008C7831" w:rsidRPr="009A3031">
        <w:rPr>
          <w:rFonts w:asciiTheme="minorHAnsi" w:hAnsiTheme="minorHAnsi" w:cstheme="minorHAnsi"/>
          <w:sz w:val="28"/>
          <w:szCs w:val="28"/>
        </w:rPr>
        <w:t>The type of information required.</w:t>
      </w:r>
    </w:p>
    <w:p w14:paraId="199F10A4" w14:textId="765FCC22"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3.     </w:t>
      </w:r>
      <w:r w:rsidR="008C7831" w:rsidRPr="009A3031">
        <w:rPr>
          <w:rFonts w:asciiTheme="minorHAnsi" w:hAnsiTheme="minorHAnsi" w:cstheme="minorHAnsi"/>
          <w:sz w:val="28"/>
          <w:szCs w:val="28"/>
        </w:rPr>
        <w:t>The time frame for completion of the review.</w:t>
      </w:r>
    </w:p>
    <w:p w14:paraId="064E285E" w14:textId="7793E6E8"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4.     </w:t>
      </w:r>
      <w:r w:rsidR="008C7831" w:rsidRPr="009A3031">
        <w:rPr>
          <w:rFonts w:asciiTheme="minorHAnsi" w:hAnsiTheme="minorHAnsi" w:cstheme="minorHAnsi"/>
          <w:sz w:val="28"/>
          <w:szCs w:val="28"/>
        </w:rPr>
        <w:t>A statement to the effect that their comments will become part of the candidate's evaluation file that will be reviewed by individuals in the University community involved in the evaluation process.</w:t>
      </w:r>
    </w:p>
    <w:p w14:paraId="7F6F47E1" w14:textId="10E5840D"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5.     </w:t>
      </w:r>
      <w:r w:rsidR="008C7831" w:rsidRPr="009A3031">
        <w:rPr>
          <w:rFonts w:asciiTheme="minorHAnsi" w:hAnsiTheme="minorHAnsi" w:cstheme="minorHAnsi"/>
          <w:sz w:val="28"/>
          <w:szCs w:val="28"/>
        </w:rPr>
        <w:t xml:space="preserve">Instructions to mail the review to the </w:t>
      </w:r>
      <w:r w:rsidR="008C7831">
        <w:rPr>
          <w:rFonts w:asciiTheme="minorHAnsi" w:hAnsiTheme="minorHAnsi" w:cstheme="minorHAnsi"/>
          <w:sz w:val="28"/>
          <w:szCs w:val="28"/>
        </w:rPr>
        <w:t>Program Chair</w:t>
      </w:r>
      <w:r w:rsidR="008C7831" w:rsidRPr="009A3031">
        <w:rPr>
          <w:rFonts w:asciiTheme="minorHAnsi" w:hAnsiTheme="minorHAnsi" w:cstheme="minorHAnsi"/>
          <w:sz w:val="28"/>
          <w:szCs w:val="28"/>
        </w:rPr>
        <w:t>.</w:t>
      </w:r>
    </w:p>
    <w:p w14:paraId="6B25899B" w14:textId="24D9D12B"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6.     </w:t>
      </w:r>
      <w:r w:rsidR="008C7831" w:rsidRPr="009A3031">
        <w:rPr>
          <w:rFonts w:asciiTheme="minorHAnsi" w:hAnsiTheme="minorHAnsi" w:cstheme="minorHAnsi"/>
          <w:sz w:val="28"/>
          <w:szCs w:val="28"/>
        </w:rPr>
        <w:t>The candidate's curriculum vitae.</w:t>
      </w:r>
    </w:p>
    <w:p w14:paraId="1A1CFDB7" w14:textId="522184FC" w:rsidR="008C7831" w:rsidRPr="009A3031" w:rsidRDefault="00DC7A6A" w:rsidP="00DC7A6A">
      <w:pPr>
        <w:pStyle w:val="BodyText"/>
        <w:spacing w:before="93"/>
        <w:ind w:left="2520" w:right="-440" w:hanging="540"/>
        <w:rPr>
          <w:rFonts w:asciiTheme="minorHAnsi" w:hAnsiTheme="minorHAnsi" w:cstheme="minorHAnsi"/>
          <w:sz w:val="28"/>
          <w:szCs w:val="28"/>
        </w:rPr>
      </w:pPr>
      <w:r>
        <w:rPr>
          <w:rFonts w:asciiTheme="minorHAnsi" w:hAnsiTheme="minorHAnsi" w:cstheme="minorHAnsi"/>
          <w:sz w:val="28"/>
          <w:szCs w:val="28"/>
        </w:rPr>
        <w:t xml:space="preserve">7.     </w:t>
      </w:r>
      <w:r w:rsidR="008C7831" w:rsidRPr="009A3031">
        <w:rPr>
          <w:rFonts w:asciiTheme="minorHAnsi" w:hAnsiTheme="minorHAnsi" w:cstheme="minorHAnsi"/>
          <w:sz w:val="28"/>
          <w:szCs w:val="28"/>
        </w:rPr>
        <w:t>Materials to be used in the evaluation of the candidate's scholarship.</w:t>
      </w:r>
    </w:p>
    <w:p w14:paraId="653E1970" w14:textId="7E63C86F" w:rsidR="008C7831" w:rsidRPr="00304C51" w:rsidRDefault="00DC7A6A" w:rsidP="00DC7A6A">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05.04     </w:t>
      </w:r>
      <w:r w:rsidR="008C7831" w:rsidRPr="00304C51">
        <w:rPr>
          <w:rFonts w:asciiTheme="minorHAnsi" w:hAnsiTheme="minorHAnsi" w:cstheme="minorHAnsi"/>
          <w:b w:val="0"/>
          <w:bCs w:val="0"/>
          <w:sz w:val="28"/>
          <w:szCs w:val="28"/>
        </w:rPr>
        <w:t xml:space="preserve">Internal (CLS Program) review: </w:t>
      </w:r>
    </w:p>
    <w:p w14:paraId="1A62D43A" w14:textId="35FC5CEC" w:rsidR="008C7831" w:rsidRPr="00304C51" w:rsidRDefault="00DC7A6A" w:rsidP="00962D43">
      <w:pPr>
        <w:pStyle w:val="BodyText"/>
        <w:spacing w:before="93"/>
        <w:ind w:left="1980" w:right="-440" w:hanging="540"/>
        <w:rPr>
          <w:rFonts w:asciiTheme="minorHAnsi" w:hAnsiTheme="minorHAnsi" w:cstheme="minorHAnsi"/>
          <w:sz w:val="28"/>
          <w:szCs w:val="28"/>
        </w:rPr>
      </w:pPr>
      <w:r>
        <w:rPr>
          <w:rFonts w:asciiTheme="minorHAnsi" w:hAnsiTheme="minorHAnsi" w:cstheme="minorHAnsi"/>
          <w:sz w:val="28"/>
          <w:szCs w:val="28"/>
        </w:rPr>
        <w:t xml:space="preserve">a.     </w:t>
      </w:r>
      <w:r w:rsidR="008C7831" w:rsidRPr="00304C51">
        <w:rPr>
          <w:rFonts w:asciiTheme="minorHAnsi" w:hAnsiTheme="minorHAnsi" w:cstheme="minorHAnsi"/>
          <w:sz w:val="28"/>
          <w:szCs w:val="28"/>
        </w:rPr>
        <w:t>PC: The external reviews should be completed on or by the date in October identified by the University and in time for the Personnel Committee to review during the evaluation of the candidate. It is realized that extenuating circumstances beyond the candidate's control may prevail. In such cases, the CLS Chair may consult the Personnel Committee about a possible and reasonable extension of the deadline.</w:t>
      </w:r>
    </w:p>
    <w:p w14:paraId="5C74762E" w14:textId="39049E4B" w:rsidR="008C7831" w:rsidRPr="009A3031" w:rsidRDefault="00DC7A6A" w:rsidP="00962D43">
      <w:pPr>
        <w:pStyle w:val="BodyText"/>
        <w:spacing w:before="93"/>
        <w:ind w:left="1980" w:right="-440" w:hanging="540"/>
        <w:rPr>
          <w:rFonts w:asciiTheme="minorHAnsi" w:hAnsiTheme="minorHAnsi" w:cstheme="minorHAnsi"/>
          <w:sz w:val="28"/>
          <w:szCs w:val="28"/>
        </w:rPr>
      </w:pPr>
      <w:r>
        <w:rPr>
          <w:rFonts w:asciiTheme="minorHAnsi" w:hAnsiTheme="minorHAnsi" w:cstheme="minorHAnsi"/>
          <w:sz w:val="28"/>
          <w:szCs w:val="28"/>
        </w:rPr>
        <w:t xml:space="preserve">b.     </w:t>
      </w:r>
      <w:r w:rsidR="008C7831">
        <w:rPr>
          <w:rFonts w:asciiTheme="minorHAnsi" w:hAnsiTheme="minorHAnsi" w:cstheme="minorHAnsi"/>
          <w:sz w:val="28"/>
          <w:szCs w:val="28"/>
        </w:rPr>
        <w:t>Chair</w:t>
      </w:r>
      <w:r w:rsidR="008C7831" w:rsidRPr="009A3031">
        <w:rPr>
          <w:rFonts w:asciiTheme="minorHAnsi" w:hAnsiTheme="minorHAnsi" w:cstheme="minorHAnsi"/>
          <w:sz w:val="28"/>
          <w:szCs w:val="28"/>
        </w:rPr>
        <w:t xml:space="preserve">: The </w:t>
      </w:r>
      <w:r w:rsidR="008C7831">
        <w:rPr>
          <w:rFonts w:asciiTheme="minorHAnsi" w:hAnsiTheme="minorHAnsi" w:cstheme="minorHAnsi"/>
          <w:sz w:val="28"/>
          <w:szCs w:val="28"/>
        </w:rPr>
        <w:t>CLS Chair</w:t>
      </w:r>
      <w:r w:rsidR="008C7831" w:rsidRPr="009A3031">
        <w:rPr>
          <w:rFonts w:asciiTheme="minorHAnsi" w:hAnsiTheme="minorHAnsi" w:cstheme="minorHAnsi"/>
          <w:sz w:val="28"/>
          <w:szCs w:val="28"/>
        </w:rPr>
        <w:t xml:space="preserve"> provides his/her own evaluation and recommendation as part of the internal review. These are forwarded to the College Review Group and Dean for action. The </w:t>
      </w:r>
      <w:r w:rsidR="008C7831">
        <w:rPr>
          <w:rFonts w:asciiTheme="minorHAnsi" w:hAnsiTheme="minorHAnsi" w:cstheme="minorHAnsi"/>
          <w:sz w:val="28"/>
          <w:szCs w:val="28"/>
        </w:rPr>
        <w:t>Chair</w:t>
      </w:r>
      <w:r w:rsidR="008C7831" w:rsidRPr="009A3031">
        <w:rPr>
          <w:rFonts w:asciiTheme="minorHAnsi" w:hAnsiTheme="minorHAnsi" w:cstheme="minorHAnsi"/>
          <w:sz w:val="28"/>
          <w:szCs w:val="28"/>
        </w:rPr>
        <w:t xml:space="preserve"> will inform the candidate within 3 days of the PC’s recommendation.</w:t>
      </w:r>
    </w:p>
    <w:p w14:paraId="7AE6BCFE" w14:textId="0BEED13B" w:rsidR="008C7831" w:rsidRPr="009A3031" w:rsidRDefault="00962D43" w:rsidP="00962D43">
      <w:pPr>
        <w:pStyle w:val="Heading1"/>
        <w:spacing w:after="120"/>
        <w:ind w:left="547" w:right="-446"/>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05.04     </w:t>
      </w:r>
      <w:r w:rsidR="008C7831" w:rsidRPr="009A3031">
        <w:rPr>
          <w:rFonts w:asciiTheme="minorHAnsi" w:hAnsiTheme="minorHAnsi" w:cstheme="minorHAnsi"/>
          <w:b w:val="0"/>
          <w:bCs w:val="0"/>
          <w:sz w:val="28"/>
          <w:szCs w:val="28"/>
        </w:rPr>
        <w:t xml:space="preserve">College Level Review </w:t>
      </w:r>
    </w:p>
    <w:p w14:paraId="00ED46E7" w14:textId="413EDE46" w:rsidR="008C7831" w:rsidRPr="009A3031" w:rsidRDefault="00962D43" w:rsidP="00962D43">
      <w:pPr>
        <w:pStyle w:val="BodyText"/>
        <w:tabs>
          <w:tab w:val="left" w:pos="2070"/>
        </w:tabs>
        <w:spacing w:before="93"/>
        <w:ind w:left="1890" w:right="-440" w:hanging="450"/>
        <w:rPr>
          <w:rFonts w:asciiTheme="minorHAnsi" w:hAnsiTheme="minorHAnsi" w:cstheme="minorHAnsi"/>
          <w:sz w:val="28"/>
          <w:szCs w:val="28"/>
        </w:rPr>
      </w:pPr>
      <w:r>
        <w:rPr>
          <w:rFonts w:asciiTheme="minorHAnsi" w:hAnsiTheme="minorHAnsi" w:cstheme="minorHAnsi"/>
          <w:sz w:val="28"/>
          <w:szCs w:val="28"/>
        </w:rPr>
        <w:t xml:space="preserve">a.     </w:t>
      </w:r>
      <w:r w:rsidR="008C7831" w:rsidRPr="009A3031">
        <w:rPr>
          <w:rFonts w:asciiTheme="minorHAnsi" w:hAnsiTheme="minorHAnsi" w:cstheme="minorHAnsi"/>
          <w:sz w:val="28"/>
          <w:szCs w:val="28"/>
        </w:rPr>
        <w:t xml:space="preserve">In January, The College Review Group will analyze the candidates’ </w:t>
      </w:r>
      <w:r w:rsidR="008C7831">
        <w:rPr>
          <w:rFonts w:asciiTheme="minorHAnsi" w:hAnsiTheme="minorHAnsi" w:cstheme="minorHAnsi"/>
          <w:sz w:val="28"/>
          <w:szCs w:val="28"/>
        </w:rPr>
        <w:t>information</w:t>
      </w:r>
      <w:r w:rsidR="008C7831" w:rsidRPr="009A3031">
        <w:rPr>
          <w:rFonts w:asciiTheme="minorHAnsi" w:hAnsiTheme="minorHAnsi" w:cstheme="minorHAnsi"/>
          <w:sz w:val="28"/>
          <w:szCs w:val="28"/>
        </w:rPr>
        <w:t xml:space="preserve"> and make a recommendation for T&amp;P (tenure-track) or promotion (tenured or clinical/practice)</w:t>
      </w:r>
      <w:r w:rsidR="00FD130A" w:rsidRPr="009A3031">
        <w:rPr>
          <w:rFonts w:asciiTheme="minorHAnsi" w:hAnsiTheme="minorHAnsi" w:cstheme="minorHAnsi"/>
          <w:sz w:val="28"/>
          <w:szCs w:val="28"/>
        </w:rPr>
        <w:t xml:space="preserve">. </w:t>
      </w:r>
      <w:r w:rsidR="008C7831" w:rsidRPr="009A3031">
        <w:rPr>
          <w:rFonts w:asciiTheme="minorHAnsi" w:hAnsiTheme="minorHAnsi" w:cstheme="minorHAnsi"/>
          <w:sz w:val="28"/>
          <w:szCs w:val="28"/>
        </w:rPr>
        <w:t xml:space="preserve">This recommendation is forwarded to the Dean for action. </w:t>
      </w:r>
    </w:p>
    <w:p w14:paraId="29C5AB51" w14:textId="2D346EF8" w:rsidR="008C7831" w:rsidRPr="009A3031" w:rsidRDefault="00962D43" w:rsidP="00962D43">
      <w:pPr>
        <w:pStyle w:val="BodyText"/>
        <w:tabs>
          <w:tab w:val="left" w:pos="2070"/>
        </w:tabs>
        <w:spacing w:before="93"/>
        <w:ind w:left="1890" w:right="-440" w:hanging="450"/>
        <w:rPr>
          <w:rFonts w:asciiTheme="minorHAnsi" w:hAnsiTheme="minorHAnsi" w:cstheme="minorHAnsi"/>
          <w:sz w:val="28"/>
          <w:szCs w:val="28"/>
        </w:rPr>
      </w:pPr>
      <w:r>
        <w:rPr>
          <w:rFonts w:asciiTheme="minorHAnsi" w:hAnsiTheme="minorHAnsi" w:cstheme="minorHAnsi"/>
          <w:sz w:val="28"/>
          <w:szCs w:val="28"/>
        </w:rPr>
        <w:t xml:space="preserve">b.     </w:t>
      </w:r>
      <w:r w:rsidR="008C7831" w:rsidRPr="009A3031">
        <w:rPr>
          <w:rFonts w:asciiTheme="minorHAnsi" w:hAnsiTheme="minorHAnsi" w:cstheme="minorHAnsi"/>
          <w:sz w:val="28"/>
          <w:szCs w:val="28"/>
        </w:rPr>
        <w:t>By February 1st, the Dean makes a recommendation for T&amp;P (tenure-track) or promotion (tenured or clinical/practice)</w:t>
      </w:r>
      <w:r w:rsidR="00FD130A" w:rsidRPr="009A3031">
        <w:rPr>
          <w:rFonts w:asciiTheme="minorHAnsi" w:hAnsiTheme="minorHAnsi" w:cstheme="minorHAnsi"/>
          <w:sz w:val="28"/>
          <w:szCs w:val="28"/>
        </w:rPr>
        <w:t xml:space="preserve">. </w:t>
      </w:r>
      <w:r w:rsidR="008C7831" w:rsidRPr="009A3031">
        <w:rPr>
          <w:rFonts w:asciiTheme="minorHAnsi" w:hAnsiTheme="minorHAnsi" w:cstheme="minorHAnsi"/>
          <w:sz w:val="28"/>
          <w:szCs w:val="28"/>
        </w:rPr>
        <w:t>This recommendation is forwarded to the Provost for action.</w:t>
      </w:r>
    </w:p>
    <w:p w14:paraId="1F49FA07" w14:textId="29F54820" w:rsidR="008C7831" w:rsidRPr="009A3031" w:rsidRDefault="00962D43" w:rsidP="00962D43">
      <w:pPr>
        <w:pStyle w:val="Heading1"/>
        <w:spacing w:after="120"/>
        <w:ind w:left="1440" w:right="-446" w:hanging="893"/>
        <w:rPr>
          <w:rFonts w:asciiTheme="minorHAnsi" w:hAnsiTheme="minorHAnsi" w:cstheme="minorHAnsi"/>
          <w:b w:val="0"/>
          <w:bCs w:val="0"/>
          <w:sz w:val="28"/>
          <w:szCs w:val="28"/>
        </w:rPr>
      </w:pPr>
      <w:r>
        <w:rPr>
          <w:rFonts w:asciiTheme="minorHAnsi" w:hAnsiTheme="minorHAnsi" w:cstheme="minorHAnsi"/>
          <w:b w:val="0"/>
          <w:bCs w:val="0"/>
          <w:sz w:val="28"/>
          <w:szCs w:val="28"/>
        </w:rPr>
        <w:lastRenderedPageBreak/>
        <w:t xml:space="preserve">05.05     </w:t>
      </w:r>
      <w:r w:rsidR="008C7831" w:rsidRPr="009A3031">
        <w:rPr>
          <w:rFonts w:asciiTheme="minorHAnsi" w:hAnsiTheme="minorHAnsi" w:cstheme="minorHAnsi"/>
          <w:b w:val="0"/>
          <w:bCs w:val="0"/>
          <w:sz w:val="28"/>
          <w:szCs w:val="28"/>
        </w:rPr>
        <w:t>Provost and Board of Regents. By April 9th, the Office of the Provost will meet with the University President to review packets for T&amp;P (tenure-track) or promotion (tenured or clinical/practice)</w:t>
      </w:r>
      <w:r w:rsidR="00FD130A" w:rsidRPr="009A3031">
        <w:rPr>
          <w:rFonts w:asciiTheme="minorHAnsi" w:hAnsiTheme="minorHAnsi" w:cstheme="minorHAnsi"/>
          <w:b w:val="0"/>
          <w:bCs w:val="0"/>
          <w:sz w:val="28"/>
          <w:szCs w:val="28"/>
        </w:rPr>
        <w:t xml:space="preserve">. </w:t>
      </w:r>
      <w:r w:rsidR="008C7831" w:rsidRPr="009A3031">
        <w:rPr>
          <w:rFonts w:asciiTheme="minorHAnsi" w:hAnsiTheme="minorHAnsi" w:cstheme="minorHAnsi"/>
          <w:b w:val="0"/>
          <w:bCs w:val="0"/>
          <w:sz w:val="28"/>
          <w:szCs w:val="28"/>
        </w:rPr>
        <w:t>Their recommendation is forwarded to the State of Texas Board of Regents for review and approval by April 30th. The Office of the Provost will notify candidates of the recommendation to the Board of Regents.</w:t>
      </w:r>
    </w:p>
    <w:p w14:paraId="740994FA" w14:textId="7FE894EC" w:rsidR="008C7831" w:rsidRPr="009A3031" w:rsidRDefault="00962D43" w:rsidP="00962D43">
      <w:pPr>
        <w:pStyle w:val="Heading1"/>
        <w:spacing w:after="120"/>
        <w:ind w:left="1440" w:right="-446" w:hanging="893"/>
        <w:rPr>
          <w:rFonts w:asciiTheme="minorHAnsi" w:hAnsiTheme="minorHAnsi" w:cstheme="minorHAnsi"/>
          <w:b w:val="0"/>
          <w:bCs w:val="0"/>
          <w:sz w:val="28"/>
          <w:szCs w:val="28"/>
        </w:rPr>
      </w:pPr>
      <w:r>
        <w:rPr>
          <w:rFonts w:asciiTheme="minorHAnsi" w:hAnsiTheme="minorHAnsi" w:cstheme="minorHAnsi"/>
          <w:b w:val="0"/>
          <w:bCs w:val="0"/>
          <w:sz w:val="28"/>
          <w:szCs w:val="28"/>
        </w:rPr>
        <w:t xml:space="preserve">05.06     </w:t>
      </w:r>
      <w:r w:rsidR="008C7831" w:rsidRPr="009A3031">
        <w:rPr>
          <w:rFonts w:asciiTheme="minorHAnsi" w:hAnsiTheme="minorHAnsi" w:cstheme="minorHAnsi"/>
          <w:b w:val="0"/>
          <w:bCs w:val="0"/>
          <w:sz w:val="28"/>
          <w:szCs w:val="28"/>
        </w:rPr>
        <w:t>Candidates are usually notified by May 28th of the final determination for T&amp;P (tenure-track) or promotion (tenured or clinical/practice).</w:t>
      </w:r>
    </w:p>
    <w:p w14:paraId="5AEF4868" w14:textId="77777777" w:rsidR="008C7831" w:rsidRPr="002071C1" w:rsidRDefault="008C7831" w:rsidP="008C7831">
      <w:pPr>
        <w:pStyle w:val="BodyText"/>
        <w:spacing w:before="93"/>
        <w:ind w:left="2610" w:right="-440" w:hanging="450"/>
        <w:rPr>
          <w:rFonts w:asciiTheme="minorHAnsi" w:hAnsiTheme="minorHAnsi" w:cstheme="minorHAnsi"/>
          <w:b/>
          <w:bCs/>
          <w:color w:val="FF0000"/>
          <w:sz w:val="28"/>
          <w:szCs w:val="28"/>
        </w:rPr>
      </w:pPr>
    </w:p>
    <w:sectPr w:rsidR="008C7831" w:rsidRPr="002071C1">
      <w:footerReference w:type="default" r:id="rId29"/>
      <w:pgSz w:w="12240" w:h="15840"/>
      <w:pgMar w:top="150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CEEF" w14:textId="77777777" w:rsidR="00AE336A" w:rsidRDefault="00AE336A" w:rsidP="005840A7">
      <w:r>
        <w:separator/>
      </w:r>
    </w:p>
  </w:endnote>
  <w:endnote w:type="continuationSeparator" w:id="0">
    <w:p w14:paraId="539DDAF3" w14:textId="77777777" w:rsidR="00AE336A" w:rsidRDefault="00AE336A" w:rsidP="005840A7">
      <w:r>
        <w:continuationSeparator/>
      </w:r>
    </w:p>
  </w:endnote>
  <w:endnote w:type="continuationNotice" w:id="1">
    <w:p w14:paraId="223EF697" w14:textId="77777777" w:rsidR="00AE336A" w:rsidRDefault="00AE3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16FE1AEF" w14:paraId="46DE8B91" w14:textId="77777777" w:rsidTr="16FE1AEF">
      <w:tc>
        <w:tcPr>
          <w:tcW w:w="2970" w:type="dxa"/>
        </w:tcPr>
        <w:p w14:paraId="5F5B937E" w14:textId="21A166EF" w:rsidR="16FE1AEF" w:rsidRDefault="16FE1AEF" w:rsidP="16FE1AEF">
          <w:pPr>
            <w:pStyle w:val="Header"/>
            <w:ind w:left="-115"/>
          </w:pPr>
        </w:p>
      </w:tc>
      <w:tc>
        <w:tcPr>
          <w:tcW w:w="2970" w:type="dxa"/>
        </w:tcPr>
        <w:p w14:paraId="6C84F98D" w14:textId="47F6A8C7" w:rsidR="16FE1AEF" w:rsidRDefault="16FE1AEF" w:rsidP="16FE1AEF">
          <w:pPr>
            <w:pStyle w:val="Header"/>
            <w:jc w:val="center"/>
          </w:pPr>
        </w:p>
      </w:tc>
      <w:tc>
        <w:tcPr>
          <w:tcW w:w="2970" w:type="dxa"/>
        </w:tcPr>
        <w:p w14:paraId="61A48ED9" w14:textId="5CB5BED8" w:rsidR="16FE1AEF" w:rsidRDefault="16FE1AEF" w:rsidP="16FE1AEF">
          <w:pPr>
            <w:pStyle w:val="Header"/>
            <w:ind w:right="-115"/>
            <w:jc w:val="right"/>
          </w:pPr>
        </w:p>
      </w:tc>
    </w:tr>
  </w:tbl>
  <w:p w14:paraId="4DE88613" w14:textId="4900DF61" w:rsidR="00913795" w:rsidRDefault="0091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D7DA" w14:textId="77777777" w:rsidR="00AE336A" w:rsidRDefault="00AE336A" w:rsidP="005840A7">
      <w:r>
        <w:separator/>
      </w:r>
    </w:p>
  </w:footnote>
  <w:footnote w:type="continuationSeparator" w:id="0">
    <w:p w14:paraId="0673734B" w14:textId="77777777" w:rsidR="00AE336A" w:rsidRDefault="00AE336A" w:rsidP="005840A7">
      <w:r>
        <w:continuationSeparator/>
      </w:r>
    </w:p>
  </w:footnote>
  <w:footnote w:type="continuationNotice" w:id="1">
    <w:p w14:paraId="1CF26442" w14:textId="77777777" w:rsidR="00AE336A" w:rsidRDefault="00AE3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CF5"/>
    <w:multiLevelType w:val="hybridMultilevel"/>
    <w:tmpl w:val="DCE4B4F8"/>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88C1B74"/>
    <w:multiLevelType w:val="multilevel"/>
    <w:tmpl w:val="DCEAAF46"/>
    <w:lvl w:ilvl="0">
      <w:start w:val="2"/>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 w15:restartNumberingAfterBreak="0">
    <w:nsid w:val="0A0F1240"/>
    <w:multiLevelType w:val="hybridMultilevel"/>
    <w:tmpl w:val="B350B300"/>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0A6D2347"/>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5927AB"/>
    <w:multiLevelType w:val="multilevel"/>
    <w:tmpl w:val="0876E450"/>
    <w:lvl w:ilvl="0">
      <w:start w:val="3"/>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5" w15:restartNumberingAfterBreak="0">
    <w:nsid w:val="198A09A5"/>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432233"/>
    <w:multiLevelType w:val="hybridMultilevel"/>
    <w:tmpl w:val="B82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116FE"/>
    <w:multiLevelType w:val="hybridMultilevel"/>
    <w:tmpl w:val="DCE4B4F8"/>
    <w:lvl w:ilvl="0" w:tplc="FD2E755A">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41206A"/>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B9798C"/>
    <w:multiLevelType w:val="hybridMultilevel"/>
    <w:tmpl w:val="64AC908C"/>
    <w:lvl w:ilvl="0" w:tplc="AD529D42">
      <w:numFmt w:val="bullet"/>
      <w:lvlText w:val="•"/>
      <w:lvlJc w:val="left"/>
      <w:pPr>
        <w:ind w:left="1559" w:hanging="720"/>
      </w:pPr>
      <w:rPr>
        <w:rFonts w:ascii="Arial" w:eastAsia="Arial" w:hAnsi="Arial" w:cs="Arial" w:hint="default"/>
        <w:w w:val="99"/>
        <w:sz w:val="20"/>
        <w:szCs w:val="20"/>
      </w:rPr>
    </w:lvl>
    <w:lvl w:ilvl="1" w:tplc="9608146A">
      <w:numFmt w:val="bullet"/>
      <w:lvlText w:val="•"/>
      <w:lvlJc w:val="left"/>
      <w:pPr>
        <w:ind w:left="2296" w:hanging="720"/>
      </w:pPr>
      <w:rPr>
        <w:rFonts w:hint="default"/>
      </w:rPr>
    </w:lvl>
    <w:lvl w:ilvl="2" w:tplc="901ADC4A">
      <w:numFmt w:val="bullet"/>
      <w:lvlText w:val="•"/>
      <w:lvlJc w:val="left"/>
      <w:pPr>
        <w:ind w:left="3032" w:hanging="720"/>
      </w:pPr>
      <w:rPr>
        <w:rFonts w:hint="default"/>
      </w:rPr>
    </w:lvl>
    <w:lvl w:ilvl="3" w:tplc="92788948">
      <w:numFmt w:val="bullet"/>
      <w:lvlText w:val="•"/>
      <w:lvlJc w:val="left"/>
      <w:pPr>
        <w:ind w:left="3768" w:hanging="720"/>
      </w:pPr>
      <w:rPr>
        <w:rFonts w:hint="default"/>
      </w:rPr>
    </w:lvl>
    <w:lvl w:ilvl="4" w:tplc="20B6519E">
      <w:numFmt w:val="bullet"/>
      <w:lvlText w:val="•"/>
      <w:lvlJc w:val="left"/>
      <w:pPr>
        <w:ind w:left="4504" w:hanging="720"/>
      </w:pPr>
      <w:rPr>
        <w:rFonts w:hint="default"/>
      </w:rPr>
    </w:lvl>
    <w:lvl w:ilvl="5" w:tplc="79926CDE">
      <w:numFmt w:val="bullet"/>
      <w:lvlText w:val="•"/>
      <w:lvlJc w:val="left"/>
      <w:pPr>
        <w:ind w:left="5240" w:hanging="720"/>
      </w:pPr>
      <w:rPr>
        <w:rFonts w:hint="default"/>
      </w:rPr>
    </w:lvl>
    <w:lvl w:ilvl="6" w:tplc="16FE630C">
      <w:numFmt w:val="bullet"/>
      <w:lvlText w:val="•"/>
      <w:lvlJc w:val="left"/>
      <w:pPr>
        <w:ind w:left="5976" w:hanging="720"/>
      </w:pPr>
      <w:rPr>
        <w:rFonts w:hint="default"/>
      </w:rPr>
    </w:lvl>
    <w:lvl w:ilvl="7" w:tplc="20B406EA">
      <w:numFmt w:val="bullet"/>
      <w:lvlText w:val="•"/>
      <w:lvlJc w:val="left"/>
      <w:pPr>
        <w:ind w:left="6712" w:hanging="720"/>
      </w:pPr>
      <w:rPr>
        <w:rFonts w:hint="default"/>
      </w:rPr>
    </w:lvl>
    <w:lvl w:ilvl="8" w:tplc="A092A468">
      <w:numFmt w:val="bullet"/>
      <w:lvlText w:val="•"/>
      <w:lvlJc w:val="left"/>
      <w:pPr>
        <w:ind w:left="7448" w:hanging="720"/>
      </w:pPr>
      <w:rPr>
        <w:rFonts w:hint="default"/>
      </w:rPr>
    </w:lvl>
  </w:abstractNum>
  <w:abstractNum w:abstractNumId="10" w15:restartNumberingAfterBreak="0">
    <w:nsid w:val="31F53335"/>
    <w:multiLevelType w:val="hybridMultilevel"/>
    <w:tmpl w:val="1B54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6AA4"/>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8C1DA2"/>
    <w:multiLevelType w:val="multilevel"/>
    <w:tmpl w:val="F4A4CA14"/>
    <w:lvl w:ilvl="0">
      <w:start w:val="5"/>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279" w:hanging="720"/>
      </w:pPr>
      <w:rPr>
        <w:rFonts w:ascii="Wingdings" w:eastAsia="Wingdings" w:hAnsi="Wingdings" w:cs="Wingdings" w:hint="default"/>
        <w:w w:val="99"/>
        <w:sz w:val="20"/>
        <w:szCs w:val="20"/>
      </w:rPr>
    </w:lvl>
    <w:lvl w:ilvl="3">
      <w:numFmt w:val="bullet"/>
      <w:lvlText w:val="•"/>
      <w:lvlJc w:val="left"/>
      <w:pPr>
        <w:ind w:left="3755" w:hanging="720"/>
      </w:pPr>
      <w:rPr>
        <w:rFonts w:hint="default"/>
      </w:rPr>
    </w:lvl>
    <w:lvl w:ilvl="4">
      <w:numFmt w:val="bullet"/>
      <w:lvlText w:val="•"/>
      <w:lvlJc w:val="left"/>
      <w:pPr>
        <w:ind w:left="4493" w:hanging="720"/>
      </w:pPr>
      <w:rPr>
        <w:rFonts w:hint="default"/>
      </w:rPr>
    </w:lvl>
    <w:lvl w:ilvl="5">
      <w:numFmt w:val="bullet"/>
      <w:lvlText w:val="•"/>
      <w:lvlJc w:val="left"/>
      <w:pPr>
        <w:ind w:left="5231" w:hanging="720"/>
      </w:pPr>
      <w:rPr>
        <w:rFonts w:hint="default"/>
      </w:rPr>
    </w:lvl>
    <w:lvl w:ilvl="6">
      <w:numFmt w:val="bullet"/>
      <w:lvlText w:val="•"/>
      <w:lvlJc w:val="left"/>
      <w:pPr>
        <w:ind w:left="5968" w:hanging="720"/>
      </w:pPr>
      <w:rPr>
        <w:rFonts w:hint="default"/>
      </w:rPr>
    </w:lvl>
    <w:lvl w:ilvl="7">
      <w:numFmt w:val="bullet"/>
      <w:lvlText w:val="•"/>
      <w:lvlJc w:val="left"/>
      <w:pPr>
        <w:ind w:left="6706" w:hanging="720"/>
      </w:pPr>
      <w:rPr>
        <w:rFonts w:hint="default"/>
      </w:rPr>
    </w:lvl>
    <w:lvl w:ilvl="8">
      <w:numFmt w:val="bullet"/>
      <w:lvlText w:val="•"/>
      <w:lvlJc w:val="left"/>
      <w:pPr>
        <w:ind w:left="7444" w:hanging="720"/>
      </w:pPr>
      <w:rPr>
        <w:rFonts w:hint="default"/>
      </w:rPr>
    </w:lvl>
  </w:abstractNum>
  <w:abstractNum w:abstractNumId="13" w15:restartNumberingAfterBreak="0">
    <w:nsid w:val="442A486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F71537"/>
    <w:multiLevelType w:val="hybridMultilevel"/>
    <w:tmpl w:val="6A56CB06"/>
    <w:lvl w:ilvl="0" w:tplc="FD2E755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49285503"/>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3A00FB"/>
    <w:multiLevelType w:val="multilevel"/>
    <w:tmpl w:val="B5064AAE"/>
    <w:lvl w:ilvl="0">
      <w:start w:val="4"/>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17" w15:restartNumberingAfterBreak="0">
    <w:nsid w:val="4BD73B88"/>
    <w:multiLevelType w:val="hybridMultilevel"/>
    <w:tmpl w:val="1D66402C"/>
    <w:lvl w:ilvl="0" w:tplc="FFFFFFFF">
      <w:start w:val="1"/>
      <w:numFmt w:val="decimal"/>
      <w:lvlText w:val="%1."/>
      <w:lvlJc w:val="left"/>
      <w:pPr>
        <w:ind w:left="479" w:hanging="360"/>
      </w:pPr>
      <w:rPr>
        <w:rFonts w:hint="default"/>
      </w:rPr>
    </w:lvl>
    <w:lvl w:ilvl="1" w:tplc="FFFFFFFF">
      <w:start w:val="1"/>
      <w:numFmt w:val="lowerLetter"/>
      <w:lvlText w:val="%2."/>
      <w:lvlJc w:val="left"/>
      <w:pPr>
        <w:ind w:left="1199" w:hanging="360"/>
      </w:pPr>
    </w:lvl>
    <w:lvl w:ilvl="2" w:tplc="0409000F">
      <w:start w:val="1"/>
      <w:numFmt w:val="decimal"/>
      <w:lvlText w:val="%3."/>
      <w:lvlJc w:val="left"/>
      <w:pPr>
        <w:ind w:left="2099" w:hanging="36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8" w15:restartNumberingAfterBreak="0">
    <w:nsid w:val="52BA0220"/>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BE4A9F"/>
    <w:multiLevelType w:val="multilevel"/>
    <w:tmpl w:val="FB384D3C"/>
    <w:lvl w:ilvl="0">
      <w:start w:val="1"/>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0" w15:restartNumberingAfterBreak="0">
    <w:nsid w:val="558E77FF"/>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21A41EC"/>
    <w:multiLevelType w:val="hybridMultilevel"/>
    <w:tmpl w:val="D73A6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F1BC2"/>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645D213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4C526A8"/>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2E3F31"/>
    <w:multiLevelType w:val="hybridMultilevel"/>
    <w:tmpl w:val="FDAC638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6" w15:restartNumberingAfterBreak="0">
    <w:nsid w:val="7724769B"/>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17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E2B0CB1"/>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7E2D61CE"/>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F83396"/>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98462179">
    <w:abstractNumId w:val="12"/>
  </w:num>
  <w:num w:numId="2" w16cid:durableId="139733392">
    <w:abstractNumId w:val="16"/>
  </w:num>
  <w:num w:numId="3" w16cid:durableId="922564575">
    <w:abstractNumId w:val="4"/>
  </w:num>
  <w:num w:numId="4" w16cid:durableId="1654408235">
    <w:abstractNumId w:val="1"/>
  </w:num>
  <w:num w:numId="5" w16cid:durableId="1100879932">
    <w:abstractNumId w:val="19"/>
  </w:num>
  <w:num w:numId="6" w16cid:durableId="1766225616">
    <w:abstractNumId w:val="9"/>
  </w:num>
  <w:num w:numId="7" w16cid:durableId="1550722463">
    <w:abstractNumId w:val="21"/>
  </w:num>
  <w:num w:numId="8" w16cid:durableId="1868833448">
    <w:abstractNumId w:val="14"/>
  </w:num>
  <w:num w:numId="9" w16cid:durableId="539364205">
    <w:abstractNumId w:val="6"/>
  </w:num>
  <w:num w:numId="10" w16cid:durableId="1404715828">
    <w:abstractNumId w:val="0"/>
  </w:num>
  <w:num w:numId="11" w16cid:durableId="1059521260">
    <w:abstractNumId w:val="10"/>
  </w:num>
  <w:num w:numId="12" w16cid:durableId="1871646665">
    <w:abstractNumId w:val="22"/>
  </w:num>
  <w:num w:numId="13" w16cid:durableId="634222088">
    <w:abstractNumId w:val="27"/>
  </w:num>
  <w:num w:numId="14" w16cid:durableId="1358307766">
    <w:abstractNumId w:val="7"/>
  </w:num>
  <w:num w:numId="15" w16cid:durableId="1006979011">
    <w:abstractNumId w:val="2"/>
  </w:num>
  <w:num w:numId="16" w16cid:durableId="2091348992">
    <w:abstractNumId w:val="26"/>
  </w:num>
  <w:num w:numId="17" w16cid:durableId="254478935">
    <w:abstractNumId w:val="15"/>
  </w:num>
  <w:num w:numId="18" w16cid:durableId="1073772290">
    <w:abstractNumId w:val="5"/>
  </w:num>
  <w:num w:numId="19" w16cid:durableId="1330981996">
    <w:abstractNumId w:val="20"/>
  </w:num>
  <w:num w:numId="20" w16cid:durableId="1498691384">
    <w:abstractNumId w:val="28"/>
  </w:num>
  <w:num w:numId="21" w16cid:durableId="825046633">
    <w:abstractNumId w:val="13"/>
  </w:num>
  <w:num w:numId="22" w16cid:durableId="1778527517">
    <w:abstractNumId w:val="11"/>
  </w:num>
  <w:num w:numId="23" w16cid:durableId="1334333043">
    <w:abstractNumId w:val="23"/>
  </w:num>
  <w:num w:numId="24" w16cid:durableId="605505181">
    <w:abstractNumId w:val="3"/>
  </w:num>
  <w:num w:numId="25" w16cid:durableId="1249729260">
    <w:abstractNumId w:val="29"/>
  </w:num>
  <w:num w:numId="26" w16cid:durableId="883715455">
    <w:abstractNumId w:val="18"/>
  </w:num>
  <w:num w:numId="27" w16cid:durableId="981617916">
    <w:abstractNumId w:val="8"/>
  </w:num>
  <w:num w:numId="28" w16cid:durableId="696004986">
    <w:abstractNumId w:val="24"/>
  </w:num>
  <w:num w:numId="29" w16cid:durableId="324017880">
    <w:abstractNumId w:val="17"/>
  </w:num>
  <w:num w:numId="30" w16cid:durableId="689836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B7"/>
    <w:rsid w:val="00000609"/>
    <w:rsid w:val="000046C5"/>
    <w:rsid w:val="00004915"/>
    <w:rsid w:val="000061B6"/>
    <w:rsid w:val="00011FAD"/>
    <w:rsid w:val="000140BC"/>
    <w:rsid w:val="00014724"/>
    <w:rsid w:val="000167C5"/>
    <w:rsid w:val="000224AA"/>
    <w:rsid w:val="0002278B"/>
    <w:rsid w:val="00023E87"/>
    <w:rsid w:val="00023FBC"/>
    <w:rsid w:val="0002418A"/>
    <w:rsid w:val="00024D47"/>
    <w:rsid w:val="00032FD7"/>
    <w:rsid w:val="0003469C"/>
    <w:rsid w:val="00041E72"/>
    <w:rsid w:val="0004314F"/>
    <w:rsid w:val="00044F34"/>
    <w:rsid w:val="00051E32"/>
    <w:rsid w:val="0005634F"/>
    <w:rsid w:val="00056563"/>
    <w:rsid w:val="0006458C"/>
    <w:rsid w:val="000703D6"/>
    <w:rsid w:val="00071CDA"/>
    <w:rsid w:val="00075D38"/>
    <w:rsid w:val="000853EE"/>
    <w:rsid w:val="0009005B"/>
    <w:rsid w:val="000906EB"/>
    <w:rsid w:val="00095156"/>
    <w:rsid w:val="00097310"/>
    <w:rsid w:val="000A6654"/>
    <w:rsid w:val="000C06E9"/>
    <w:rsid w:val="000C0A9A"/>
    <w:rsid w:val="000C67A1"/>
    <w:rsid w:val="000D23B6"/>
    <w:rsid w:val="000D2C83"/>
    <w:rsid w:val="000D6145"/>
    <w:rsid w:val="000D6B41"/>
    <w:rsid w:val="000E067F"/>
    <w:rsid w:val="000E6AC0"/>
    <w:rsid w:val="000E784E"/>
    <w:rsid w:val="000F4428"/>
    <w:rsid w:val="000F50FB"/>
    <w:rsid w:val="000F624C"/>
    <w:rsid w:val="001003D1"/>
    <w:rsid w:val="00100993"/>
    <w:rsid w:val="00102049"/>
    <w:rsid w:val="001021DD"/>
    <w:rsid w:val="00103B6D"/>
    <w:rsid w:val="00104ED2"/>
    <w:rsid w:val="00107CBD"/>
    <w:rsid w:val="0011008A"/>
    <w:rsid w:val="001179CF"/>
    <w:rsid w:val="00120A70"/>
    <w:rsid w:val="00123F6A"/>
    <w:rsid w:val="00124324"/>
    <w:rsid w:val="00125ABF"/>
    <w:rsid w:val="00125CB7"/>
    <w:rsid w:val="00126248"/>
    <w:rsid w:val="00126D6C"/>
    <w:rsid w:val="00132478"/>
    <w:rsid w:val="00133ADC"/>
    <w:rsid w:val="001379D4"/>
    <w:rsid w:val="0014062D"/>
    <w:rsid w:val="0014242E"/>
    <w:rsid w:val="0014412A"/>
    <w:rsid w:val="001446D0"/>
    <w:rsid w:val="001452AA"/>
    <w:rsid w:val="001515AD"/>
    <w:rsid w:val="00153C4D"/>
    <w:rsid w:val="00154E66"/>
    <w:rsid w:val="00156006"/>
    <w:rsid w:val="001578DE"/>
    <w:rsid w:val="00162730"/>
    <w:rsid w:val="00162ED2"/>
    <w:rsid w:val="0017222F"/>
    <w:rsid w:val="00172CC7"/>
    <w:rsid w:val="00172D02"/>
    <w:rsid w:val="001751D4"/>
    <w:rsid w:val="00180FD4"/>
    <w:rsid w:val="0018756F"/>
    <w:rsid w:val="00192D8E"/>
    <w:rsid w:val="00194A25"/>
    <w:rsid w:val="0019554C"/>
    <w:rsid w:val="001A1546"/>
    <w:rsid w:val="001A4369"/>
    <w:rsid w:val="001B00F1"/>
    <w:rsid w:val="001B57D4"/>
    <w:rsid w:val="001C260C"/>
    <w:rsid w:val="001C51EA"/>
    <w:rsid w:val="001D0A07"/>
    <w:rsid w:val="001D15EF"/>
    <w:rsid w:val="001D336A"/>
    <w:rsid w:val="001D432A"/>
    <w:rsid w:val="001E178A"/>
    <w:rsid w:val="001E4D6B"/>
    <w:rsid w:val="001E68C6"/>
    <w:rsid w:val="001F0372"/>
    <w:rsid w:val="001F3174"/>
    <w:rsid w:val="001F6CFF"/>
    <w:rsid w:val="00201610"/>
    <w:rsid w:val="00201675"/>
    <w:rsid w:val="00201A20"/>
    <w:rsid w:val="002039BC"/>
    <w:rsid w:val="002063DE"/>
    <w:rsid w:val="00206BFF"/>
    <w:rsid w:val="002071C1"/>
    <w:rsid w:val="002116C4"/>
    <w:rsid w:val="00211A9A"/>
    <w:rsid w:val="00216DB8"/>
    <w:rsid w:val="00223F82"/>
    <w:rsid w:val="00224298"/>
    <w:rsid w:val="002257FD"/>
    <w:rsid w:val="00231459"/>
    <w:rsid w:val="0023671B"/>
    <w:rsid w:val="0023738A"/>
    <w:rsid w:val="00241E2E"/>
    <w:rsid w:val="00243531"/>
    <w:rsid w:val="00243A5C"/>
    <w:rsid w:val="00243C02"/>
    <w:rsid w:val="00245349"/>
    <w:rsid w:val="00247435"/>
    <w:rsid w:val="00252E00"/>
    <w:rsid w:val="002534DE"/>
    <w:rsid w:val="002546DD"/>
    <w:rsid w:val="00257B7C"/>
    <w:rsid w:val="002616B4"/>
    <w:rsid w:val="00262680"/>
    <w:rsid w:val="00262E48"/>
    <w:rsid w:val="002656C9"/>
    <w:rsid w:val="00270698"/>
    <w:rsid w:val="002711B5"/>
    <w:rsid w:val="00280403"/>
    <w:rsid w:val="002839EB"/>
    <w:rsid w:val="0028415F"/>
    <w:rsid w:val="00287C60"/>
    <w:rsid w:val="002A16C8"/>
    <w:rsid w:val="002A4A90"/>
    <w:rsid w:val="002A69B9"/>
    <w:rsid w:val="002C14BB"/>
    <w:rsid w:val="002C2C82"/>
    <w:rsid w:val="002C5C3C"/>
    <w:rsid w:val="002C68B5"/>
    <w:rsid w:val="002D1127"/>
    <w:rsid w:val="002D1BAF"/>
    <w:rsid w:val="002D3693"/>
    <w:rsid w:val="002D5C40"/>
    <w:rsid w:val="002E1387"/>
    <w:rsid w:val="002E3797"/>
    <w:rsid w:val="002E408F"/>
    <w:rsid w:val="002E5D0D"/>
    <w:rsid w:val="002F0B5C"/>
    <w:rsid w:val="002F6A6F"/>
    <w:rsid w:val="00302D6C"/>
    <w:rsid w:val="003048F8"/>
    <w:rsid w:val="00304C51"/>
    <w:rsid w:val="00307F7F"/>
    <w:rsid w:val="003107CE"/>
    <w:rsid w:val="00316329"/>
    <w:rsid w:val="003165AD"/>
    <w:rsid w:val="00316C56"/>
    <w:rsid w:val="00320B80"/>
    <w:rsid w:val="00321606"/>
    <w:rsid w:val="00323409"/>
    <w:rsid w:val="00324A08"/>
    <w:rsid w:val="00325164"/>
    <w:rsid w:val="00325B1D"/>
    <w:rsid w:val="00326B18"/>
    <w:rsid w:val="00327762"/>
    <w:rsid w:val="0033637B"/>
    <w:rsid w:val="00342A22"/>
    <w:rsid w:val="00347829"/>
    <w:rsid w:val="003502FB"/>
    <w:rsid w:val="00351F11"/>
    <w:rsid w:val="00352050"/>
    <w:rsid w:val="003539F4"/>
    <w:rsid w:val="00355E57"/>
    <w:rsid w:val="0036181A"/>
    <w:rsid w:val="003628A8"/>
    <w:rsid w:val="00362AE6"/>
    <w:rsid w:val="0036458E"/>
    <w:rsid w:val="00365B7B"/>
    <w:rsid w:val="0037109D"/>
    <w:rsid w:val="00371ABE"/>
    <w:rsid w:val="0037406C"/>
    <w:rsid w:val="00377CDF"/>
    <w:rsid w:val="00382DCA"/>
    <w:rsid w:val="003844C2"/>
    <w:rsid w:val="003849CE"/>
    <w:rsid w:val="00385F70"/>
    <w:rsid w:val="00391EF8"/>
    <w:rsid w:val="0039286A"/>
    <w:rsid w:val="00393101"/>
    <w:rsid w:val="00395E92"/>
    <w:rsid w:val="00397BDB"/>
    <w:rsid w:val="003A3FAE"/>
    <w:rsid w:val="003A63C3"/>
    <w:rsid w:val="003A6B3D"/>
    <w:rsid w:val="003A7C73"/>
    <w:rsid w:val="003B303B"/>
    <w:rsid w:val="003C04CE"/>
    <w:rsid w:val="003C1E28"/>
    <w:rsid w:val="003C29B3"/>
    <w:rsid w:val="003C4069"/>
    <w:rsid w:val="003C50ED"/>
    <w:rsid w:val="003D36EE"/>
    <w:rsid w:val="003E33A1"/>
    <w:rsid w:val="003E3CFE"/>
    <w:rsid w:val="003E6A3D"/>
    <w:rsid w:val="003E7C2B"/>
    <w:rsid w:val="003F2684"/>
    <w:rsid w:val="003F2BED"/>
    <w:rsid w:val="003F39B5"/>
    <w:rsid w:val="003F5B8C"/>
    <w:rsid w:val="003F6892"/>
    <w:rsid w:val="003F6EB6"/>
    <w:rsid w:val="00404035"/>
    <w:rsid w:val="00404E2A"/>
    <w:rsid w:val="004111E7"/>
    <w:rsid w:val="004131B3"/>
    <w:rsid w:val="00414113"/>
    <w:rsid w:val="00414902"/>
    <w:rsid w:val="0042250B"/>
    <w:rsid w:val="00423904"/>
    <w:rsid w:val="004314D0"/>
    <w:rsid w:val="00431D5A"/>
    <w:rsid w:val="004328F3"/>
    <w:rsid w:val="00432C68"/>
    <w:rsid w:val="0043723A"/>
    <w:rsid w:val="004462A9"/>
    <w:rsid w:val="00446464"/>
    <w:rsid w:val="00451039"/>
    <w:rsid w:val="0045431E"/>
    <w:rsid w:val="00456920"/>
    <w:rsid w:val="0045734E"/>
    <w:rsid w:val="004636C4"/>
    <w:rsid w:val="0046463F"/>
    <w:rsid w:val="00464E14"/>
    <w:rsid w:val="00466EE7"/>
    <w:rsid w:val="00471EB6"/>
    <w:rsid w:val="00475DEA"/>
    <w:rsid w:val="004764C2"/>
    <w:rsid w:val="00481BB8"/>
    <w:rsid w:val="00482C61"/>
    <w:rsid w:val="00484737"/>
    <w:rsid w:val="00486F68"/>
    <w:rsid w:val="004900DF"/>
    <w:rsid w:val="00490E31"/>
    <w:rsid w:val="004921E0"/>
    <w:rsid w:val="004931F6"/>
    <w:rsid w:val="004A0402"/>
    <w:rsid w:val="004A1589"/>
    <w:rsid w:val="004A3F7C"/>
    <w:rsid w:val="004A6046"/>
    <w:rsid w:val="004B1FEB"/>
    <w:rsid w:val="004B2573"/>
    <w:rsid w:val="004B7ADE"/>
    <w:rsid w:val="004C2692"/>
    <w:rsid w:val="004C478E"/>
    <w:rsid w:val="004C48DE"/>
    <w:rsid w:val="004C7C90"/>
    <w:rsid w:val="004D0AC7"/>
    <w:rsid w:val="004D134E"/>
    <w:rsid w:val="004D13EF"/>
    <w:rsid w:val="004D1465"/>
    <w:rsid w:val="004D46E2"/>
    <w:rsid w:val="004D4B48"/>
    <w:rsid w:val="004E2017"/>
    <w:rsid w:val="004E4A4C"/>
    <w:rsid w:val="004F607B"/>
    <w:rsid w:val="004F63F6"/>
    <w:rsid w:val="004F6713"/>
    <w:rsid w:val="0050217F"/>
    <w:rsid w:val="00502D56"/>
    <w:rsid w:val="005031BF"/>
    <w:rsid w:val="005056EE"/>
    <w:rsid w:val="00506B38"/>
    <w:rsid w:val="0051085C"/>
    <w:rsid w:val="00512B70"/>
    <w:rsid w:val="005152E4"/>
    <w:rsid w:val="0051599E"/>
    <w:rsid w:val="0052076D"/>
    <w:rsid w:val="0052350E"/>
    <w:rsid w:val="0052563C"/>
    <w:rsid w:val="00526408"/>
    <w:rsid w:val="005379B7"/>
    <w:rsid w:val="00541B08"/>
    <w:rsid w:val="005427AA"/>
    <w:rsid w:val="00542DA5"/>
    <w:rsid w:val="00547F5D"/>
    <w:rsid w:val="0055130D"/>
    <w:rsid w:val="00560AE7"/>
    <w:rsid w:val="00567941"/>
    <w:rsid w:val="005754FB"/>
    <w:rsid w:val="00580BBD"/>
    <w:rsid w:val="005840A7"/>
    <w:rsid w:val="00584154"/>
    <w:rsid w:val="00586120"/>
    <w:rsid w:val="00586355"/>
    <w:rsid w:val="00587629"/>
    <w:rsid w:val="00592B29"/>
    <w:rsid w:val="00593457"/>
    <w:rsid w:val="00596540"/>
    <w:rsid w:val="00597C41"/>
    <w:rsid w:val="005A0361"/>
    <w:rsid w:val="005B07EF"/>
    <w:rsid w:val="005B2330"/>
    <w:rsid w:val="005B4C40"/>
    <w:rsid w:val="005B6F42"/>
    <w:rsid w:val="005B776F"/>
    <w:rsid w:val="005C0DB8"/>
    <w:rsid w:val="005C4D11"/>
    <w:rsid w:val="005C59BC"/>
    <w:rsid w:val="005D06A9"/>
    <w:rsid w:val="005D5650"/>
    <w:rsid w:val="005D6965"/>
    <w:rsid w:val="005E1CE9"/>
    <w:rsid w:val="005E3147"/>
    <w:rsid w:val="005E54FB"/>
    <w:rsid w:val="005F049C"/>
    <w:rsid w:val="005F54DB"/>
    <w:rsid w:val="006061CD"/>
    <w:rsid w:val="006070C0"/>
    <w:rsid w:val="0060711E"/>
    <w:rsid w:val="00607A63"/>
    <w:rsid w:val="00607F47"/>
    <w:rsid w:val="00613086"/>
    <w:rsid w:val="00621A1B"/>
    <w:rsid w:val="00622628"/>
    <w:rsid w:val="00624794"/>
    <w:rsid w:val="00624E09"/>
    <w:rsid w:val="0062527A"/>
    <w:rsid w:val="0063297F"/>
    <w:rsid w:val="00636FC1"/>
    <w:rsid w:val="006437D9"/>
    <w:rsid w:val="00651C05"/>
    <w:rsid w:val="00653BA4"/>
    <w:rsid w:val="00665D0F"/>
    <w:rsid w:val="006720D2"/>
    <w:rsid w:val="006728A8"/>
    <w:rsid w:val="00674B5A"/>
    <w:rsid w:val="00680CA4"/>
    <w:rsid w:val="00681CD6"/>
    <w:rsid w:val="00682C97"/>
    <w:rsid w:val="00685C04"/>
    <w:rsid w:val="006869F6"/>
    <w:rsid w:val="00686FA2"/>
    <w:rsid w:val="00697778"/>
    <w:rsid w:val="006A371D"/>
    <w:rsid w:val="006A52A9"/>
    <w:rsid w:val="006A6848"/>
    <w:rsid w:val="006B06E5"/>
    <w:rsid w:val="006B1822"/>
    <w:rsid w:val="006B365B"/>
    <w:rsid w:val="006B52F6"/>
    <w:rsid w:val="006B5D04"/>
    <w:rsid w:val="006C17E2"/>
    <w:rsid w:val="006C3421"/>
    <w:rsid w:val="006C51A9"/>
    <w:rsid w:val="006C69E4"/>
    <w:rsid w:val="006D13FB"/>
    <w:rsid w:val="006D1691"/>
    <w:rsid w:val="006D5D7A"/>
    <w:rsid w:val="006D7BE2"/>
    <w:rsid w:val="006E1C6E"/>
    <w:rsid w:val="006E1ED1"/>
    <w:rsid w:val="006E4056"/>
    <w:rsid w:val="006E4093"/>
    <w:rsid w:val="006E7FC0"/>
    <w:rsid w:val="006F3483"/>
    <w:rsid w:val="007007D4"/>
    <w:rsid w:val="00701233"/>
    <w:rsid w:val="0070249D"/>
    <w:rsid w:val="00704409"/>
    <w:rsid w:val="0070570C"/>
    <w:rsid w:val="00705EDA"/>
    <w:rsid w:val="00711F89"/>
    <w:rsid w:val="00715748"/>
    <w:rsid w:val="0071604B"/>
    <w:rsid w:val="0071741F"/>
    <w:rsid w:val="00722A4B"/>
    <w:rsid w:val="00722F98"/>
    <w:rsid w:val="0072320D"/>
    <w:rsid w:val="00723395"/>
    <w:rsid w:val="00723793"/>
    <w:rsid w:val="00724CED"/>
    <w:rsid w:val="00726878"/>
    <w:rsid w:val="00732524"/>
    <w:rsid w:val="00735D83"/>
    <w:rsid w:val="0073762D"/>
    <w:rsid w:val="007442A3"/>
    <w:rsid w:val="0074585D"/>
    <w:rsid w:val="007464E1"/>
    <w:rsid w:val="007517DC"/>
    <w:rsid w:val="00751D64"/>
    <w:rsid w:val="007636BE"/>
    <w:rsid w:val="00763826"/>
    <w:rsid w:val="0076603F"/>
    <w:rsid w:val="0077350A"/>
    <w:rsid w:val="00777138"/>
    <w:rsid w:val="0077726F"/>
    <w:rsid w:val="00777902"/>
    <w:rsid w:val="00780C43"/>
    <w:rsid w:val="00781215"/>
    <w:rsid w:val="0078453A"/>
    <w:rsid w:val="0078737B"/>
    <w:rsid w:val="0079307D"/>
    <w:rsid w:val="007943AD"/>
    <w:rsid w:val="00795FBC"/>
    <w:rsid w:val="00797125"/>
    <w:rsid w:val="0079761F"/>
    <w:rsid w:val="007A1313"/>
    <w:rsid w:val="007C2671"/>
    <w:rsid w:val="007C2754"/>
    <w:rsid w:val="007C724B"/>
    <w:rsid w:val="007D0A32"/>
    <w:rsid w:val="007D221F"/>
    <w:rsid w:val="007D4CAD"/>
    <w:rsid w:val="007D5272"/>
    <w:rsid w:val="007E3B74"/>
    <w:rsid w:val="007E6131"/>
    <w:rsid w:val="007E7FA7"/>
    <w:rsid w:val="007F0386"/>
    <w:rsid w:val="007F2B61"/>
    <w:rsid w:val="007F2E43"/>
    <w:rsid w:val="007F5BEE"/>
    <w:rsid w:val="007F6B54"/>
    <w:rsid w:val="007F7895"/>
    <w:rsid w:val="0080117D"/>
    <w:rsid w:val="008021CB"/>
    <w:rsid w:val="00807434"/>
    <w:rsid w:val="00812133"/>
    <w:rsid w:val="00814136"/>
    <w:rsid w:val="00815329"/>
    <w:rsid w:val="00820B07"/>
    <w:rsid w:val="00822EF7"/>
    <w:rsid w:val="008271A3"/>
    <w:rsid w:val="00836D96"/>
    <w:rsid w:val="0084498C"/>
    <w:rsid w:val="00861440"/>
    <w:rsid w:val="008615E8"/>
    <w:rsid w:val="008625DA"/>
    <w:rsid w:val="008652BC"/>
    <w:rsid w:val="0086644F"/>
    <w:rsid w:val="00866DB7"/>
    <w:rsid w:val="008731D5"/>
    <w:rsid w:val="00875973"/>
    <w:rsid w:val="00876129"/>
    <w:rsid w:val="00876ACD"/>
    <w:rsid w:val="0087781A"/>
    <w:rsid w:val="00882953"/>
    <w:rsid w:val="008852D6"/>
    <w:rsid w:val="00887DE5"/>
    <w:rsid w:val="00893313"/>
    <w:rsid w:val="008937A6"/>
    <w:rsid w:val="00893FE6"/>
    <w:rsid w:val="008A06C8"/>
    <w:rsid w:val="008A09BB"/>
    <w:rsid w:val="008A0A09"/>
    <w:rsid w:val="008A62BF"/>
    <w:rsid w:val="008B2844"/>
    <w:rsid w:val="008B2DAF"/>
    <w:rsid w:val="008B3E39"/>
    <w:rsid w:val="008C29A1"/>
    <w:rsid w:val="008C5B60"/>
    <w:rsid w:val="008C5C35"/>
    <w:rsid w:val="008C7831"/>
    <w:rsid w:val="008D2401"/>
    <w:rsid w:val="008D4B38"/>
    <w:rsid w:val="008D52F0"/>
    <w:rsid w:val="008D62C9"/>
    <w:rsid w:val="008D6A2B"/>
    <w:rsid w:val="008E0FDF"/>
    <w:rsid w:val="008E21CE"/>
    <w:rsid w:val="008E4C73"/>
    <w:rsid w:val="008E52C3"/>
    <w:rsid w:val="008F1FF2"/>
    <w:rsid w:val="008F3922"/>
    <w:rsid w:val="008F5DBE"/>
    <w:rsid w:val="008F5E1A"/>
    <w:rsid w:val="008F7A89"/>
    <w:rsid w:val="008F7D18"/>
    <w:rsid w:val="00901410"/>
    <w:rsid w:val="00905860"/>
    <w:rsid w:val="00907754"/>
    <w:rsid w:val="00910256"/>
    <w:rsid w:val="00913795"/>
    <w:rsid w:val="00913F30"/>
    <w:rsid w:val="00915BBF"/>
    <w:rsid w:val="00915C7B"/>
    <w:rsid w:val="00917B70"/>
    <w:rsid w:val="0092144B"/>
    <w:rsid w:val="00923153"/>
    <w:rsid w:val="009246BB"/>
    <w:rsid w:val="00925345"/>
    <w:rsid w:val="00925A63"/>
    <w:rsid w:val="00926FCC"/>
    <w:rsid w:val="00930E98"/>
    <w:rsid w:val="00931C7C"/>
    <w:rsid w:val="00934768"/>
    <w:rsid w:val="00937B75"/>
    <w:rsid w:val="00941462"/>
    <w:rsid w:val="009419F7"/>
    <w:rsid w:val="00942560"/>
    <w:rsid w:val="00945857"/>
    <w:rsid w:val="00950F4A"/>
    <w:rsid w:val="00951DA2"/>
    <w:rsid w:val="00952A4F"/>
    <w:rsid w:val="009557B7"/>
    <w:rsid w:val="00955B6D"/>
    <w:rsid w:val="00962D43"/>
    <w:rsid w:val="00965D2F"/>
    <w:rsid w:val="009678A8"/>
    <w:rsid w:val="00972BC5"/>
    <w:rsid w:val="009738CB"/>
    <w:rsid w:val="00974E87"/>
    <w:rsid w:val="00975263"/>
    <w:rsid w:val="00977036"/>
    <w:rsid w:val="00980F42"/>
    <w:rsid w:val="009824ED"/>
    <w:rsid w:val="00990BDE"/>
    <w:rsid w:val="00993C18"/>
    <w:rsid w:val="009A024F"/>
    <w:rsid w:val="009A0577"/>
    <w:rsid w:val="009A19C4"/>
    <w:rsid w:val="009A27C4"/>
    <w:rsid w:val="009A3031"/>
    <w:rsid w:val="009A426B"/>
    <w:rsid w:val="009B1276"/>
    <w:rsid w:val="009B2FED"/>
    <w:rsid w:val="009B5671"/>
    <w:rsid w:val="009B7BB2"/>
    <w:rsid w:val="009B7E76"/>
    <w:rsid w:val="009C2019"/>
    <w:rsid w:val="009C4226"/>
    <w:rsid w:val="009D0394"/>
    <w:rsid w:val="009D1C97"/>
    <w:rsid w:val="009D3878"/>
    <w:rsid w:val="009D402F"/>
    <w:rsid w:val="009D4479"/>
    <w:rsid w:val="009D5BA9"/>
    <w:rsid w:val="009E1263"/>
    <w:rsid w:val="009E242D"/>
    <w:rsid w:val="009E3FDA"/>
    <w:rsid w:val="009E76F0"/>
    <w:rsid w:val="009F47C9"/>
    <w:rsid w:val="009F782E"/>
    <w:rsid w:val="00A046D1"/>
    <w:rsid w:val="00A060D8"/>
    <w:rsid w:val="00A06F5C"/>
    <w:rsid w:val="00A1055A"/>
    <w:rsid w:val="00A10DDE"/>
    <w:rsid w:val="00A1141B"/>
    <w:rsid w:val="00A12456"/>
    <w:rsid w:val="00A16685"/>
    <w:rsid w:val="00A167C4"/>
    <w:rsid w:val="00A20185"/>
    <w:rsid w:val="00A2039F"/>
    <w:rsid w:val="00A239F9"/>
    <w:rsid w:val="00A3399A"/>
    <w:rsid w:val="00A40D90"/>
    <w:rsid w:val="00A412E4"/>
    <w:rsid w:val="00A41E63"/>
    <w:rsid w:val="00A47550"/>
    <w:rsid w:val="00A527DE"/>
    <w:rsid w:val="00A53338"/>
    <w:rsid w:val="00A565DD"/>
    <w:rsid w:val="00A56E4F"/>
    <w:rsid w:val="00A67063"/>
    <w:rsid w:val="00A675C4"/>
    <w:rsid w:val="00A676CC"/>
    <w:rsid w:val="00A706E4"/>
    <w:rsid w:val="00A70B8C"/>
    <w:rsid w:val="00A723C8"/>
    <w:rsid w:val="00A77042"/>
    <w:rsid w:val="00A773CF"/>
    <w:rsid w:val="00A802F3"/>
    <w:rsid w:val="00A817EC"/>
    <w:rsid w:val="00A87EED"/>
    <w:rsid w:val="00A90EFB"/>
    <w:rsid w:val="00AA0261"/>
    <w:rsid w:val="00AA1AEE"/>
    <w:rsid w:val="00AA65B6"/>
    <w:rsid w:val="00AC0A27"/>
    <w:rsid w:val="00AC46E8"/>
    <w:rsid w:val="00AC5CBB"/>
    <w:rsid w:val="00AD0222"/>
    <w:rsid w:val="00AE336A"/>
    <w:rsid w:val="00AE4D6B"/>
    <w:rsid w:val="00AF11F5"/>
    <w:rsid w:val="00AF21AD"/>
    <w:rsid w:val="00AF30A5"/>
    <w:rsid w:val="00AF37E2"/>
    <w:rsid w:val="00AF4FBD"/>
    <w:rsid w:val="00B01AB5"/>
    <w:rsid w:val="00B03846"/>
    <w:rsid w:val="00B06817"/>
    <w:rsid w:val="00B11847"/>
    <w:rsid w:val="00B1518C"/>
    <w:rsid w:val="00B15A6B"/>
    <w:rsid w:val="00B160EA"/>
    <w:rsid w:val="00B17268"/>
    <w:rsid w:val="00B17DB7"/>
    <w:rsid w:val="00B223C2"/>
    <w:rsid w:val="00B245FE"/>
    <w:rsid w:val="00B25F67"/>
    <w:rsid w:val="00B33655"/>
    <w:rsid w:val="00B3399C"/>
    <w:rsid w:val="00B5117A"/>
    <w:rsid w:val="00B53EA5"/>
    <w:rsid w:val="00B56E07"/>
    <w:rsid w:val="00B61A72"/>
    <w:rsid w:val="00B645BE"/>
    <w:rsid w:val="00B662BD"/>
    <w:rsid w:val="00B82956"/>
    <w:rsid w:val="00B83EBC"/>
    <w:rsid w:val="00B87D70"/>
    <w:rsid w:val="00B96AC0"/>
    <w:rsid w:val="00B96BDF"/>
    <w:rsid w:val="00BA0682"/>
    <w:rsid w:val="00BA24CE"/>
    <w:rsid w:val="00BB0574"/>
    <w:rsid w:val="00BB1E43"/>
    <w:rsid w:val="00BB4ACD"/>
    <w:rsid w:val="00BC0AC6"/>
    <w:rsid w:val="00BC12C2"/>
    <w:rsid w:val="00BC2054"/>
    <w:rsid w:val="00BD02B8"/>
    <w:rsid w:val="00BD0FA7"/>
    <w:rsid w:val="00BD1C30"/>
    <w:rsid w:val="00BD290F"/>
    <w:rsid w:val="00BD4C6D"/>
    <w:rsid w:val="00BE1467"/>
    <w:rsid w:val="00BE1759"/>
    <w:rsid w:val="00BE20A4"/>
    <w:rsid w:val="00BE3566"/>
    <w:rsid w:val="00BE37FA"/>
    <w:rsid w:val="00BE411E"/>
    <w:rsid w:val="00BE4D04"/>
    <w:rsid w:val="00BE59B6"/>
    <w:rsid w:val="00BE6A05"/>
    <w:rsid w:val="00BE6A20"/>
    <w:rsid w:val="00BF0534"/>
    <w:rsid w:val="00BF1699"/>
    <w:rsid w:val="00BF20D8"/>
    <w:rsid w:val="00C019C0"/>
    <w:rsid w:val="00C03221"/>
    <w:rsid w:val="00C1543A"/>
    <w:rsid w:val="00C17865"/>
    <w:rsid w:val="00C23328"/>
    <w:rsid w:val="00C27EF3"/>
    <w:rsid w:val="00C313FA"/>
    <w:rsid w:val="00C42C74"/>
    <w:rsid w:val="00C4513D"/>
    <w:rsid w:val="00C46BF5"/>
    <w:rsid w:val="00C54123"/>
    <w:rsid w:val="00C61752"/>
    <w:rsid w:val="00C61D9C"/>
    <w:rsid w:val="00C62CA9"/>
    <w:rsid w:val="00C63692"/>
    <w:rsid w:val="00C7368A"/>
    <w:rsid w:val="00C77297"/>
    <w:rsid w:val="00C80911"/>
    <w:rsid w:val="00C81283"/>
    <w:rsid w:val="00C8586F"/>
    <w:rsid w:val="00C86246"/>
    <w:rsid w:val="00C86B50"/>
    <w:rsid w:val="00C87466"/>
    <w:rsid w:val="00C9262B"/>
    <w:rsid w:val="00C939C7"/>
    <w:rsid w:val="00C94A62"/>
    <w:rsid w:val="00C96545"/>
    <w:rsid w:val="00CA0C28"/>
    <w:rsid w:val="00CA2844"/>
    <w:rsid w:val="00CA56F9"/>
    <w:rsid w:val="00CA5F40"/>
    <w:rsid w:val="00CB0C63"/>
    <w:rsid w:val="00CC03DF"/>
    <w:rsid w:val="00CC19E8"/>
    <w:rsid w:val="00CC22AB"/>
    <w:rsid w:val="00CC379E"/>
    <w:rsid w:val="00CC3F85"/>
    <w:rsid w:val="00CD075F"/>
    <w:rsid w:val="00CD5651"/>
    <w:rsid w:val="00CD6810"/>
    <w:rsid w:val="00CE01E3"/>
    <w:rsid w:val="00CE6D7E"/>
    <w:rsid w:val="00CE7337"/>
    <w:rsid w:val="00CF0CD5"/>
    <w:rsid w:val="00CF1955"/>
    <w:rsid w:val="00CF2AB7"/>
    <w:rsid w:val="00CF2AF7"/>
    <w:rsid w:val="00CF2B45"/>
    <w:rsid w:val="00CF32C5"/>
    <w:rsid w:val="00CF438E"/>
    <w:rsid w:val="00CF4C75"/>
    <w:rsid w:val="00CF6D84"/>
    <w:rsid w:val="00D01668"/>
    <w:rsid w:val="00D0356A"/>
    <w:rsid w:val="00D0395A"/>
    <w:rsid w:val="00D05D4D"/>
    <w:rsid w:val="00D10096"/>
    <w:rsid w:val="00D1011C"/>
    <w:rsid w:val="00D11131"/>
    <w:rsid w:val="00D117EC"/>
    <w:rsid w:val="00D16559"/>
    <w:rsid w:val="00D17BC1"/>
    <w:rsid w:val="00D212E2"/>
    <w:rsid w:val="00D25969"/>
    <w:rsid w:val="00D27E49"/>
    <w:rsid w:val="00D33587"/>
    <w:rsid w:val="00D3441E"/>
    <w:rsid w:val="00D351A5"/>
    <w:rsid w:val="00D3532D"/>
    <w:rsid w:val="00D354D4"/>
    <w:rsid w:val="00D3567D"/>
    <w:rsid w:val="00D41EA4"/>
    <w:rsid w:val="00D42A6A"/>
    <w:rsid w:val="00D46DD4"/>
    <w:rsid w:val="00D47AC1"/>
    <w:rsid w:val="00D502EC"/>
    <w:rsid w:val="00D51414"/>
    <w:rsid w:val="00D520EE"/>
    <w:rsid w:val="00D52498"/>
    <w:rsid w:val="00D531DB"/>
    <w:rsid w:val="00D56816"/>
    <w:rsid w:val="00D5788E"/>
    <w:rsid w:val="00D62BAE"/>
    <w:rsid w:val="00D6595E"/>
    <w:rsid w:val="00D662FF"/>
    <w:rsid w:val="00D701A1"/>
    <w:rsid w:val="00D70BDA"/>
    <w:rsid w:val="00D70C73"/>
    <w:rsid w:val="00D71C33"/>
    <w:rsid w:val="00D72351"/>
    <w:rsid w:val="00D730C0"/>
    <w:rsid w:val="00D76C8F"/>
    <w:rsid w:val="00D83A6E"/>
    <w:rsid w:val="00D945A4"/>
    <w:rsid w:val="00DA1DBB"/>
    <w:rsid w:val="00DA321E"/>
    <w:rsid w:val="00DA5F09"/>
    <w:rsid w:val="00DA61EC"/>
    <w:rsid w:val="00DA63F3"/>
    <w:rsid w:val="00DB0FF1"/>
    <w:rsid w:val="00DB3526"/>
    <w:rsid w:val="00DB5D65"/>
    <w:rsid w:val="00DB7D33"/>
    <w:rsid w:val="00DC02CE"/>
    <w:rsid w:val="00DC1C08"/>
    <w:rsid w:val="00DC2555"/>
    <w:rsid w:val="00DC3552"/>
    <w:rsid w:val="00DC76AE"/>
    <w:rsid w:val="00DC7740"/>
    <w:rsid w:val="00DC7A6A"/>
    <w:rsid w:val="00DD0A15"/>
    <w:rsid w:val="00DD0D98"/>
    <w:rsid w:val="00DE1FDD"/>
    <w:rsid w:val="00DE2F89"/>
    <w:rsid w:val="00DF0578"/>
    <w:rsid w:val="00DF6412"/>
    <w:rsid w:val="00DF692D"/>
    <w:rsid w:val="00E0057B"/>
    <w:rsid w:val="00E03654"/>
    <w:rsid w:val="00E04D11"/>
    <w:rsid w:val="00E05482"/>
    <w:rsid w:val="00E05C4C"/>
    <w:rsid w:val="00E1293D"/>
    <w:rsid w:val="00E1536F"/>
    <w:rsid w:val="00E164A1"/>
    <w:rsid w:val="00E23DBB"/>
    <w:rsid w:val="00E263F2"/>
    <w:rsid w:val="00E301D7"/>
    <w:rsid w:val="00E33519"/>
    <w:rsid w:val="00E35BC8"/>
    <w:rsid w:val="00E43B59"/>
    <w:rsid w:val="00E46792"/>
    <w:rsid w:val="00E526EE"/>
    <w:rsid w:val="00E62263"/>
    <w:rsid w:val="00E62792"/>
    <w:rsid w:val="00E63227"/>
    <w:rsid w:val="00E6363D"/>
    <w:rsid w:val="00E667E8"/>
    <w:rsid w:val="00E70AAC"/>
    <w:rsid w:val="00E738C4"/>
    <w:rsid w:val="00E74DB7"/>
    <w:rsid w:val="00E76C4C"/>
    <w:rsid w:val="00E77C58"/>
    <w:rsid w:val="00E84458"/>
    <w:rsid w:val="00E943E0"/>
    <w:rsid w:val="00E9622D"/>
    <w:rsid w:val="00E979B0"/>
    <w:rsid w:val="00EA0462"/>
    <w:rsid w:val="00EA0706"/>
    <w:rsid w:val="00EA1868"/>
    <w:rsid w:val="00EA2188"/>
    <w:rsid w:val="00EA6E47"/>
    <w:rsid w:val="00EB725A"/>
    <w:rsid w:val="00EB7944"/>
    <w:rsid w:val="00EC1612"/>
    <w:rsid w:val="00EC25A6"/>
    <w:rsid w:val="00EC69E7"/>
    <w:rsid w:val="00EC7AD9"/>
    <w:rsid w:val="00ED0E79"/>
    <w:rsid w:val="00ED186B"/>
    <w:rsid w:val="00ED3CC3"/>
    <w:rsid w:val="00ED3F1F"/>
    <w:rsid w:val="00ED783D"/>
    <w:rsid w:val="00EE02B0"/>
    <w:rsid w:val="00EE1824"/>
    <w:rsid w:val="00EE6534"/>
    <w:rsid w:val="00EF1241"/>
    <w:rsid w:val="00EF1A54"/>
    <w:rsid w:val="00F01013"/>
    <w:rsid w:val="00F02548"/>
    <w:rsid w:val="00F02AEF"/>
    <w:rsid w:val="00F02F3B"/>
    <w:rsid w:val="00F06F8B"/>
    <w:rsid w:val="00F12023"/>
    <w:rsid w:val="00F12FD1"/>
    <w:rsid w:val="00F14679"/>
    <w:rsid w:val="00F21378"/>
    <w:rsid w:val="00F214E0"/>
    <w:rsid w:val="00F23F00"/>
    <w:rsid w:val="00F26149"/>
    <w:rsid w:val="00F31469"/>
    <w:rsid w:val="00F31D85"/>
    <w:rsid w:val="00F32D06"/>
    <w:rsid w:val="00F33066"/>
    <w:rsid w:val="00F34A99"/>
    <w:rsid w:val="00F3715C"/>
    <w:rsid w:val="00F403F2"/>
    <w:rsid w:val="00F40547"/>
    <w:rsid w:val="00F43B14"/>
    <w:rsid w:val="00F43C31"/>
    <w:rsid w:val="00F46B30"/>
    <w:rsid w:val="00F50BBF"/>
    <w:rsid w:val="00F52CF4"/>
    <w:rsid w:val="00F53E8E"/>
    <w:rsid w:val="00F540DB"/>
    <w:rsid w:val="00F55738"/>
    <w:rsid w:val="00F557A5"/>
    <w:rsid w:val="00F567FC"/>
    <w:rsid w:val="00F56B7B"/>
    <w:rsid w:val="00F6219C"/>
    <w:rsid w:val="00F62420"/>
    <w:rsid w:val="00F65429"/>
    <w:rsid w:val="00F66932"/>
    <w:rsid w:val="00F67F88"/>
    <w:rsid w:val="00F73ED8"/>
    <w:rsid w:val="00F80645"/>
    <w:rsid w:val="00F90255"/>
    <w:rsid w:val="00F91A10"/>
    <w:rsid w:val="00F95316"/>
    <w:rsid w:val="00F97091"/>
    <w:rsid w:val="00FA2E63"/>
    <w:rsid w:val="00FA7D0B"/>
    <w:rsid w:val="00FB192E"/>
    <w:rsid w:val="00FB2F4D"/>
    <w:rsid w:val="00FB51B4"/>
    <w:rsid w:val="00FC1BA7"/>
    <w:rsid w:val="00FC3A70"/>
    <w:rsid w:val="00FC6E1A"/>
    <w:rsid w:val="00FD130A"/>
    <w:rsid w:val="00FD1C30"/>
    <w:rsid w:val="00FD2237"/>
    <w:rsid w:val="00FD3B25"/>
    <w:rsid w:val="00FD3DDD"/>
    <w:rsid w:val="00FD4339"/>
    <w:rsid w:val="00FD4FFB"/>
    <w:rsid w:val="00FE25AE"/>
    <w:rsid w:val="00FE3A8D"/>
    <w:rsid w:val="00FE69A9"/>
    <w:rsid w:val="00FF1EF4"/>
    <w:rsid w:val="00FF450C"/>
    <w:rsid w:val="00FF5B10"/>
    <w:rsid w:val="0B39F92D"/>
    <w:rsid w:val="163E40AA"/>
    <w:rsid w:val="16FE1AEF"/>
    <w:rsid w:val="1DF4EFB1"/>
    <w:rsid w:val="2817CE2C"/>
    <w:rsid w:val="38CB8A79"/>
    <w:rsid w:val="38E89C6D"/>
    <w:rsid w:val="4F94E76D"/>
    <w:rsid w:val="56AECED8"/>
    <w:rsid w:val="6937F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AE09"/>
  <w15:docId w15:val="{93BC7555-E3FC-440E-8D23-2BABD84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0A7"/>
    <w:pPr>
      <w:tabs>
        <w:tab w:val="center" w:pos="4680"/>
        <w:tab w:val="right" w:pos="9360"/>
      </w:tabs>
    </w:pPr>
  </w:style>
  <w:style w:type="character" w:customStyle="1" w:styleId="HeaderChar">
    <w:name w:val="Header Char"/>
    <w:basedOn w:val="DefaultParagraphFont"/>
    <w:link w:val="Header"/>
    <w:uiPriority w:val="99"/>
    <w:rsid w:val="005840A7"/>
    <w:rPr>
      <w:rFonts w:ascii="Arial" w:eastAsia="Arial" w:hAnsi="Arial" w:cs="Arial"/>
    </w:rPr>
  </w:style>
  <w:style w:type="paragraph" w:styleId="Footer">
    <w:name w:val="footer"/>
    <w:basedOn w:val="Normal"/>
    <w:link w:val="FooterChar"/>
    <w:uiPriority w:val="99"/>
    <w:unhideWhenUsed/>
    <w:rsid w:val="005840A7"/>
    <w:pPr>
      <w:tabs>
        <w:tab w:val="center" w:pos="4680"/>
        <w:tab w:val="right" w:pos="9360"/>
      </w:tabs>
    </w:pPr>
  </w:style>
  <w:style w:type="character" w:customStyle="1" w:styleId="FooterChar">
    <w:name w:val="Footer Char"/>
    <w:basedOn w:val="DefaultParagraphFont"/>
    <w:link w:val="Footer"/>
    <w:uiPriority w:val="99"/>
    <w:rsid w:val="005840A7"/>
    <w:rPr>
      <w:rFonts w:ascii="Arial" w:eastAsia="Arial" w:hAnsi="Arial" w:cs="Arial"/>
    </w:rPr>
  </w:style>
  <w:style w:type="character" w:styleId="Hyperlink">
    <w:name w:val="Hyperlink"/>
    <w:basedOn w:val="DefaultParagraphFont"/>
    <w:uiPriority w:val="99"/>
    <w:unhideWhenUsed/>
    <w:rsid w:val="002D5C40"/>
    <w:rPr>
      <w:color w:val="0000FF" w:themeColor="hyperlink"/>
      <w:u w:val="single"/>
    </w:rPr>
  </w:style>
  <w:style w:type="character" w:styleId="UnresolvedMention">
    <w:name w:val="Unresolved Mention"/>
    <w:basedOn w:val="DefaultParagraphFont"/>
    <w:uiPriority w:val="99"/>
    <w:unhideWhenUsed/>
    <w:rsid w:val="002D5C40"/>
    <w:rPr>
      <w:color w:val="605E5C"/>
      <w:shd w:val="clear" w:color="auto" w:fill="E1DFDD"/>
    </w:rPr>
  </w:style>
  <w:style w:type="character" w:styleId="CommentReference">
    <w:name w:val="annotation reference"/>
    <w:basedOn w:val="DefaultParagraphFont"/>
    <w:uiPriority w:val="99"/>
    <w:semiHidden/>
    <w:unhideWhenUsed/>
    <w:rsid w:val="0045734E"/>
    <w:rPr>
      <w:sz w:val="16"/>
      <w:szCs w:val="16"/>
    </w:rPr>
  </w:style>
  <w:style w:type="paragraph" w:styleId="CommentText">
    <w:name w:val="annotation text"/>
    <w:basedOn w:val="Normal"/>
    <w:link w:val="CommentTextChar"/>
    <w:uiPriority w:val="99"/>
    <w:semiHidden/>
    <w:unhideWhenUsed/>
    <w:rsid w:val="0045734E"/>
    <w:rPr>
      <w:sz w:val="20"/>
      <w:szCs w:val="20"/>
    </w:rPr>
  </w:style>
  <w:style w:type="character" w:customStyle="1" w:styleId="CommentTextChar">
    <w:name w:val="Comment Text Char"/>
    <w:basedOn w:val="DefaultParagraphFont"/>
    <w:link w:val="CommentText"/>
    <w:uiPriority w:val="99"/>
    <w:semiHidden/>
    <w:rsid w:val="004573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734E"/>
    <w:rPr>
      <w:b/>
      <w:bCs/>
    </w:rPr>
  </w:style>
  <w:style w:type="character" w:customStyle="1" w:styleId="CommentSubjectChar">
    <w:name w:val="Comment Subject Char"/>
    <w:basedOn w:val="CommentTextChar"/>
    <w:link w:val="CommentSubject"/>
    <w:uiPriority w:val="99"/>
    <w:semiHidden/>
    <w:rsid w:val="0045734E"/>
    <w:rPr>
      <w:rFonts w:ascii="Arial" w:eastAsia="Arial" w:hAnsi="Arial" w:cs="Arial"/>
      <w:b/>
      <w:bCs/>
      <w:sz w:val="20"/>
      <w:szCs w:val="20"/>
    </w:rPr>
  </w:style>
  <w:style w:type="paragraph" w:styleId="BalloonText">
    <w:name w:val="Balloon Text"/>
    <w:basedOn w:val="Normal"/>
    <w:link w:val="BalloonTextChar"/>
    <w:uiPriority w:val="99"/>
    <w:semiHidden/>
    <w:unhideWhenUsed/>
    <w:rsid w:val="0045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4E"/>
    <w:rPr>
      <w:rFonts w:ascii="Segoe UI" w:eastAsia="Arial" w:hAnsi="Segoe UI" w:cs="Segoe UI"/>
      <w:sz w:val="18"/>
      <w:szCs w:val="18"/>
    </w:rPr>
  </w:style>
  <w:style w:type="table" w:styleId="TableGrid">
    <w:name w:val="Table Grid"/>
    <w:basedOn w:val="TableNormal"/>
    <w:uiPriority w:val="39"/>
    <w:rsid w:val="009137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13795"/>
    <w:rPr>
      <w:color w:val="2B579A"/>
      <w:shd w:val="clear" w:color="auto" w:fill="E1DFDD"/>
    </w:rPr>
  </w:style>
  <w:style w:type="character" w:styleId="FollowedHyperlink">
    <w:name w:val="FollowedHyperlink"/>
    <w:basedOn w:val="DefaultParagraphFont"/>
    <w:uiPriority w:val="99"/>
    <w:semiHidden/>
    <w:unhideWhenUsed/>
    <w:rsid w:val="00797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158">
      <w:bodyDiv w:val="1"/>
      <w:marLeft w:val="0"/>
      <w:marRight w:val="0"/>
      <w:marTop w:val="0"/>
      <w:marBottom w:val="0"/>
      <w:divBdr>
        <w:top w:val="none" w:sz="0" w:space="0" w:color="auto"/>
        <w:left w:val="none" w:sz="0" w:space="0" w:color="auto"/>
        <w:bottom w:val="none" w:sz="0" w:space="0" w:color="auto"/>
        <w:right w:val="none" w:sz="0" w:space="0" w:color="auto"/>
      </w:divBdr>
    </w:div>
    <w:div w:id="388648474">
      <w:bodyDiv w:val="1"/>
      <w:marLeft w:val="0"/>
      <w:marRight w:val="0"/>
      <w:marTop w:val="0"/>
      <w:marBottom w:val="0"/>
      <w:divBdr>
        <w:top w:val="none" w:sz="0" w:space="0" w:color="auto"/>
        <w:left w:val="none" w:sz="0" w:space="0" w:color="auto"/>
        <w:bottom w:val="none" w:sz="0" w:space="0" w:color="auto"/>
        <w:right w:val="none" w:sz="0" w:space="0" w:color="auto"/>
      </w:divBdr>
    </w:div>
    <w:div w:id="464858109">
      <w:bodyDiv w:val="1"/>
      <w:marLeft w:val="0"/>
      <w:marRight w:val="0"/>
      <w:marTop w:val="0"/>
      <w:marBottom w:val="0"/>
      <w:divBdr>
        <w:top w:val="none" w:sz="0" w:space="0" w:color="auto"/>
        <w:left w:val="none" w:sz="0" w:space="0" w:color="auto"/>
        <w:bottom w:val="none" w:sz="0" w:space="0" w:color="auto"/>
        <w:right w:val="none" w:sz="0" w:space="0" w:color="auto"/>
      </w:divBdr>
    </w:div>
    <w:div w:id="495653183">
      <w:bodyDiv w:val="1"/>
      <w:marLeft w:val="0"/>
      <w:marRight w:val="0"/>
      <w:marTop w:val="0"/>
      <w:marBottom w:val="0"/>
      <w:divBdr>
        <w:top w:val="none" w:sz="0" w:space="0" w:color="auto"/>
        <w:left w:val="none" w:sz="0" w:space="0" w:color="auto"/>
        <w:bottom w:val="none" w:sz="0" w:space="0" w:color="auto"/>
        <w:right w:val="none" w:sz="0" w:space="0" w:color="auto"/>
      </w:divBdr>
      <w:divsChild>
        <w:div w:id="396826963">
          <w:marLeft w:val="0"/>
          <w:marRight w:val="0"/>
          <w:marTop w:val="0"/>
          <w:marBottom w:val="0"/>
          <w:divBdr>
            <w:top w:val="none" w:sz="0" w:space="0" w:color="auto"/>
            <w:left w:val="none" w:sz="0" w:space="0" w:color="auto"/>
            <w:bottom w:val="none" w:sz="0" w:space="0" w:color="auto"/>
            <w:right w:val="none" w:sz="0" w:space="0" w:color="auto"/>
          </w:divBdr>
        </w:div>
      </w:divsChild>
    </w:div>
    <w:div w:id="724985430">
      <w:bodyDiv w:val="1"/>
      <w:marLeft w:val="0"/>
      <w:marRight w:val="0"/>
      <w:marTop w:val="0"/>
      <w:marBottom w:val="0"/>
      <w:divBdr>
        <w:top w:val="none" w:sz="0" w:space="0" w:color="auto"/>
        <w:left w:val="none" w:sz="0" w:space="0" w:color="auto"/>
        <w:bottom w:val="none" w:sz="0" w:space="0" w:color="auto"/>
        <w:right w:val="none" w:sz="0" w:space="0" w:color="auto"/>
      </w:divBdr>
    </w:div>
    <w:div w:id="1157578094">
      <w:bodyDiv w:val="1"/>
      <w:marLeft w:val="0"/>
      <w:marRight w:val="0"/>
      <w:marTop w:val="0"/>
      <w:marBottom w:val="0"/>
      <w:divBdr>
        <w:top w:val="none" w:sz="0" w:space="0" w:color="auto"/>
        <w:left w:val="none" w:sz="0" w:space="0" w:color="auto"/>
        <w:bottom w:val="none" w:sz="0" w:space="0" w:color="auto"/>
        <w:right w:val="none" w:sz="0" w:space="0" w:color="auto"/>
      </w:divBdr>
    </w:div>
    <w:div w:id="1317028099">
      <w:bodyDiv w:val="1"/>
      <w:marLeft w:val="0"/>
      <w:marRight w:val="0"/>
      <w:marTop w:val="0"/>
      <w:marBottom w:val="0"/>
      <w:divBdr>
        <w:top w:val="none" w:sz="0" w:space="0" w:color="auto"/>
        <w:left w:val="none" w:sz="0" w:space="0" w:color="auto"/>
        <w:bottom w:val="none" w:sz="0" w:space="0" w:color="auto"/>
        <w:right w:val="none" w:sz="0" w:space="0" w:color="auto"/>
      </w:divBdr>
    </w:div>
    <w:div w:id="189022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to-docs.its.txstate.edu/jcr:7c25f69d-7ab4-4ff7-98b1-9c804234796d/PPS%2004.02.20%20Tenure%20and%20Promotion%20Final%20Executed.pdf" TargetMode="External"/><Relationship Id="rId18" Type="http://schemas.openxmlformats.org/officeDocument/2006/relationships/hyperlink" Target="https://www.ncbi.nlm.nih.gov/pmc/articles/PMC4975196/" TargetMode="External"/><Relationship Id="rId26" Type="http://schemas.openxmlformats.org/officeDocument/2006/relationships/hyperlink" Target="https://policies.txstate.edu/division-policies/academic-affairs/04-01-01.html" TargetMode="External"/><Relationship Id="rId3" Type="http://schemas.openxmlformats.org/officeDocument/2006/relationships/customXml" Target="../customXml/item3.xml"/><Relationship Id="rId21" Type="http://schemas.openxmlformats.org/officeDocument/2006/relationships/hyperlink" Target="https://www.nature.com/articles/d41586-019-03759-y" TargetMode="External"/><Relationship Id="rId7" Type="http://schemas.openxmlformats.org/officeDocument/2006/relationships/webSettings" Target="webSettings.xml"/><Relationship Id="rId12" Type="http://schemas.openxmlformats.org/officeDocument/2006/relationships/hyperlink" Target="https://policies.txstate.edu/division-policies/academic-affairs/04-01-01.html" TargetMode="External"/><Relationship Id="rId17" Type="http://schemas.openxmlformats.org/officeDocument/2006/relationships/hyperlink" Target="https://www.elsevier.com/reviewers/what-is-peer-review" TargetMode="External"/><Relationship Id="rId25" Type="http://schemas.openxmlformats.org/officeDocument/2006/relationships/hyperlink" Target="https://pubmed.ncbi.nlm.nih.gov/25136153/" TargetMode="External"/><Relationship Id="rId2" Type="http://schemas.openxmlformats.org/officeDocument/2006/relationships/customXml" Target="../customXml/item2.xml"/><Relationship Id="rId16" Type="http://schemas.openxmlformats.org/officeDocument/2006/relationships/hyperlink" Target="http://libproxy.txstate.edu/login?url=https://jcr.clarivate.com" TargetMode="External"/><Relationship Id="rId20" Type="http://schemas.openxmlformats.org/officeDocument/2006/relationships/hyperlink" Target="https://www.nature.com/articles/d41586-019-03759-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ate.edu/division-policies/academic-affairs/04-02-01.html" TargetMode="External"/><Relationship Id="rId24" Type="http://schemas.openxmlformats.org/officeDocument/2006/relationships/hyperlink" Target="https://core.ac.uk/download/pdf/81212847.pdf" TargetMode="External"/><Relationship Id="rId5" Type="http://schemas.openxmlformats.org/officeDocument/2006/relationships/styles" Target="styles.xml"/><Relationship Id="rId15" Type="http://schemas.openxmlformats.org/officeDocument/2006/relationships/hyperlink" Target="http://libproxy.txstate.edu/login?url=https://www.cabells.com/" TargetMode="External"/><Relationship Id="rId23" Type="http://schemas.openxmlformats.org/officeDocument/2006/relationships/hyperlink" Target="https://core.ac.uk/download/pdf/81212847.pdf" TargetMode="External"/><Relationship Id="rId28" Type="http://schemas.openxmlformats.org/officeDocument/2006/relationships/hyperlink" Target="https://carnegieclassifications.acenet.edu/carnegie-classification/classification-methodology/basic-classification/" TargetMode="External"/><Relationship Id="rId10" Type="http://schemas.openxmlformats.org/officeDocument/2006/relationships/hyperlink" Target="https://policies.txstate.edu/division-policies/academic-affairs/04-02-20.html" TargetMode="External"/><Relationship Id="rId19" Type="http://schemas.openxmlformats.org/officeDocument/2006/relationships/hyperlink" Target="https://guides.library.txstate.edu/c.php?g=853109&amp;p=6106643"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vost.txst.edu/faculty-handbook.html" TargetMode="External"/><Relationship Id="rId22" Type="http://schemas.openxmlformats.org/officeDocument/2006/relationships/hyperlink" Target="https://psycnet.apa.org/record/1991-08380-001" TargetMode="External"/><Relationship Id="rId27" Type="http://schemas.openxmlformats.org/officeDocument/2006/relationships/hyperlink" Target="https://facultyresources.provost.txstate.edu/resources/calendar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7794EE13B04EAA17A6578D52319B" ma:contentTypeVersion="4" ma:contentTypeDescription="Create a new document." ma:contentTypeScope="" ma:versionID="389a45a7400ed58b101c884aee4557d5">
  <xsd:schema xmlns:xsd="http://www.w3.org/2001/XMLSchema" xmlns:xs="http://www.w3.org/2001/XMLSchema" xmlns:p="http://schemas.microsoft.com/office/2006/metadata/properties" xmlns:ns2="ea8cfb08-743c-41fa-8044-3e451c0f359d" targetNamespace="http://schemas.microsoft.com/office/2006/metadata/properties" ma:root="true" ma:fieldsID="af481d0155ae4415cbc68308c2ada27e" ns2:_="">
    <xsd:import namespace="ea8cfb08-743c-41fa-8044-3e451c0f3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fb08-743c-41fa-8044-3e451c0f3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6A28A-381F-4570-A531-2B2A8E299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fb08-743c-41fa-8044-3e451c0f3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496C0-48FD-4018-A148-C445E60D7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9A7D-0648-4681-9F14-A09748278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Adams, Carmen A</cp:lastModifiedBy>
  <cp:revision>2</cp:revision>
  <dcterms:created xsi:type="dcterms:W3CDTF">2023-03-30T12:42:00Z</dcterms:created>
  <dcterms:modified xsi:type="dcterms:W3CDTF">2023-03-30T12:42:00Z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2020-08-14T00:00:00Z</vt:filetime>
  </property>
  <property fmtid="{D5CDD505-2E9C-101B-9397-08002B2CF9AE}" pid="5" name="ContentTypeId">
    <vt:lpwstr>0x01010026117794EE13B04EAA17A6578D52319B</vt:lpwstr>
  </property>
</Properties>
</file>