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A370" w14:textId="77777777" w:rsidR="0026130E" w:rsidRPr="00D457D0" w:rsidRDefault="00904DCD" w:rsidP="005116C4">
      <w:pPr>
        <w:jc w:val="center"/>
      </w:pPr>
      <w:r w:rsidRPr="00D457D0">
        <w:t>Department of Psychology</w:t>
      </w:r>
    </w:p>
    <w:p w14:paraId="0AA0D2C9" w14:textId="19BBEAB6" w:rsidR="00904DCD" w:rsidRDefault="0054085A" w:rsidP="005116C4">
      <w:pPr>
        <w:jc w:val="center"/>
      </w:pPr>
      <w:r w:rsidRPr="00D457D0">
        <w:rPr>
          <w:b/>
        </w:rPr>
        <w:t xml:space="preserve">Annual Faculty Review and </w:t>
      </w:r>
      <w:r w:rsidR="00904DCD" w:rsidRPr="00D457D0">
        <w:rPr>
          <w:b/>
        </w:rPr>
        <w:t>Merit Review Policy</w:t>
      </w:r>
      <w:r w:rsidR="00904DCD" w:rsidRPr="00D457D0">
        <w:t xml:space="preserve"> </w:t>
      </w:r>
    </w:p>
    <w:p w14:paraId="5928082E" w14:textId="38C9E5B1" w:rsidR="00771251" w:rsidRPr="00D457D0" w:rsidRDefault="00771251" w:rsidP="005116C4">
      <w:pPr>
        <w:jc w:val="center"/>
      </w:pPr>
      <w:r>
        <w:t xml:space="preserve">Approved by Faculty </w:t>
      </w:r>
      <w:proofErr w:type="gramStart"/>
      <w:r>
        <w:t>November,</w:t>
      </w:r>
      <w:proofErr w:type="gramEnd"/>
      <w:r>
        <w:t xml:space="preserve"> 18, 2022</w:t>
      </w:r>
    </w:p>
    <w:p w14:paraId="56C32D5A" w14:textId="77777777" w:rsidR="00904DCD" w:rsidRPr="00D457D0" w:rsidRDefault="00904DCD"/>
    <w:p w14:paraId="00D2F569" w14:textId="70C40189" w:rsidR="00F66939" w:rsidRPr="00D457D0" w:rsidRDefault="00F66939" w:rsidP="00793092">
      <w:r w:rsidRPr="00D457D0">
        <w:t xml:space="preserve">The Department of Psychology developed the Annual Faculty Review and Merit </w:t>
      </w:r>
      <w:r w:rsidR="0015231D" w:rsidRPr="00D457D0">
        <w:t>P</w:t>
      </w:r>
      <w:r w:rsidRPr="00D457D0">
        <w:t>olicy in order to promote quality teaching, research and scholarly activities, and service</w:t>
      </w:r>
      <w:r w:rsidR="00262AA1" w:rsidRPr="00D457D0">
        <w:t>. This policy</w:t>
      </w:r>
      <w:r w:rsidR="00C16891" w:rsidRPr="00D457D0">
        <w:t xml:space="preserve"> </w:t>
      </w:r>
      <w:r w:rsidRPr="00D457D0">
        <w:t>conside</w:t>
      </w:r>
      <w:r w:rsidR="00262AA1" w:rsidRPr="00D457D0">
        <w:t>rs</w:t>
      </w:r>
      <w:r w:rsidRPr="00D457D0">
        <w:t xml:space="preserve"> the following criteria:</w:t>
      </w:r>
      <w:r w:rsidR="00793092" w:rsidRPr="00D457D0">
        <w:t xml:space="preserve"> 1) </w:t>
      </w:r>
      <w:r w:rsidRPr="00D457D0">
        <w:t>To establish a fair and transparent faculty evaluation system;</w:t>
      </w:r>
      <w:r w:rsidR="00A86643" w:rsidRPr="00D457D0">
        <w:t xml:space="preserve"> and</w:t>
      </w:r>
      <w:r w:rsidR="00793092" w:rsidRPr="00D457D0">
        <w:t xml:space="preserve"> 2) t</w:t>
      </w:r>
      <w:r w:rsidRPr="00D457D0">
        <w:t>o provide a mechanism for assessing faculty performance against a standard.</w:t>
      </w:r>
    </w:p>
    <w:p w14:paraId="381D6887" w14:textId="77777777" w:rsidR="00F66939" w:rsidRPr="00D457D0" w:rsidRDefault="00F66939">
      <w:pPr>
        <w:rPr>
          <w:b/>
        </w:rPr>
      </w:pPr>
    </w:p>
    <w:p w14:paraId="534F9D05" w14:textId="77777777" w:rsidR="00904DCD" w:rsidRPr="00D457D0" w:rsidRDefault="00F66939">
      <w:pPr>
        <w:rPr>
          <w:b/>
        </w:rPr>
      </w:pPr>
      <w:r w:rsidRPr="00D457D0">
        <w:rPr>
          <w:b/>
        </w:rPr>
        <w:t xml:space="preserve">Texas State University </w:t>
      </w:r>
      <w:r w:rsidR="00904DCD" w:rsidRPr="00D457D0">
        <w:rPr>
          <w:b/>
        </w:rPr>
        <w:t xml:space="preserve">Policy Statements </w:t>
      </w:r>
      <w:r w:rsidR="00904DCD" w:rsidRPr="00D457D0">
        <w:t>(</w:t>
      </w:r>
      <w:hyperlink r:id="rId6" w:history="1">
        <w:r w:rsidR="00904DCD" w:rsidRPr="00D457D0">
          <w:rPr>
            <w:rStyle w:val="Hyperlink"/>
          </w:rPr>
          <w:t>AA/PPS 04.01.50</w:t>
        </w:r>
      </w:hyperlink>
      <w:r w:rsidR="00904DCD" w:rsidRPr="00D457D0">
        <w:t>)</w:t>
      </w:r>
    </w:p>
    <w:p w14:paraId="3047A6ED" w14:textId="77777777" w:rsidR="00904DCD" w:rsidRPr="00D457D0" w:rsidRDefault="00904DCD" w:rsidP="00F66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57D0">
        <w:rPr>
          <w:rFonts w:ascii="Times New Roman" w:hAnsi="Times New Roman" w:cs="Times New Roman"/>
        </w:rPr>
        <w:t>01.02</w:t>
      </w:r>
      <w:r w:rsidR="005116C4" w:rsidRPr="00D457D0">
        <w:rPr>
          <w:rFonts w:ascii="Times New Roman" w:hAnsi="Times New Roman" w:cs="Times New Roman"/>
        </w:rPr>
        <w:t xml:space="preserve">: </w:t>
      </w:r>
      <w:r w:rsidRPr="00D457D0">
        <w:rPr>
          <w:rFonts w:ascii="Times New Roman" w:hAnsi="Times New Roman" w:cs="Times New Roman"/>
        </w:rPr>
        <w:t>All continuing percent-contract faculty are eligible for merit raises.</w:t>
      </w:r>
    </w:p>
    <w:p w14:paraId="522EDE8C" w14:textId="77777777" w:rsidR="00904DCD" w:rsidRPr="00D457D0" w:rsidRDefault="00904DCD" w:rsidP="00F66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57D0">
        <w:rPr>
          <w:rFonts w:ascii="Times New Roman" w:hAnsi="Times New Roman" w:cs="Times New Roman"/>
        </w:rPr>
        <w:t>03.02</w:t>
      </w:r>
      <w:r w:rsidR="005116C4" w:rsidRPr="00D457D0">
        <w:rPr>
          <w:rFonts w:ascii="Times New Roman" w:hAnsi="Times New Roman" w:cs="Times New Roman"/>
        </w:rPr>
        <w:t xml:space="preserve">: </w:t>
      </w:r>
      <w:r w:rsidRPr="00D457D0">
        <w:rPr>
          <w:rFonts w:ascii="Times New Roman" w:hAnsi="Times New Roman" w:cs="Times New Roman"/>
        </w:rPr>
        <w:t>When merit raises are given, faculty will be evaluated on the basis of clear criteria, documented performance, and accomplishments at Texas State during the evaluation period.</w:t>
      </w:r>
    </w:p>
    <w:p w14:paraId="6B1C8470" w14:textId="77777777" w:rsidR="005116C4" w:rsidRPr="00D457D0" w:rsidRDefault="005116C4" w:rsidP="00F66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57D0">
        <w:rPr>
          <w:rFonts w:ascii="Times New Roman" w:hAnsi="Times New Roman" w:cs="Times New Roman"/>
        </w:rPr>
        <w:t>03.02-c: Merit awards should be based on meritorious performance for the identified evaluation period, normally three years.</w:t>
      </w:r>
    </w:p>
    <w:p w14:paraId="4011A5E3" w14:textId="4796A459" w:rsidR="005116C4" w:rsidRPr="00D457D0" w:rsidRDefault="005116C4" w:rsidP="00F66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57D0">
        <w:rPr>
          <w:rFonts w:ascii="Times New Roman" w:hAnsi="Times New Roman" w:cs="Times New Roman"/>
        </w:rPr>
        <w:t>03.02-d: Merit increases should be based on the faculty member’s performance, appoint</w:t>
      </w:r>
      <w:r w:rsidR="00A86643" w:rsidRPr="00D457D0">
        <w:rPr>
          <w:rFonts w:ascii="Times New Roman" w:hAnsi="Times New Roman" w:cs="Times New Roman"/>
        </w:rPr>
        <w:t>ment</w:t>
      </w:r>
      <w:r w:rsidRPr="00D457D0">
        <w:rPr>
          <w:rFonts w:ascii="Times New Roman" w:hAnsi="Times New Roman" w:cs="Times New Roman"/>
        </w:rPr>
        <w:t xml:space="preserve"> type, duties, and assigned workload. </w:t>
      </w:r>
    </w:p>
    <w:p w14:paraId="0015D035" w14:textId="77777777" w:rsidR="00904DCD" w:rsidRPr="00D457D0" w:rsidRDefault="00904DCD"/>
    <w:p w14:paraId="5FE13374" w14:textId="77777777" w:rsidR="005116C4" w:rsidRPr="00D457D0" w:rsidRDefault="005116C4">
      <w:r w:rsidRPr="00D457D0">
        <w:rPr>
          <w:b/>
        </w:rPr>
        <w:t>COLA Annual Review and Merit Policy</w:t>
      </w:r>
      <w:r w:rsidR="00F66939" w:rsidRPr="00D457D0">
        <w:t xml:space="preserve"> (</w:t>
      </w:r>
      <w:hyperlink r:id="rId7" w:history="1">
        <w:r w:rsidR="00F66939" w:rsidRPr="00D457D0">
          <w:rPr>
            <w:rStyle w:val="Hyperlink"/>
          </w:rPr>
          <w:t>link</w:t>
        </w:r>
      </w:hyperlink>
      <w:r w:rsidR="00F66939" w:rsidRPr="00D457D0">
        <w:t>)</w:t>
      </w:r>
    </w:p>
    <w:p w14:paraId="5D7FDDCE" w14:textId="77777777" w:rsidR="00F66939" w:rsidRPr="00D457D0" w:rsidRDefault="00F66939" w:rsidP="00F66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57D0">
        <w:rPr>
          <w:rFonts w:ascii="Times New Roman" w:hAnsi="Times New Roman" w:cs="Times New Roman"/>
        </w:rPr>
        <w:t xml:space="preserve">All faculty in the college (full- and part-time; tenured, tenure-track, and nontenure line) complete an annual report of activities for the prior calendar year using the </w:t>
      </w:r>
      <w:hyperlink r:id="rId8" w:history="1">
        <w:r w:rsidRPr="00D457D0">
          <w:rPr>
            <w:rStyle w:val="Hyperlink"/>
            <w:rFonts w:ascii="Times New Roman" w:hAnsi="Times New Roman" w:cs="Times New Roman"/>
          </w:rPr>
          <w:t>Faculty Qualifications</w:t>
        </w:r>
      </w:hyperlink>
      <w:r w:rsidRPr="00D457D0">
        <w:rPr>
          <w:rFonts w:ascii="Times New Roman" w:hAnsi="Times New Roman" w:cs="Times New Roman"/>
        </w:rPr>
        <w:t xml:space="preserve"> system.</w:t>
      </w:r>
      <w:r w:rsidR="008812CE" w:rsidRPr="00D457D0">
        <w:rPr>
          <w:rFonts w:ascii="Times New Roman" w:hAnsi="Times New Roman" w:cs="Times New Roman"/>
        </w:rPr>
        <w:t xml:space="preserve"> </w:t>
      </w:r>
      <w:r w:rsidRPr="00D457D0">
        <w:rPr>
          <w:rFonts w:ascii="Times New Roman" w:hAnsi="Times New Roman" w:cs="Times New Roman"/>
        </w:rPr>
        <w:t>Each faculty member enters information on teaching, research/scholarly activities, service, and other activities and then undergoes review by the department’s personnel committee and chair.</w:t>
      </w:r>
    </w:p>
    <w:p w14:paraId="0D6D0832" w14:textId="77777777" w:rsidR="00F66939" w:rsidRPr="00D457D0" w:rsidRDefault="00F66939" w:rsidP="00F66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57D0">
        <w:rPr>
          <w:rFonts w:ascii="Times New Roman" w:hAnsi="Times New Roman" w:cs="Times New Roman"/>
        </w:rPr>
        <w:t>Each department in the college has written policies and procedures to guide evaluation of faculty and to determine merit raises.</w:t>
      </w:r>
    </w:p>
    <w:p w14:paraId="2AE03045" w14:textId="77777777" w:rsidR="00262AA1" w:rsidRPr="00D457D0" w:rsidRDefault="00262AA1" w:rsidP="00262AA1"/>
    <w:p w14:paraId="75A89331" w14:textId="77777777" w:rsidR="00262AA1" w:rsidRPr="00D457D0" w:rsidRDefault="00DF51B7" w:rsidP="00262AA1">
      <w:pPr>
        <w:rPr>
          <w:b/>
        </w:rPr>
      </w:pPr>
      <w:r w:rsidRPr="00D457D0">
        <w:rPr>
          <w:b/>
        </w:rPr>
        <w:t>Psychology Department</w:t>
      </w:r>
      <w:r w:rsidR="0054085A" w:rsidRPr="00D457D0">
        <w:rPr>
          <w:b/>
        </w:rPr>
        <w:t xml:space="preserve"> Annual Faculty Review and Merit Policy</w:t>
      </w:r>
    </w:p>
    <w:p w14:paraId="7A9B75F2" w14:textId="09AC643A" w:rsidR="00E65D38" w:rsidRPr="00D457D0" w:rsidRDefault="00DF51B7" w:rsidP="00DF51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57D0">
        <w:rPr>
          <w:rFonts w:ascii="Times New Roman" w:hAnsi="Times New Roman" w:cs="Times New Roman"/>
        </w:rPr>
        <w:t xml:space="preserve">All faculty will be assessed for meeting expectations based on their </w:t>
      </w:r>
      <w:r w:rsidR="00A86643" w:rsidRPr="00D457D0">
        <w:rPr>
          <w:rFonts w:ascii="Times New Roman" w:hAnsi="Times New Roman" w:cs="Times New Roman"/>
        </w:rPr>
        <w:t xml:space="preserve">specific </w:t>
      </w:r>
      <w:r w:rsidRPr="00D457D0">
        <w:rPr>
          <w:rFonts w:ascii="Times New Roman" w:hAnsi="Times New Roman" w:cs="Times New Roman"/>
        </w:rPr>
        <w:t>job type, duties, and assigned workload.</w:t>
      </w:r>
      <w:r w:rsidR="00793092" w:rsidRPr="00D457D0">
        <w:rPr>
          <w:rFonts w:ascii="Times New Roman" w:hAnsi="Times New Roman" w:cs="Times New Roman"/>
        </w:rPr>
        <w:t xml:space="preserve"> </w:t>
      </w:r>
    </w:p>
    <w:p w14:paraId="73B305B9" w14:textId="1F74C0A2" w:rsidR="00793092" w:rsidRPr="00D457D0" w:rsidRDefault="00793092" w:rsidP="007930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B42FF">
        <w:rPr>
          <w:rFonts w:ascii="Times New Roman" w:hAnsi="Times New Roman" w:cs="Times New Roman"/>
          <w:u w:val="single"/>
        </w:rPr>
        <w:t>Lecture</w:t>
      </w:r>
      <w:r w:rsidR="005B5F05" w:rsidRPr="003B42FF">
        <w:rPr>
          <w:rFonts w:ascii="Times New Roman" w:hAnsi="Times New Roman" w:cs="Times New Roman"/>
          <w:u w:val="single"/>
        </w:rPr>
        <w:t>r</w:t>
      </w:r>
      <w:r w:rsidRPr="003B42FF">
        <w:rPr>
          <w:rFonts w:ascii="Times New Roman" w:hAnsi="Times New Roman" w:cs="Times New Roman"/>
          <w:u w:val="single"/>
        </w:rPr>
        <w:t>s and Senior Lecturers</w:t>
      </w:r>
      <w:r w:rsidRPr="00D457D0">
        <w:rPr>
          <w:rFonts w:ascii="Times New Roman" w:hAnsi="Times New Roman" w:cs="Times New Roman"/>
        </w:rPr>
        <w:t xml:space="preserve"> will be evaluated on Teaching and Service as: 1) Meets expectations and is eligible for full merit; 2) Meets expectations and is eligible for ½ merit; or 3) Does not meet departmental expectations.</w:t>
      </w:r>
    </w:p>
    <w:p w14:paraId="5EA9AC4B" w14:textId="5012B259" w:rsidR="00793092" w:rsidRPr="00D457D0" w:rsidRDefault="00793092" w:rsidP="007930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B42FF">
        <w:rPr>
          <w:rFonts w:ascii="Times New Roman" w:hAnsi="Times New Roman" w:cs="Times New Roman"/>
          <w:u w:val="single"/>
        </w:rPr>
        <w:t>Clinical Faculty</w:t>
      </w:r>
      <w:r w:rsidRPr="00D457D0">
        <w:rPr>
          <w:rFonts w:ascii="Times New Roman" w:hAnsi="Times New Roman" w:cs="Times New Roman"/>
        </w:rPr>
        <w:t xml:space="preserve"> will be evaluated on Teaching, </w:t>
      </w:r>
      <w:r w:rsidR="007F4168">
        <w:rPr>
          <w:rFonts w:ascii="Times New Roman" w:hAnsi="Times New Roman" w:cs="Times New Roman"/>
        </w:rPr>
        <w:t>Scholarly and Professional Engagement</w:t>
      </w:r>
      <w:r w:rsidRPr="00D457D0">
        <w:rPr>
          <w:rFonts w:ascii="Times New Roman" w:hAnsi="Times New Roman" w:cs="Times New Roman"/>
        </w:rPr>
        <w:t>, and Service as: 1) Meets expectations and is eligible for full merit; 2) Meets expectations and is eligible for 2/3 merit; 3) Meets expectations and is eligible for 1/3 merit; or 4) Does not meet departmental expectations.</w:t>
      </w:r>
    </w:p>
    <w:p w14:paraId="3EF46E9E" w14:textId="602BD69A" w:rsidR="00793092" w:rsidRPr="00D457D0" w:rsidRDefault="00793092" w:rsidP="00613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B42FF">
        <w:rPr>
          <w:rFonts w:ascii="Times New Roman" w:hAnsi="Times New Roman" w:cs="Times New Roman"/>
          <w:u w:val="single"/>
        </w:rPr>
        <w:t>Tenure-Track and Tenured</w:t>
      </w:r>
      <w:r w:rsidRPr="00D457D0">
        <w:rPr>
          <w:rFonts w:ascii="Times New Roman" w:hAnsi="Times New Roman" w:cs="Times New Roman"/>
        </w:rPr>
        <w:t xml:space="preserve"> faculty will be evaluated on Teaching, Research, and Service as: 1) Meets expectations and is eligible for full merit; 2) Meets expectations and is eligible for 2/3 merit; 3) Meets expectations and is eligible for 1/3 merit; or 4) Does not meet departmental expectations.</w:t>
      </w:r>
    </w:p>
    <w:p w14:paraId="1CACBB4E" w14:textId="576BBB02" w:rsidR="00A86643" w:rsidRPr="007D5B0A" w:rsidRDefault="00DF51B7" w:rsidP="00A86643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D457D0">
        <w:rPr>
          <w:rFonts w:ascii="Times New Roman" w:hAnsi="Times New Roman" w:cs="Times New Roman"/>
        </w:rPr>
        <w:t xml:space="preserve">Faculty who </w:t>
      </w:r>
      <w:proofErr w:type="gramStart"/>
      <w:r w:rsidR="00793092" w:rsidRPr="00D457D0">
        <w:rPr>
          <w:rFonts w:ascii="Times New Roman" w:hAnsi="Times New Roman" w:cs="Times New Roman"/>
        </w:rPr>
        <w:t>do</w:t>
      </w:r>
      <w:proofErr w:type="gramEnd"/>
      <w:r w:rsidR="00793092" w:rsidRPr="00D457D0">
        <w:rPr>
          <w:rFonts w:ascii="Times New Roman" w:hAnsi="Times New Roman" w:cs="Times New Roman"/>
        </w:rPr>
        <w:t xml:space="preserve"> not </w:t>
      </w:r>
      <w:r w:rsidRPr="00D457D0">
        <w:rPr>
          <w:rFonts w:ascii="Times New Roman" w:hAnsi="Times New Roman" w:cs="Times New Roman"/>
        </w:rPr>
        <w:t xml:space="preserve">meet </w:t>
      </w:r>
      <w:r w:rsidR="00D91B0C" w:rsidRPr="00D457D0">
        <w:rPr>
          <w:rFonts w:ascii="Times New Roman" w:hAnsi="Times New Roman" w:cs="Times New Roman"/>
        </w:rPr>
        <w:t xml:space="preserve">all </w:t>
      </w:r>
      <w:r w:rsidR="00F41812" w:rsidRPr="00D457D0">
        <w:rPr>
          <w:rFonts w:ascii="Times New Roman" w:hAnsi="Times New Roman" w:cs="Times New Roman"/>
        </w:rPr>
        <w:t xml:space="preserve">departmental </w:t>
      </w:r>
      <w:r w:rsidRPr="00D457D0">
        <w:rPr>
          <w:rFonts w:ascii="Times New Roman" w:hAnsi="Times New Roman" w:cs="Times New Roman"/>
        </w:rPr>
        <w:t>expectations</w:t>
      </w:r>
      <w:r w:rsidR="00A86643" w:rsidRPr="00D457D0">
        <w:rPr>
          <w:rFonts w:ascii="Times New Roman" w:hAnsi="Times New Roman" w:cs="Times New Roman"/>
        </w:rPr>
        <w:t xml:space="preserve"> may appeal this decision</w:t>
      </w:r>
      <w:r w:rsidRPr="00D457D0">
        <w:rPr>
          <w:rFonts w:ascii="Times New Roman" w:hAnsi="Times New Roman" w:cs="Times New Roman"/>
        </w:rPr>
        <w:t xml:space="preserve">. For information regarding Appeals and Professional Development Plans, refer to </w:t>
      </w:r>
      <w:hyperlink r:id="rId9" w:history="1">
        <w:r w:rsidRPr="00D457D0">
          <w:rPr>
            <w:rStyle w:val="Hyperlink"/>
            <w:rFonts w:ascii="Times New Roman" w:hAnsi="Times New Roman" w:cs="Times New Roman"/>
          </w:rPr>
          <w:t>AA/PPS 04.02.10</w:t>
        </w:r>
      </w:hyperlink>
    </w:p>
    <w:p w14:paraId="25FD2FDC" w14:textId="5124D7C7" w:rsidR="003B42FF" w:rsidRPr="007D5B0A" w:rsidRDefault="007D5B0A" w:rsidP="00AF35B9">
      <w:pPr>
        <w:pStyle w:val="ListParagraph"/>
        <w:numPr>
          <w:ilvl w:val="0"/>
          <w:numId w:val="4"/>
        </w:numPr>
        <w:rPr>
          <w:b/>
        </w:rPr>
      </w:pPr>
      <w:r w:rsidRPr="007D5B0A">
        <w:rPr>
          <w:rFonts w:ascii="Times New Roman" w:hAnsi="Times New Roman" w:cs="Times New Roman"/>
        </w:rPr>
        <w:t>If the merit budget permits, cases of exceptional achievement may receive additional funds, and eligible individuals will be identified by the FRC</w:t>
      </w:r>
      <w:r>
        <w:rPr>
          <w:rFonts w:ascii="Times New Roman" w:hAnsi="Times New Roman" w:cs="Times New Roman"/>
        </w:rPr>
        <w:t>.</w:t>
      </w:r>
    </w:p>
    <w:p w14:paraId="75E42BB8" w14:textId="6CA8E244" w:rsidR="00A86643" w:rsidRPr="00D457D0" w:rsidRDefault="00386EAC" w:rsidP="00A86643">
      <w:pPr>
        <w:rPr>
          <w:b/>
        </w:rPr>
      </w:pPr>
      <w:r w:rsidRPr="00D457D0">
        <w:rPr>
          <w:b/>
        </w:rPr>
        <w:lastRenderedPageBreak/>
        <w:t>Teaching Expectations</w:t>
      </w:r>
    </w:p>
    <w:p w14:paraId="7CB51015" w14:textId="0790B882" w:rsidR="00793092" w:rsidRPr="00D457D0" w:rsidRDefault="00386EAC" w:rsidP="00A86643">
      <w:r w:rsidRPr="00D457D0">
        <w:t xml:space="preserve">To meet expectations in teaching, all faculty </w:t>
      </w:r>
      <w:r w:rsidR="001A6E8F" w:rsidRPr="00D457D0">
        <w:t xml:space="preserve">will teach courses in accordance with their workload assignment, maintain syllabi consistent with University standards, and sustain </w:t>
      </w:r>
      <w:r w:rsidR="00793092" w:rsidRPr="00D457D0">
        <w:t>quality teaching</w:t>
      </w:r>
      <w:r w:rsidR="001A6E8F" w:rsidRPr="00D457D0">
        <w:t xml:space="preserve">. </w:t>
      </w:r>
      <w:r w:rsidR="00793092" w:rsidRPr="00D457D0">
        <w:t>All tenure-track and tenured faculty members will actively mentor TXST Psychology students and support the MAPR program</w:t>
      </w:r>
      <w:r w:rsidR="001A6E8F" w:rsidRPr="00D457D0">
        <w:t>.</w:t>
      </w:r>
    </w:p>
    <w:p w14:paraId="113636FA" w14:textId="7CB3118C" w:rsidR="00386EAC" w:rsidRPr="00D457D0" w:rsidRDefault="001A6E8F" w:rsidP="00A86643">
      <w:r w:rsidRPr="00D457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B1DED" w:rsidRPr="00D457D0" w14:paraId="74546E9A" w14:textId="77777777" w:rsidTr="000670E2">
        <w:tc>
          <w:tcPr>
            <w:tcW w:w="9350" w:type="dxa"/>
            <w:gridSpan w:val="2"/>
            <w:shd w:val="clear" w:color="auto" w:fill="D5DCE4" w:themeFill="text2" w:themeFillTint="33"/>
          </w:tcPr>
          <w:p w14:paraId="7CFB89E7" w14:textId="7F3B0332" w:rsidR="007B1DED" w:rsidRPr="00D457D0" w:rsidRDefault="00386EAC" w:rsidP="007B1DED">
            <w:pPr>
              <w:jc w:val="center"/>
              <w:rPr>
                <w:b/>
              </w:rPr>
            </w:pPr>
            <w:r w:rsidRPr="00D457D0">
              <w:t xml:space="preserve"> </w:t>
            </w:r>
            <w:r w:rsidR="007B1DED" w:rsidRPr="00D457D0">
              <w:rPr>
                <w:b/>
              </w:rPr>
              <w:t>Teaching Activities</w:t>
            </w:r>
          </w:p>
          <w:p w14:paraId="14AE0DCF" w14:textId="4EC872CD" w:rsidR="007B1DED" w:rsidRPr="00D457D0" w:rsidRDefault="007B1DED" w:rsidP="007B1DED">
            <w:pPr>
              <w:rPr>
                <w:b/>
              </w:rPr>
            </w:pPr>
          </w:p>
        </w:tc>
      </w:tr>
      <w:tr w:rsidR="007B1DED" w:rsidRPr="00D457D0" w14:paraId="5B03A389" w14:textId="77777777" w:rsidTr="009A0EF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BDA9144" w14:textId="4FEA345C" w:rsidR="007B1DED" w:rsidRPr="00D457D0" w:rsidRDefault="007B1DED" w:rsidP="00A86643">
            <w:pPr>
              <w:rPr>
                <w:b/>
              </w:rPr>
            </w:pPr>
            <w:r w:rsidRPr="00D457D0">
              <w:rPr>
                <w:b/>
              </w:rPr>
              <w:t>All Faculty</w:t>
            </w:r>
            <w:r w:rsidRPr="00D457D0">
              <w:t xml:space="preserve"> (check)</w:t>
            </w:r>
          </w:p>
        </w:tc>
      </w:tr>
      <w:tr w:rsidR="00386EAC" w:rsidRPr="00D457D0" w14:paraId="5F9DC32D" w14:textId="77777777" w:rsidTr="00580590">
        <w:trPr>
          <w:trHeight w:val="41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3B3" w14:textId="1C074F82" w:rsidR="00386EAC" w:rsidRPr="00D457D0" w:rsidRDefault="009A0EF8" w:rsidP="00580590">
            <w:r w:rsidRPr="00D457D0">
              <w:t>___Yes</w:t>
            </w:r>
            <w:r w:rsidR="00580590">
              <w:t xml:space="preserve"> </w:t>
            </w:r>
            <w:r w:rsidRPr="00D457D0">
              <w:t>___ No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D734" w14:textId="2B55F787" w:rsidR="00386EAC" w:rsidRPr="00D457D0" w:rsidRDefault="00386EAC" w:rsidP="00386EAC">
            <w:r w:rsidRPr="00D457D0">
              <w:t xml:space="preserve">Courses </w:t>
            </w:r>
            <w:r w:rsidR="00765940" w:rsidRPr="00D457D0">
              <w:t>were</w:t>
            </w:r>
            <w:r w:rsidRPr="00D457D0">
              <w:t xml:space="preserve"> taught per workload assignment for the specified year.</w:t>
            </w:r>
          </w:p>
        </w:tc>
      </w:tr>
      <w:tr w:rsidR="00386EAC" w:rsidRPr="00D457D0" w14:paraId="54E37B94" w14:textId="77777777" w:rsidTr="00580590">
        <w:trPr>
          <w:trHeight w:val="41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4A8" w14:textId="1862BE09" w:rsidR="00386EAC" w:rsidRPr="00D457D0" w:rsidRDefault="009A0EF8" w:rsidP="00580590">
            <w:r w:rsidRPr="00D457D0">
              <w:t>___Yes</w:t>
            </w:r>
            <w:r w:rsidR="00580590">
              <w:t xml:space="preserve"> </w:t>
            </w:r>
            <w:r w:rsidRPr="00D457D0">
              <w:t>___ No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CAB" w14:textId="49D95AD5" w:rsidR="00386EAC" w:rsidRPr="00D457D0" w:rsidRDefault="00386EAC" w:rsidP="00386EAC">
            <w:r w:rsidRPr="00D457D0">
              <w:t xml:space="preserve">Syllabi </w:t>
            </w:r>
            <w:r w:rsidR="00765940" w:rsidRPr="00D457D0">
              <w:t>are</w:t>
            </w:r>
            <w:r w:rsidRPr="00D457D0">
              <w:t xml:space="preserve"> consistent with university standards.</w:t>
            </w:r>
          </w:p>
        </w:tc>
      </w:tr>
      <w:tr w:rsidR="00386EAC" w:rsidRPr="00D457D0" w14:paraId="6BE4389C" w14:textId="77777777" w:rsidTr="00580590">
        <w:trPr>
          <w:trHeight w:val="41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657" w14:textId="53491604" w:rsidR="00386EAC" w:rsidRPr="00D457D0" w:rsidRDefault="009A0EF8" w:rsidP="00580590">
            <w:r w:rsidRPr="00D457D0">
              <w:t>___Yes</w:t>
            </w:r>
            <w:r w:rsidR="00580590">
              <w:t xml:space="preserve"> </w:t>
            </w:r>
            <w:r w:rsidRPr="00D457D0">
              <w:t>___ No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ED3" w14:textId="1A1B0914" w:rsidR="00386EAC" w:rsidRPr="00D457D0" w:rsidRDefault="00386EAC" w:rsidP="00386EAC">
            <w:r w:rsidRPr="00D457D0">
              <w:t>Undergraduate syllabi are uploaded to the HB2504 website.</w:t>
            </w:r>
          </w:p>
        </w:tc>
      </w:tr>
      <w:tr w:rsidR="00386EAC" w:rsidRPr="00D457D0" w14:paraId="25C97899" w14:textId="77777777" w:rsidTr="00580590">
        <w:trPr>
          <w:trHeight w:val="41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F36" w14:textId="3085093D" w:rsidR="00386EAC" w:rsidRPr="00D457D0" w:rsidRDefault="009A0EF8" w:rsidP="00580590">
            <w:r w:rsidRPr="00D457D0">
              <w:t>___Yes</w:t>
            </w:r>
            <w:r w:rsidR="00580590">
              <w:t xml:space="preserve"> </w:t>
            </w:r>
            <w:r w:rsidRPr="00D457D0">
              <w:t>___ No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833" w14:textId="60349C58" w:rsidR="00793092" w:rsidRPr="00D457D0" w:rsidRDefault="00386EAC" w:rsidP="00386EAC">
            <w:r w:rsidRPr="00D457D0">
              <w:t xml:space="preserve">Mean ratings on student evaluations </w:t>
            </w:r>
            <w:r w:rsidR="00765940" w:rsidRPr="00D457D0">
              <w:t>were</w:t>
            </w:r>
            <w:r w:rsidRPr="00D457D0">
              <w:t xml:space="preserve"> above 4.00</w:t>
            </w:r>
            <w:r w:rsidR="00793092" w:rsidRPr="00D457D0">
              <w:t xml:space="preserve">. </w:t>
            </w:r>
          </w:p>
          <w:p w14:paraId="57BA6BE1" w14:textId="164C1129" w:rsidR="00386EAC" w:rsidRPr="00D457D0" w:rsidRDefault="00793092" w:rsidP="00386EAC">
            <w:r w:rsidRPr="00D457D0">
              <w:t>(If evaluations fall below 4.0, please provide explanation).</w:t>
            </w:r>
          </w:p>
        </w:tc>
      </w:tr>
      <w:tr w:rsidR="007B1DED" w:rsidRPr="00D457D0" w14:paraId="4D588A76" w14:textId="77777777" w:rsidTr="009A0EF8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290855A" w14:textId="77777777" w:rsidR="007B1DED" w:rsidRPr="00580590" w:rsidRDefault="007B1DED" w:rsidP="00386EAC">
            <w:pPr>
              <w:rPr>
                <w:sz w:val="10"/>
                <w:szCs w:val="10"/>
              </w:rPr>
            </w:pPr>
          </w:p>
        </w:tc>
      </w:tr>
      <w:tr w:rsidR="007B1DED" w:rsidRPr="00D457D0" w14:paraId="37B39755" w14:textId="77777777" w:rsidTr="00564B5B">
        <w:tc>
          <w:tcPr>
            <w:tcW w:w="9350" w:type="dxa"/>
            <w:gridSpan w:val="2"/>
          </w:tcPr>
          <w:p w14:paraId="34AACCB7" w14:textId="79F926D8" w:rsidR="00E53AD2" w:rsidRPr="00D457D0" w:rsidRDefault="007B1DED" w:rsidP="00386EAC">
            <w:r w:rsidRPr="00D457D0">
              <w:rPr>
                <w:b/>
              </w:rPr>
              <w:t>Evidence of Texas State University student mentoring</w:t>
            </w:r>
            <w:r w:rsidRPr="00D457D0">
              <w:t xml:space="preserve"> </w:t>
            </w:r>
            <w:r w:rsidR="00355ED4" w:rsidRPr="00355ED4">
              <w:rPr>
                <w:b/>
                <w:bCs/>
              </w:rPr>
              <w:t>and support of MAPR program</w:t>
            </w:r>
          </w:p>
          <w:p w14:paraId="15E2C531" w14:textId="4D1E3687" w:rsidR="007B1DED" w:rsidRPr="00D457D0" w:rsidRDefault="007B1DED" w:rsidP="00386EAC">
            <w:r w:rsidRPr="00D457D0">
              <w:t>(Required for Tenure-Track/Tenured</w:t>
            </w:r>
            <w:r w:rsidR="00CF77E3" w:rsidRPr="00D457D0">
              <w:t>; Optional for all other faculty</w:t>
            </w:r>
            <w:r w:rsidRPr="00D457D0">
              <w:t>)</w:t>
            </w:r>
          </w:p>
        </w:tc>
      </w:tr>
      <w:tr w:rsidR="007B1DED" w:rsidRPr="00D457D0" w14:paraId="36EFFAD4" w14:textId="77777777" w:rsidTr="001A6E8F">
        <w:trPr>
          <w:trHeight w:val="773"/>
        </w:trPr>
        <w:tc>
          <w:tcPr>
            <w:tcW w:w="9350" w:type="dxa"/>
            <w:gridSpan w:val="2"/>
          </w:tcPr>
          <w:p w14:paraId="32E26306" w14:textId="77777777" w:rsidR="007B1DED" w:rsidRDefault="007B1DED" w:rsidP="00386EAC"/>
          <w:p w14:paraId="6E2F234E" w14:textId="77777777" w:rsidR="00580590" w:rsidRDefault="00580590" w:rsidP="00386EAC"/>
          <w:p w14:paraId="0666F519" w14:textId="77777777" w:rsidR="00580590" w:rsidRDefault="00580590" w:rsidP="00386EAC"/>
          <w:p w14:paraId="36689EFE" w14:textId="77777777" w:rsidR="00580590" w:rsidRDefault="00580590" w:rsidP="00386EAC"/>
          <w:p w14:paraId="6013B15B" w14:textId="77777777" w:rsidR="00580590" w:rsidRDefault="00580590" w:rsidP="00386EAC"/>
          <w:p w14:paraId="6B985FDE" w14:textId="77777777" w:rsidR="00580590" w:rsidRDefault="00580590" w:rsidP="00386EAC"/>
          <w:p w14:paraId="333B838C" w14:textId="77777777" w:rsidR="00580590" w:rsidRDefault="00580590" w:rsidP="00386EAC"/>
          <w:p w14:paraId="7ED11A6E" w14:textId="4FA2CA66" w:rsidR="00580590" w:rsidRPr="00D457D0" w:rsidRDefault="00580590" w:rsidP="00386EAC"/>
        </w:tc>
      </w:tr>
      <w:tr w:rsidR="007B1DED" w:rsidRPr="00D457D0" w14:paraId="3D83F511" w14:textId="77777777" w:rsidTr="00580590">
        <w:trPr>
          <w:trHeight w:val="116"/>
        </w:trPr>
        <w:tc>
          <w:tcPr>
            <w:tcW w:w="9350" w:type="dxa"/>
            <w:gridSpan w:val="2"/>
            <w:shd w:val="clear" w:color="auto" w:fill="D5DCE4" w:themeFill="text2" w:themeFillTint="33"/>
          </w:tcPr>
          <w:p w14:paraId="784D0349" w14:textId="77777777" w:rsidR="007B1DED" w:rsidRPr="00580590" w:rsidRDefault="007B1DED" w:rsidP="00386EAC">
            <w:pPr>
              <w:rPr>
                <w:sz w:val="10"/>
                <w:szCs w:val="10"/>
              </w:rPr>
            </w:pPr>
          </w:p>
        </w:tc>
      </w:tr>
      <w:tr w:rsidR="007B1DED" w:rsidRPr="00D457D0" w14:paraId="782D9204" w14:textId="77777777" w:rsidTr="007B1DED">
        <w:trPr>
          <w:trHeight w:val="323"/>
        </w:trPr>
        <w:tc>
          <w:tcPr>
            <w:tcW w:w="9350" w:type="dxa"/>
            <w:gridSpan w:val="2"/>
          </w:tcPr>
          <w:p w14:paraId="14DCDD96" w14:textId="61B47631" w:rsidR="007B1DED" w:rsidRPr="00D457D0" w:rsidRDefault="003B42FF" w:rsidP="00386EAC">
            <w:pPr>
              <w:rPr>
                <w:b/>
              </w:rPr>
            </w:pPr>
            <w:r>
              <w:rPr>
                <w:b/>
              </w:rPr>
              <w:t>Comments for the FRC</w:t>
            </w:r>
            <w:r w:rsidR="00FB6F37" w:rsidRPr="00D457D0">
              <w:rPr>
                <w:b/>
              </w:rPr>
              <w:t xml:space="preserve"> about Teaching </w:t>
            </w:r>
          </w:p>
        </w:tc>
      </w:tr>
      <w:tr w:rsidR="007B1DED" w:rsidRPr="00D457D0" w14:paraId="5FC5AD4E" w14:textId="77777777" w:rsidTr="00726B40">
        <w:trPr>
          <w:trHeight w:val="503"/>
        </w:trPr>
        <w:tc>
          <w:tcPr>
            <w:tcW w:w="9350" w:type="dxa"/>
            <w:gridSpan w:val="2"/>
          </w:tcPr>
          <w:p w14:paraId="7A88D0DF" w14:textId="77777777" w:rsidR="007B1DED" w:rsidRPr="00D457D0" w:rsidRDefault="007B1DED" w:rsidP="00386EAC"/>
          <w:p w14:paraId="5BD4AE00" w14:textId="77777777" w:rsidR="007B1DED" w:rsidRPr="00D457D0" w:rsidRDefault="007B1DED" w:rsidP="00386EAC"/>
          <w:p w14:paraId="346347C9" w14:textId="0D60F647" w:rsidR="007B1DED" w:rsidRPr="00D457D0" w:rsidRDefault="007B1DED" w:rsidP="00386EAC"/>
        </w:tc>
      </w:tr>
      <w:tr w:rsidR="00726B40" w:rsidRPr="00D457D0" w14:paraId="15897A8B" w14:textId="77777777" w:rsidTr="00580590">
        <w:trPr>
          <w:trHeight w:val="98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14:paraId="4A3605CE" w14:textId="77777777" w:rsidR="00726B40" w:rsidRPr="00580590" w:rsidRDefault="00726B40" w:rsidP="003329BC">
            <w:pPr>
              <w:rPr>
                <w:sz w:val="10"/>
                <w:szCs w:val="10"/>
              </w:rPr>
            </w:pPr>
          </w:p>
        </w:tc>
      </w:tr>
      <w:tr w:rsidR="00726B40" w:rsidRPr="00D457D0" w14:paraId="2EB0AB11" w14:textId="77777777" w:rsidTr="00580590">
        <w:trPr>
          <w:trHeight w:val="417"/>
        </w:trPr>
        <w:tc>
          <w:tcPr>
            <w:tcW w:w="1885" w:type="dxa"/>
          </w:tcPr>
          <w:p w14:paraId="266D42F7" w14:textId="3D24C52E" w:rsidR="00726B40" w:rsidRPr="00D457D0" w:rsidRDefault="00726B40" w:rsidP="00726B40">
            <w:r w:rsidRPr="00D457D0">
              <w:t>___Yes</w:t>
            </w:r>
            <w:r w:rsidR="00580590">
              <w:t xml:space="preserve"> </w:t>
            </w:r>
            <w:r w:rsidRPr="00D457D0">
              <w:t>___ No</w:t>
            </w:r>
          </w:p>
          <w:p w14:paraId="30CBCB05" w14:textId="77777777" w:rsidR="00726B40" w:rsidRPr="00D457D0" w:rsidRDefault="00726B40" w:rsidP="00793092"/>
        </w:tc>
        <w:tc>
          <w:tcPr>
            <w:tcW w:w="7465" w:type="dxa"/>
          </w:tcPr>
          <w:p w14:paraId="15385F67" w14:textId="7D10CC54" w:rsidR="00726B40" w:rsidRPr="00D457D0" w:rsidRDefault="00726B40" w:rsidP="003329BC">
            <w:r w:rsidRPr="00D457D0">
              <w:t>FRC- Indicate if faculty member met expectations in Teaching</w:t>
            </w:r>
          </w:p>
        </w:tc>
      </w:tr>
    </w:tbl>
    <w:p w14:paraId="5A93545E" w14:textId="77777777" w:rsidR="00793092" w:rsidRPr="00D457D0" w:rsidRDefault="00793092" w:rsidP="002D2FB6">
      <w:pPr>
        <w:rPr>
          <w:b/>
        </w:rPr>
      </w:pPr>
    </w:p>
    <w:p w14:paraId="13D4123F" w14:textId="77777777" w:rsidR="003B42FF" w:rsidRDefault="003B42FF">
      <w:pPr>
        <w:rPr>
          <w:b/>
        </w:rPr>
      </w:pPr>
      <w:r>
        <w:rPr>
          <w:b/>
        </w:rPr>
        <w:br w:type="page"/>
      </w:r>
    </w:p>
    <w:p w14:paraId="3634871E" w14:textId="7D21C6C9" w:rsidR="002D2FB6" w:rsidRPr="00D457D0" w:rsidRDefault="002D2FB6" w:rsidP="002D2FB6">
      <w:pPr>
        <w:rPr>
          <w:b/>
        </w:rPr>
      </w:pPr>
      <w:r w:rsidRPr="00D457D0">
        <w:rPr>
          <w:b/>
        </w:rPr>
        <w:lastRenderedPageBreak/>
        <w:t>Research and Scholarly Activity Expectations</w:t>
      </w:r>
    </w:p>
    <w:p w14:paraId="2A70C119" w14:textId="0D76BE25" w:rsidR="0080043F" w:rsidRPr="00D457D0" w:rsidRDefault="002D2FB6" w:rsidP="002D2FB6">
      <w:r w:rsidRPr="00D457D0">
        <w:t xml:space="preserve">To meet expectations in research and scholarship, </w:t>
      </w:r>
      <w:r w:rsidR="00F41812" w:rsidRPr="00D457D0">
        <w:t>clinical</w:t>
      </w:r>
      <w:r w:rsidR="00C10216" w:rsidRPr="00D457D0">
        <w:t xml:space="preserve"> faculty </w:t>
      </w:r>
      <w:r w:rsidR="001F0B17">
        <w:t>will provide scholarly and professional engagement that enhances knowledge and skills in clinical practice;</w:t>
      </w:r>
      <w:r w:rsidR="00F41812" w:rsidRPr="00D457D0">
        <w:t xml:space="preserve"> </w:t>
      </w:r>
      <w:r w:rsidRPr="00D457D0">
        <w:t xml:space="preserve">tenure-track and tenured faculty will </w:t>
      </w:r>
      <w:r w:rsidR="00FB6F37" w:rsidRPr="00D457D0">
        <w:t>maintain an active and consistently productive research program at Texas State.</w:t>
      </w:r>
      <w:r w:rsidRPr="00D457D0">
        <w:t xml:space="preserve"> </w:t>
      </w:r>
      <w:r w:rsidR="0080043F" w:rsidRPr="00D457D0">
        <w:t>Lecturers and Senior Lecturers are not evaluated on research and scholarly activity, but are encouraged to include any relevant activities in this document.</w:t>
      </w:r>
    </w:p>
    <w:p w14:paraId="60E70E6E" w14:textId="66962E07" w:rsidR="00832D1F" w:rsidRPr="00D457D0" w:rsidRDefault="002D2FB6" w:rsidP="002D2FB6">
      <w:r w:rsidRPr="00D457D0">
        <w:t xml:space="preserve"> 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245"/>
        <w:gridCol w:w="7160"/>
      </w:tblGrid>
      <w:tr w:rsidR="00832D1F" w:rsidRPr="00D457D0" w14:paraId="3DE0DB31" w14:textId="77777777" w:rsidTr="002E4E62">
        <w:trPr>
          <w:trHeight w:val="414"/>
        </w:trPr>
        <w:tc>
          <w:tcPr>
            <w:tcW w:w="9405" w:type="dxa"/>
            <w:gridSpan w:val="2"/>
            <w:shd w:val="clear" w:color="auto" w:fill="D5DCE4" w:themeFill="text2" w:themeFillTint="33"/>
          </w:tcPr>
          <w:p w14:paraId="0F30A014" w14:textId="77777777" w:rsidR="00832D1F" w:rsidRPr="00D457D0" w:rsidRDefault="00832D1F" w:rsidP="00832D1F">
            <w:pPr>
              <w:jc w:val="center"/>
              <w:rPr>
                <w:b/>
              </w:rPr>
            </w:pPr>
            <w:r w:rsidRPr="00D457D0">
              <w:rPr>
                <w:b/>
              </w:rPr>
              <w:t>Research and Scholarly Activities</w:t>
            </w:r>
          </w:p>
          <w:p w14:paraId="709276B4" w14:textId="77777777" w:rsidR="00832D1F" w:rsidRPr="00D457D0" w:rsidRDefault="00832D1F" w:rsidP="003329BC">
            <w:pPr>
              <w:rPr>
                <w:b/>
              </w:rPr>
            </w:pPr>
          </w:p>
        </w:tc>
      </w:tr>
      <w:tr w:rsidR="00832D1F" w:rsidRPr="00D457D0" w14:paraId="6A27C5D6" w14:textId="77777777" w:rsidTr="002E4E62">
        <w:trPr>
          <w:trHeight w:val="212"/>
        </w:trPr>
        <w:tc>
          <w:tcPr>
            <w:tcW w:w="9405" w:type="dxa"/>
            <w:gridSpan w:val="2"/>
            <w:shd w:val="clear" w:color="auto" w:fill="auto"/>
          </w:tcPr>
          <w:p w14:paraId="7645ADC1" w14:textId="1F69448B" w:rsidR="0080043F" w:rsidRPr="00D457D0" w:rsidRDefault="00832D1F" w:rsidP="003329BC">
            <w:r w:rsidRPr="00D457D0">
              <w:rPr>
                <w:b/>
              </w:rPr>
              <w:t>All Tenure-Track, Tenured, and Clinical Faculty</w:t>
            </w:r>
            <w:r w:rsidRPr="00D457D0">
              <w:t xml:space="preserve"> (check)</w:t>
            </w:r>
          </w:p>
        </w:tc>
      </w:tr>
      <w:tr w:rsidR="00832D1F" w:rsidRPr="00D457D0" w14:paraId="5C816362" w14:textId="77777777" w:rsidTr="00580590">
        <w:trPr>
          <w:trHeight w:val="647"/>
        </w:trPr>
        <w:tc>
          <w:tcPr>
            <w:tcW w:w="2245" w:type="dxa"/>
          </w:tcPr>
          <w:p w14:paraId="2FD36BEF" w14:textId="19B647DC" w:rsidR="00832D1F" w:rsidRPr="00D457D0" w:rsidRDefault="009A0EF8" w:rsidP="00580590">
            <w:r w:rsidRPr="00D457D0">
              <w:t>___Yes</w:t>
            </w:r>
            <w:r w:rsidR="00580590">
              <w:t xml:space="preserve"> </w:t>
            </w:r>
            <w:r w:rsidRPr="00D457D0">
              <w:t>___ No</w:t>
            </w:r>
          </w:p>
        </w:tc>
        <w:tc>
          <w:tcPr>
            <w:tcW w:w="7160" w:type="dxa"/>
          </w:tcPr>
          <w:p w14:paraId="12DDA558" w14:textId="317BFB8C" w:rsidR="00832D1F" w:rsidRPr="00D457D0" w:rsidRDefault="002E4E62" w:rsidP="003329BC">
            <w:r w:rsidRPr="00D457D0">
              <w:t>Research and Scholarly Activities relative to faculty member’s research program were conducted.</w:t>
            </w:r>
          </w:p>
        </w:tc>
      </w:tr>
      <w:tr w:rsidR="00832D1F" w:rsidRPr="00D457D0" w14:paraId="4B936986" w14:textId="77777777" w:rsidTr="009A0EF8">
        <w:trPr>
          <w:trHeight w:val="71"/>
        </w:trPr>
        <w:tc>
          <w:tcPr>
            <w:tcW w:w="9405" w:type="dxa"/>
            <w:gridSpan w:val="2"/>
            <w:shd w:val="clear" w:color="auto" w:fill="D5DCE4" w:themeFill="text2" w:themeFillTint="33"/>
          </w:tcPr>
          <w:p w14:paraId="20A0957C" w14:textId="77777777" w:rsidR="00832D1F" w:rsidRPr="009A0EF8" w:rsidRDefault="00832D1F" w:rsidP="00832D1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32D1F" w:rsidRPr="00D457D0" w14:paraId="5A745515" w14:textId="77777777" w:rsidTr="00832D1F">
        <w:trPr>
          <w:trHeight w:val="292"/>
        </w:trPr>
        <w:tc>
          <w:tcPr>
            <w:tcW w:w="9405" w:type="dxa"/>
            <w:gridSpan w:val="2"/>
          </w:tcPr>
          <w:p w14:paraId="689BE9F5" w14:textId="51B5DD60" w:rsidR="00832D1F" w:rsidRPr="00D457D0" w:rsidRDefault="00832D1F" w:rsidP="003329BC">
            <w:pPr>
              <w:rPr>
                <w:b/>
              </w:rPr>
            </w:pPr>
            <w:r w:rsidRPr="00D457D0">
              <w:rPr>
                <w:b/>
              </w:rPr>
              <w:t xml:space="preserve">List all activities initiated or completed related to </w:t>
            </w:r>
            <w:r w:rsidR="00671D39">
              <w:rPr>
                <w:b/>
              </w:rPr>
              <w:t>Research</w:t>
            </w:r>
            <w:r w:rsidRPr="00D457D0">
              <w:rPr>
                <w:b/>
              </w:rPr>
              <w:t xml:space="preserve"> Program</w:t>
            </w:r>
            <w:r w:rsidR="00671D39">
              <w:rPr>
                <w:b/>
              </w:rPr>
              <w:t>/Scholarly Activities</w:t>
            </w:r>
            <w:r w:rsidRPr="00D457D0">
              <w:rPr>
                <w:b/>
              </w:rPr>
              <w:t xml:space="preserve">: </w:t>
            </w:r>
          </w:p>
          <w:p w14:paraId="362086F7" w14:textId="1F27D7D7" w:rsidR="00832D1F" w:rsidRDefault="001F0B17" w:rsidP="003329BC">
            <w:pPr>
              <w:rPr>
                <w:bCs/>
              </w:rPr>
            </w:pPr>
            <w:r w:rsidRPr="001F0B17">
              <w:rPr>
                <w:bCs/>
              </w:rPr>
              <w:t xml:space="preserve">Tenure-Track/Tenured: </w:t>
            </w:r>
            <w:r w:rsidR="00C34B56">
              <w:rPr>
                <w:bCs/>
              </w:rPr>
              <w:t>C</w:t>
            </w:r>
            <w:r w:rsidR="00832D1F" w:rsidRPr="001F0B17">
              <w:rPr>
                <w:bCs/>
              </w:rPr>
              <w:t xml:space="preserve">onducting </w:t>
            </w:r>
            <w:r w:rsidR="00C34B56">
              <w:rPr>
                <w:bCs/>
              </w:rPr>
              <w:t>and</w:t>
            </w:r>
            <w:r w:rsidR="00832D1F" w:rsidRPr="001F0B17">
              <w:rPr>
                <w:bCs/>
              </w:rPr>
              <w:t xml:space="preserve"> </w:t>
            </w:r>
            <w:r>
              <w:rPr>
                <w:bCs/>
              </w:rPr>
              <w:t>d</w:t>
            </w:r>
            <w:r w:rsidR="00832D1F" w:rsidRPr="001F0B17">
              <w:rPr>
                <w:bCs/>
              </w:rPr>
              <w:t xml:space="preserve">issemination of </w:t>
            </w:r>
            <w:r>
              <w:rPr>
                <w:bCs/>
              </w:rPr>
              <w:t>r</w:t>
            </w:r>
            <w:r w:rsidR="00832D1F" w:rsidRPr="001F0B17">
              <w:rPr>
                <w:bCs/>
              </w:rPr>
              <w:t xml:space="preserve">esearch, and </w:t>
            </w:r>
            <w:r>
              <w:rPr>
                <w:bCs/>
              </w:rPr>
              <w:t>f</w:t>
            </w:r>
            <w:r w:rsidR="00832D1F" w:rsidRPr="001F0B17">
              <w:rPr>
                <w:bCs/>
              </w:rPr>
              <w:t xml:space="preserve">unding </w:t>
            </w:r>
            <w:r>
              <w:rPr>
                <w:bCs/>
              </w:rPr>
              <w:t>s</w:t>
            </w:r>
            <w:r w:rsidR="00832D1F" w:rsidRPr="001F0B17">
              <w:rPr>
                <w:bCs/>
              </w:rPr>
              <w:t xml:space="preserve">ubmissions </w:t>
            </w:r>
          </w:p>
          <w:p w14:paraId="71440B59" w14:textId="0F511902" w:rsidR="001F0B17" w:rsidRPr="001F0B17" w:rsidRDefault="001F0B17" w:rsidP="003329BC">
            <w:pPr>
              <w:rPr>
                <w:bCs/>
              </w:rPr>
            </w:pPr>
            <w:r>
              <w:rPr>
                <w:bCs/>
              </w:rPr>
              <w:t>Clinical Faculty: Relevant reports, presentations, publications</w:t>
            </w:r>
          </w:p>
        </w:tc>
      </w:tr>
      <w:tr w:rsidR="00832D1F" w:rsidRPr="00D457D0" w14:paraId="71C4AA9C" w14:textId="77777777" w:rsidTr="00832D1F">
        <w:trPr>
          <w:trHeight w:val="701"/>
        </w:trPr>
        <w:tc>
          <w:tcPr>
            <w:tcW w:w="9405" w:type="dxa"/>
            <w:gridSpan w:val="2"/>
          </w:tcPr>
          <w:p w14:paraId="151EB449" w14:textId="77777777" w:rsidR="00832D1F" w:rsidRPr="00D457D0" w:rsidRDefault="00832D1F" w:rsidP="003329BC">
            <w:pPr>
              <w:rPr>
                <w:b/>
              </w:rPr>
            </w:pPr>
          </w:p>
          <w:p w14:paraId="0430AE53" w14:textId="77777777" w:rsidR="00832D1F" w:rsidRPr="00D457D0" w:rsidRDefault="00832D1F" w:rsidP="003329BC">
            <w:pPr>
              <w:rPr>
                <w:b/>
              </w:rPr>
            </w:pPr>
          </w:p>
          <w:p w14:paraId="3CAE3593" w14:textId="77777777" w:rsidR="00832D1F" w:rsidRPr="00D457D0" w:rsidRDefault="00832D1F" w:rsidP="003329BC">
            <w:pPr>
              <w:rPr>
                <w:b/>
              </w:rPr>
            </w:pPr>
          </w:p>
          <w:p w14:paraId="6D7E5F52" w14:textId="77777777" w:rsidR="00832D1F" w:rsidRPr="00D457D0" w:rsidRDefault="00832D1F" w:rsidP="003329BC">
            <w:pPr>
              <w:rPr>
                <w:b/>
              </w:rPr>
            </w:pPr>
          </w:p>
          <w:p w14:paraId="54AECD55" w14:textId="77777777" w:rsidR="00832D1F" w:rsidRPr="00D457D0" w:rsidRDefault="00832D1F" w:rsidP="003329BC">
            <w:pPr>
              <w:rPr>
                <w:b/>
              </w:rPr>
            </w:pPr>
          </w:p>
          <w:p w14:paraId="54AA4D30" w14:textId="77777777" w:rsidR="00832D1F" w:rsidRPr="00D457D0" w:rsidRDefault="00832D1F" w:rsidP="003329BC">
            <w:pPr>
              <w:rPr>
                <w:b/>
              </w:rPr>
            </w:pPr>
          </w:p>
          <w:p w14:paraId="11E1915B" w14:textId="77777777" w:rsidR="00832D1F" w:rsidRPr="00D457D0" w:rsidRDefault="00832D1F" w:rsidP="003329BC">
            <w:pPr>
              <w:rPr>
                <w:b/>
              </w:rPr>
            </w:pPr>
          </w:p>
          <w:p w14:paraId="20BAAC9F" w14:textId="77777777" w:rsidR="00832D1F" w:rsidRPr="00D457D0" w:rsidRDefault="00832D1F" w:rsidP="003329BC">
            <w:pPr>
              <w:rPr>
                <w:b/>
              </w:rPr>
            </w:pPr>
          </w:p>
          <w:p w14:paraId="7252E914" w14:textId="1592184B" w:rsidR="00832D1F" w:rsidRPr="00D457D0" w:rsidRDefault="00832D1F" w:rsidP="003329BC">
            <w:pPr>
              <w:rPr>
                <w:b/>
              </w:rPr>
            </w:pPr>
          </w:p>
        </w:tc>
      </w:tr>
      <w:tr w:rsidR="00832D1F" w:rsidRPr="00D457D0" w14:paraId="5B4ED138" w14:textId="77777777" w:rsidTr="009A0EF8">
        <w:trPr>
          <w:trHeight w:val="116"/>
        </w:trPr>
        <w:tc>
          <w:tcPr>
            <w:tcW w:w="9405" w:type="dxa"/>
            <w:gridSpan w:val="2"/>
            <w:shd w:val="clear" w:color="auto" w:fill="D5DCE4" w:themeFill="text2" w:themeFillTint="33"/>
          </w:tcPr>
          <w:p w14:paraId="07441E66" w14:textId="77777777" w:rsidR="00832D1F" w:rsidRPr="009A0EF8" w:rsidRDefault="00832D1F" w:rsidP="003329BC">
            <w:pPr>
              <w:rPr>
                <w:sz w:val="10"/>
                <w:szCs w:val="10"/>
              </w:rPr>
            </w:pPr>
          </w:p>
        </w:tc>
      </w:tr>
      <w:tr w:rsidR="00832D1F" w:rsidRPr="00D457D0" w14:paraId="6DF144E9" w14:textId="77777777" w:rsidTr="00832D1F">
        <w:trPr>
          <w:trHeight w:val="244"/>
        </w:trPr>
        <w:tc>
          <w:tcPr>
            <w:tcW w:w="9405" w:type="dxa"/>
            <w:gridSpan w:val="2"/>
          </w:tcPr>
          <w:p w14:paraId="79BD4AF3" w14:textId="1685661B" w:rsidR="00832D1F" w:rsidRPr="00D457D0" w:rsidRDefault="003B42FF" w:rsidP="003329BC">
            <w:pPr>
              <w:rPr>
                <w:b/>
              </w:rPr>
            </w:pPr>
            <w:r>
              <w:rPr>
                <w:b/>
              </w:rPr>
              <w:t>Comments for the FRC</w:t>
            </w:r>
            <w:r w:rsidR="00832D1F" w:rsidRPr="00D457D0">
              <w:rPr>
                <w:b/>
              </w:rPr>
              <w:t xml:space="preserve"> about Research and Scholarship</w:t>
            </w:r>
          </w:p>
        </w:tc>
      </w:tr>
      <w:tr w:rsidR="00832D1F" w:rsidRPr="00D457D0" w14:paraId="00F4813E" w14:textId="77777777" w:rsidTr="00832D1F">
        <w:trPr>
          <w:trHeight w:val="462"/>
        </w:trPr>
        <w:tc>
          <w:tcPr>
            <w:tcW w:w="9405" w:type="dxa"/>
            <w:gridSpan w:val="2"/>
          </w:tcPr>
          <w:p w14:paraId="5BED8991" w14:textId="77777777" w:rsidR="00832D1F" w:rsidRPr="00D457D0" w:rsidRDefault="00832D1F" w:rsidP="003329BC"/>
          <w:p w14:paraId="10B9B045" w14:textId="77777777" w:rsidR="00832D1F" w:rsidRPr="00D457D0" w:rsidRDefault="00832D1F" w:rsidP="003329BC"/>
          <w:p w14:paraId="1BA41634" w14:textId="77777777" w:rsidR="00832D1F" w:rsidRPr="00D457D0" w:rsidRDefault="00832D1F" w:rsidP="003329BC"/>
        </w:tc>
      </w:tr>
      <w:tr w:rsidR="00832D1F" w:rsidRPr="00D457D0" w14:paraId="66BA6E66" w14:textId="77777777" w:rsidTr="00832D1F">
        <w:trPr>
          <w:trHeight w:val="94"/>
        </w:trPr>
        <w:tc>
          <w:tcPr>
            <w:tcW w:w="9405" w:type="dxa"/>
            <w:gridSpan w:val="2"/>
            <w:shd w:val="clear" w:color="auto" w:fill="8496B0" w:themeFill="text2" w:themeFillTint="99"/>
          </w:tcPr>
          <w:p w14:paraId="674F4296" w14:textId="77777777" w:rsidR="00832D1F" w:rsidRPr="009A0EF8" w:rsidRDefault="00832D1F" w:rsidP="003329BC">
            <w:pPr>
              <w:rPr>
                <w:sz w:val="10"/>
                <w:szCs w:val="10"/>
              </w:rPr>
            </w:pPr>
          </w:p>
        </w:tc>
      </w:tr>
      <w:tr w:rsidR="00832D1F" w:rsidRPr="00D457D0" w14:paraId="271AD8A8" w14:textId="77777777" w:rsidTr="00580590">
        <w:trPr>
          <w:trHeight w:val="721"/>
        </w:trPr>
        <w:tc>
          <w:tcPr>
            <w:tcW w:w="2245" w:type="dxa"/>
          </w:tcPr>
          <w:p w14:paraId="00B60972" w14:textId="13BC5078" w:rsidR="00832D1F" w:rsidRDefault="00832D1F" w:rsidP="00580590">
            <w:r w:rsidRPr="00D457D0">
              <w:t>__Yes</w:t>
            </w:r>
            <w:r w:rsidR="00580590">
              <w:t xml:space="preserve"> </w:t>
            </w:r>
            <w:r w:rsidRPr="00D457D0">
              <w:t>__No</w:t>
            </w:r>
            <w:r w:rsidR="00580590">
              <w:t xml:space="preserve"> _</w:t>
            </w:r>
            <w:r w:rsidRPr="00D457D0">
              <w:t>_ N/A</w:t>
            </w:r>
          </w:p>
          <w:p w14:paraId="74A8420B" w14:textId="5F9F636C" w:rsidR="00580590" w:rsidRPr="00D457D0" w:rsidRDefault="00580590" w:rsidP="00580590"/>
        </w:tc>
        <w:tc>
          <w:tcPr>
            <w:tcW w:w="7160" w:type="dxa"/>
          </w:tcPr>
          <w:p w14:paraId="75FA8706" w14:textId="1CB2293C" w:rsidR="00832D1F" w:rsidRPr="00D457D0" w:rsidRDefault="00832D1F" w:rsidP="003329BC">
            <w:r w:rsidRPr="00D457D0">
              <w:t>FRC- Indicate if faculty member met expectations in Research/Scholarly Activity.</w:t>
            </w:r>
          </w:p>
        </w:tc>
      </w:tr>
    </w:tbl>
    <w:p w14:paraId="6EE89D38" w14:textId="77777777" w:rsidR="003B42FF" w:rsidRDefault="003B42FF">
      <w:pPr>
        <w:rPr>
          <w:b/>
        </w:rPr>
      </w:pPr>
      <w:r>
        <w:rPr>
          <w:b/>
        </w:rPr>
        <w:br w:type="page"/>
      </w:r>
    </w:p>
    <w:p w14:paraId="26C20EA6" w14:textId="63271F4C" w:rsidR="005C2345" w:rsidRPr="00D457D0" w:rsidRDefault="005C2345" w:rsidP="005C2345">
      <w:pPr>
        <w:rPr>
          <w:b/>
        </w:rPr>
      </w:pPr>
      <w:r w:rsidRPr="00D457D0">
        <w:rPr>
          <w:b/>
        </w:rPr>
        <w:lastRenderedPageBreak/>
        <w:t>Service Expectations</w:t>
      </w:r>
    </w:p>
    <w:p w14:paraId="7DB8C13B" w14:textId="5E8C5DA5" w:rsidR="005C2345" w:rsidRPr="00D457D0" w:rsidRDefault="005C2345" w:rsidP="005C2345">
      <w:r w:rsidRPr="00D457D0">
        <w:t xml:space="preserve">To meet expectations in service, all faculty will demonstrate commitment to service within the department, college, and university. Where applicable, faculty will also </w:t>
      </w:r>
      <w:r w:rsidR="0080043F" w:rsidRPr="00D457D0">
        <w:t xml:space="preserve">be active in </w:t>
      </w:r>
      <w:r w:rsidRPr="00D457D0">
        <w:t xml:space="preserve">professional and community service related to their profession. </w:t>
      </w:r>
    </w:p>
    <w:p w14:paraId="297EAB72" w14:textId="77777777" w:rsidR="005C2345" w:rsidRPr="00D457D0" w:rsidRDefault="005C2345" w:rsidP="005C2345">
      <w:r w:rsidRPr="00D457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C2345" w:rsidRPr="00D457D0" w14:paraId="1598045E" w14:textId="77777777" w:rsidTr="003329BC">
        <w:tc>
          <w:tcPr>
            <w:tcW w:w="9350" w:type="dxa"/>
            <w:gridSpan w:val="2"/>
            <w:shd w:val="clear" w:color="auto" w:fill="D5DCE4" w:themeFill="text2" w:themeFillTint="33"/>
          </w:tcPr>
          <w:p w14:paraId="7B83F8BF" w14:textId="70EBD2AD" w:rsidR="005C2345" w:rsidRPr="00D457D0" w:rsidRDefault="008C550C" w:rsidP="003329BC">
            <w:pPr>
              <w:jc w:val="center"/>
              <w:rPr>
                <w:b/>
              </w:rPr>
            </w:pPr>
            <w:r w:rsidRPr="00D457D0">
              <w:rPr>
                <w:b/>
              </w:rPr>
              <w:t xml:space="preserve">Service </w:t>
            </w:r>
            <w:r w:rsidR="005C2345" w:rsidRPr="00D457D0">
              <w:rPr>
                <w:b/>
              </w:rPr>
              <w:t>Activities</w:t>
            </w:r>
          </w:p>
          <w:p w14:paraId="10EAAA68" w14:textId="77777777" w:rsidR="005C2345" w:rsidRPr="00D457D0" w:rsidRDefault="005C2345" w:rsidP="003329BC">
            <w:pPr>
              <w:rPr>
                <w:b/>
              </w:rPr>
            </w:pPr>
          </w:p>
        </w:tc>
      </w:tr>
      <w:tr w:rsidR="005C2345" w:rsidRPr="00D457D0" w14:paraId="19750FC1" w14:textId="77777777" w:rsidTr="003329BC">
        <w:tc>
          <w:tcPr>
            <w:tcW w:w="9350" w:type="dxa"/>
            <w:gridSpan w:val="2"/>
          </w:tcPr>
          <w:p w14:paraId="03EC408D" w14:textId="77777777" w:rsidR="005C2345" w:rsidRPr="00D457D0" w:rsidRDefault="005C2345" w:rsidP="003329BC">
            <w:pPr>
              <w:rPr>
                <w:b/>
              </w:rPr>
            </w:pPr>
            <w:r w:rsidRPr="00D457D0">
              <w:rPr>
                <w:b/>
              </w:rPr>
              <w:t>All Faculty</w:t>
            </w:r>
            <w:r w:rsidRPr="00D457D0">
              <w:t xml:space="preserve"> (check)</w:t>
            </w:r>
          </w:p>
        </w:tc>
      </w:tr>
      <w:tr w:rsidR="005C2345" w:rsidRPr="00D457D0" w14:paraId="677ECDB6" w14:textId="77777777" w:rsidTr="00580590">
        <w:trPr>
          <w:trHeight w:val="557"/>
        </w:trPr>
        <w:tc>
          <w:tcPr>
            <w:tcW w:w="1795" w:type="dxa"/>
          </w:tcPr>
          <w:p w14:paraId="3AEA313C" w14:textId="0B9FE035" w:rsidR="005C2345" w:rsidRPr="00D457D0" w:rsidRDefault="009A0EF8" w:rsidP="00580590">
            <w:r w:rsidRPr="00D457D0">
              <w:t>___Yes</w:t>
            </w:r>
            <w:r w:rsidR="00580590">
              <w:t xml:space="preserve"> </w:t>
            </w:r>
            <w:r w:rsidRPr="00D457D0">
              <w:t>___ No</w:t>
            </w:r>
          </w:p>
        </w:tc>
        <w:tc>
          <w:tcPr>
            <w:tcW w:w="7555" w:type="dxa"/>
            <w:vAlign w:val="center"/>
          </w:tcPr>
          <w:p w14:paraId="456FA7A2" w14:textId="7B7AD530" w:rsidR="005C2345" w:rsidRPr="00D457D0" w:rsidRDefault="0080043F" w:rsidP="003B42FF">
            <w:r w:rsidRPr="00D457D0">
              <w:t>Institutional s</w:t>
            </w:r>
            <w:r w:rsidR="008C550C" w:rsidRPr="00D457D0">
              <w:t>ervice activities were completed as assigned.</w:t>
            </w:r>
          </w:p>
        </w:tc>
      </w:tr>
      <w:tr w:rsidR="005C2345" w:rsidRPr="00D457D0" w14:paraId="76541F5D" w14:textId="77777777" w:rsidTr="003B42FF">
        <w:trPr>
          <w:trHeight w:val="89"/>
        </w:trPr>
        <w:tc>
          <w:tcPr>
            <w:tcW w:w="9350" w:type="dxa"/>
            <w:gridSpan w:val="2"/>
            <w:shd w:val="clear" w:color="auto" w:fill="D5DCE4" w:themeFill="text2" w:themeFillTint="33"/>
          </w:tcPr>
          <w:p w14:paraId="6795BBD7" w14:textId="77777777" w:rsidR="005C2345" w:rsidRPr="003B42FF" w:rsidRDefault="005C2345" w:rsidP="008C550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C2345" w:rsidRPr="00D457D0" w14:paraId="210B82A7" w14:textId="77777777" w:rsidTr="003B42FF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4B5E47E" w14:textId="4EB21415" w:rsidR="005C2345" w:rsidRPr="003B42FF" w:rsidRDefault="008C550C" w:rsidP="004F0ED8">
            <w:pPr>
              <w:rPr>
                <w:b/>
              </w:rPr>
            </w:pPr>
            <w:r w:rsidRPr="003B42FF">
              <w:rPr>
                <w:b/>
              </w:rPr>
              <w:t>List Service Activities</w:t>
            </w:r>
          </w:p>
        </w:tc>
      </w:tr>
      <w:tr w:rsidR="005C2345" w:rsidRPr="00D457D0" w14:paraId="771A6F39" w14:textId="77777777" w:rsidTr="003B42FF">
        <w:trPr>
          <w:trHeight w:val="26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16DB4" w14:textId="391ABCC5" w:rsidR="005C2345" w:rsidRPr="00D457D0" w:rsidRDefault="008C550C" w:rsidP="008C550C">
            <w:r w:rsidRPr="003B42FF">
              <w:rPr>
                <w:i/>
              </w:rPr>
              <w:t>Departmental, College, and University Service</w:t>
            </w:r>
            <w:r w:rsidRPr="00D457D0">
              <w:t xml:space="preserve"> (All Faculty)</w:t>
            </w:r>
          </w:p>
        </w:tc>
      </w:tr>
      <w:tr w:rsidR="008C550C" w:rsidRPr="00D457D0" w14:paraId="1A45760A" w14:textId="77777777" w:rsidTr="003B42FF">
        <w:trPr>
          <w:trHeight w:val="674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3F7" w14:textId="77777777" w:rsidR="008C550C" w:rsidRPr="00D457D0" w:rsidRDefault="008C550C" w:rsidP="008C550C"/>
          <w:p w14:paraId="43AE2233" w14:textId="049D416C" w:rsidR="00AA540B" w:rsidRDefault="00AA540B" w:rsidP="008C550C"/>
          <w:p w14:paraId="1FE38BED" w14:textId="634BF6EE" w:rsidR="00355ED4" w:rsidRDefault="00355ED4" w:rsidP="008C550C"/>
          <w:p w14:paraId="744CF22F" w14:textId="77777777" w:rsidR="00355ED4" w:rsidRPr="00D457D0" w:rsidRDefault="00355ED4" w:rsidP="008C550C"/>
          <w:p w14:paraId="0B6E1C6F" w14:textId="4F49221A" w:rsidR="00AA540B" w:rsidRPr="00D457D0" w:rsidRDefault="00AA540B" w:rsidP="008C550C"/>
        </w:tc>
      </w:tr>
      <w:tr w:rsidR="005C2345" w:rsidRPr="00D457D0" w14:paraId="651B5170" w14:textId="77777777" w:rsidTr="003B42FF">
        <w:trPr>
          <w:trHeight w:val="30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35B88" w14:textId="2B90A732" w:rsidR="005C2345" w:rsidRPr="00D457D0" w:rsidRDefault="008C550C" w:rsidP="008C550C">
            <w:r w:rsidRPr="003B42FF">
              <w:rPr>
                <w:i/>
              </w:rPr>
              <w:t>Professional Service</w:t>
            </w:r>
            <w:r w:rsidRPr="00D457D0">
              <w:t xml:space="preserve"> (Required for Clinical, Tenure-Track, and Tenured Faculty)</w:t>
            </w:r>
          </w:p>
        </w:tc>
      </w:tr>
      <w:tr w:rsidR="005C2345" w:rsidRPr="00D457D0" w14:paraId="0441FA4D" w14:textId="77777777" w:rsidTr="003B42FF">
        <w:trPr>
          <w:trHeight w:val="65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52F" w14:textId="77777777" w:rsidR="005C2345" w:rsidRPr="00D457D0" w:rsidRDefault="005C2345" w:rsidP="008C550C"/>
          <w:p w14:paraId="28076F35" w14:textId="7E3A3AE7" w:rsidR="00AA540B" w:rsidRDefault="00AA540B" w:rsidP="008C550C"/>
          <w:p w14:paraId="1AF2B452" w14:textId="513B2769" w:rsidR="00355ED4" w:rsidRDefault="00355ED4" w:rsidP="008C550C"/>
          <w:p w14:paraId="6563BC7C" w14:textId="77777777" w:rsidR="00355ED4" w:rsidRPr="00D457D0" w:rsidRDefault="00355ED4" w:rsidP="008C550C"/>
          <w:p w14:paraId="587B10D7" w14:textId="77F90A27" w:rsidR="00AA540B" w:rsidRPr="00D457D0" w:rsidRDefault="00AA540B" w:rsidP="008C550C"/>
        </w:tc>
      </w:tr>
      <w:tr w:rsidR="008C550C" w:rsidRPr="00D457D0" w14:paraId="1324FD49" w14:textId="77777777" w:rsidTr="003B42FF">
        <w:trPr>
          <w:trHeight w:val="3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08758" w14:textId="4E6EE0A2" w:rsidR="008C550C" w:rsidRPr="00D457D0" w:rsidRDefault="008C550C" w:rsidP="008C550C">
            <w:r w:rsidRPr="003B42FF">
              <w:rPr>
                <w:i/>
              </w:rPr>
              <w:t>Community Service Related to Profession</w:t>
            </w:r>
            <w:r w:rsidRPr="00D457D0">
              <w:t xml:space="preserve"> (If Applicable)</w:t>
            </w:r>
          </w:p>
        </w:tc>
      </w:tr>
      <w:tr w:rsidR="008C550C" w:rsidRPr="00D457D0" w14:paraId="0D61D4BD" w14:textId="77777777" w:rsidTr="003B42FF">
        <w:trPr>
          <w:trHeight w:val="386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961" w14:textId="5C381287" w:rsidR="008C550C" w:rsidRDefault="008C550C" w:rsidP="003329BC">
            <w:pPr>
              <w:rPr>
                <w:b/>
              </w:rPr>
            </w:pPr>
          </w:p>
          <w:p w14:paraId="6E2BACE4" w14:textId="77777777" w:rsidR="003B42FF" w:rsidRPr="00D457D0" w:rsidRDefault="003B42FF" w:rsidP="003329BC">
            <w:pPr>
              <w:rPr>
                <w:b/>
              </w:rPr>
            </w:pPr>
          </w:p>
          <w:p w14:paraId="0D15837C" w14:textId="6F59B6B6" w:rsidR="004F0ED8" w:rsidRPr="00D457D0" w:rsidRDefault="004F0ED8" w:rsidP="003329BC">
            <w:pPr>
              <w:rPr>
                <w:b/>
              </w:rPr>
            </w:pPr>
          </w:p>
        </w:tc>
      </w:tr>
      <w:tr w:rsidR="005C2345" w:rsidRPr="00D457D0" w14:paraId="7D80A1F9" w14:textId="77777777" w:rsidTr="003B42FF">
        <w:trPr>
          <w:trHeight w:val="143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C29DFEF" w14:textId="77777777" w:rsidR="005C2345" w:rsidRPr="003B42FF" w:rsidRDefault="005C2345" w:rsidP="003329BC">
            <w:pPr>
              <w:rPr>
                <w:sz w:val="10"/>
                <w:szCs w:val="10"/>
              </w:rPr>
            </w:pPr>
          </w:p>
        </w:tc>
      </w:tr>
      <w:tr w:rsidR="005C2345" w:rsidRPr="00D457D0" w14:paraId="1100E28F" w14:textId="77777777" w:rsidTr="003329BC">
        <w:trPr>
          <w:trHeight w:val="323"/>
        </w:trPr>
        <w:tc>
          <w:tcPr>
            <w:tcW w:w="9350" w:type="dxa"/>
            <w:gridSpan w:val="2"/>
          </w:tcPr>
          <w:p w14:paraId="4AD2B89B" w14:textId="397BC4C2" w:rsidR="005C2345" w:rsidRPr="00D457D0" w:rsidRDefault="003B42FF" w:rsidP="003329BC">
            <w:pPr>
              <w:rPr>
                <w:b/>
              </w:rPr>
            </w:pPr>
            <w:r>
              <w:rPr>
                <w:b/>
              </w:rPr>
              <w:t>Comments for the FRC</w:t>
            </w:r>
            <w:r w:rsidR="005C2345" w:rsidRPr="00D457D0">
              <w:rPr>
                <w:b/>
              </w:rPr>
              <w:t xml:space="preserve"> about Service</w:t>
            </w:r>
          </w:p>
        </w:tc>
      </w:tr>
      <w:tr w:rsidR="005C2345" w:rsidRPr="00D457D0" w14:paraId="0226E431" w14:textId="77777777" w:rsidTr="00771251">
        <w:trPr>
          <w:trHeight w:val="917"/>
        </w:trPr>
        <w:tc>
          <w:tcPr>
            <w:tcW w:w="9350" w:type="dxa"/>
            <w:gridSpan w:val="2"/>
          </w:tcPr>
          <w:p w14:paraId="6A005007" w14:textId="77777777" w:rsidR="005C2345" w:rsidRPr="00D457D0" w:rsidRDefault="005C2345" w:rsidP="003329BC"/>
          <w:p w14:paraId="386CB47E" w14:textId="77777777" w:rsidR="005C2345" w:rsidRPr="00D457D0" w:rsidRDefault="005C2345" w:rsidP="003329BC"/>
          <w:p w14:paraId="3D550829" w14:textId="77777777" w:rsidR="005C2345" w:rsidRPr="00D457D0" w:rsidRDefault="005C2345" w:rsidP="003329BC"/>
        </w:tc>
      </w:tr>
      <w:tr w:rsidR="00726B40" w:rsidRPr="00D457D0" w14:paraId="70922915" w14:textId="77777777" w:rsidTr="009A0EF8">
        <w:trPr>
          <w:trHeight w:val="161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14:paraId="073DFFFC" w14:textId="77777777" w:rsidR="00726B40" w:rsidRPr="009A0EF8" w:rsidRDefault="00726B40" w:rsidP="003329BC">
            <w:pPr>
              <w:rPr>
                <w:sz w:val="10"/>
                <w:szCs w:val="10"/>
              </w:rPr>
            </w:pPr>
          </w:p>
        </w:tc>
      </w:tr>
      <w:tr w:rsidR="00726B40" w:rsidRPr="00207FEB" w14:paraId="71654D07" w14:textId="77777777" w:rsidTr="00580590">
        <w:trPr>
          <w:trHeight w:val="417"/>
        </w:trPr>
        <w:tc>
          <w:tcPr>
            <w:tcW w:w="1795" w:type="dxa"/>
          </w:tcPr>
          <w:p w14:paraId="36695EDB" w14:textId="62B87E65" w:rsidR="00726B40" w:rsidRPr="00D457D0" w:rsidRDefault="00726B40" w:rsidP="004F0ED8">
            <w:r w:rsidRPr="00D457D0">
              <w:t>___Yes</w:t>
            </w:r>
            <w:r w:rsidR="00580590">
              <w:t xml:space="preserve"> </w:t>
            </w:r>
            <w:r w:rsidRPr="00D457D0">
              <w:t>___ No</w:t>
            </w:r>
          </w:p>
          <w:p w14:paraId="7F3C4657" w14:textId="01FBDD67" w:rsidR="00736CFE" w:rsidRPr="00D457D0" w:rsidRDefault="00736CFE" w:rsidP="004F0ED8"/>
        </w:tc>
        <w:tc>
          <w:tcPr>
            <w:tcW w:w="7555" w:type="dxa"/>
          </w:tcPr>
          <w:p w14:paraId="46637AA8" w14:textId="03ACF14F" w:rsidR="00726B40" w:rsidRPr="00207FEB" w:rsidRDefault="00726B40" w:rsidP="00726B40">
            <w:r w:rsidRPr="00D457D0">
              <w:t>FRC- Indicate if faculty member met expectations in Service Activity.</w:t>
            </w:r>
          </w:p>
        </w:tc>
      </w:tr>
    </w:tbl>
    <w:p w14:paraId="474E9740" w14:textId="77777777" w:rsidR="008C550C" w:rsidRPr="008C550C" w:rsidRDefault="008C550C" w:rsidP="004F0ED8">
      <w:pPr>
        <w:rPr>
          <w:sz w:val="20"/>
          <w:szCs w:val="20"/>
        </w:rPr>
      </w:pPr>
    </w:p>
    <w:sectPr w:rsidR="008C550C" w:rsidRPr="008C550C" w:rsidSect="002E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724"/>
    <w:multiLevelType w:val="hybridMultilevel"/>
    <w:tmpl w:val="F7005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409C6"/>
    <w:multiLevelType w:val="hybridMultilevel"/>
    <w:tmpl w:val="2FC8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77FB2"/>
    <w:multiLevelType w:val="hybridMultilevel"/>
    <w:tmpl w:val="2246300E"/>
    <w:lvl w:ilvl="0" w:tplc="671C39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2F1C"/>
    <w:multiLevelType w:val="hybridMultilevel"/>
    <w:tmpl w:val="FCD04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935FFA"/>
    <w:multiLevelType w:val="hybridMultilevel"/>
    <w:tmpl w:val="81147F38"/>
    <w:lvl w:ilvl="0" w:tplc="671C39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5FEC"/>
    <w:multiLevelType w:val="hybridMultilevel"/>
    <w:tmpl w:val="54A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24C43"/>
    <w:multiLevelType w:val="hybridMultilevel"/>
    <w:tmpl w:val="C26E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275368">
    <w:abstractNumId w:val="0"/>
  </w:num>
  <w:num w:numId="2" w16cid:durableId="1804541306">
    <w:abstractNumId w:val="3"/>
  </w:num>
  <w:num w:numId="3" w16cid:durableId="738793829">
    <w:abstractNumId w:val="6"/>
  </w:num>
  <w:num w:numId="4" w16cid:durableId="1832865999">
    <w:abstractNumId w:val="1"/>
  </w:num>
  <w:num w:numId="5" w16cid:durableId="805782332">
    <w:abstractNumId w:val="5"/>
  </w:num>
  <w:num w:numId="6" w16cid:durableId="1194461487">
    <w:abstractNumId w:val="4"/>
  </w:num>
  <w:num w:numId="7" w16cid:durableId="78153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CD"/>
    <w:rsid w:val="00024DE6"/>
    <w:rsid w:val="0004304F"/>
    <w:rsid w:val="00045341"/>
    <w:rsid w:val="00072554"/>
    <w:rsid w:val="000900DF"/>
    <w:rsid w:val="000972DB"/>
    <w:rsid w:val="000A128F"/>
    <w:rsid w:val="000A3186"/>
    <w:rsid w:val="000A401E"/>
    <w:rsid w:val="000E15EE"/>
    <w:rsid w:val="000E491C"/>
    <w:rsid w:val="000F3618"/>
    <w:rsid w:val="00122C8D"/>
    <w:rsid w:val="00130BCE"/>
    <w:rsid w:val="00147F71"/>
    <w:rsid w:val="0015231D"/>
    <w:rsid w:val="0015594D"/>
    <w:rsid w:val="00163B8C"/>
    <w:rsid w:val="00173D74"/>
    <w:rsid w:val="001A0923"/>
    <w:rsid w:val="001A6E8F"/>
    <w:rsid w:val="001D2740"/>
    <w:rsid w:val="001E52B5"/>
    <w:rsid w:val="001F0B17"/>
    <w:rsid w:val="00207FEB"/>
    <w:rsid w:val="00212359"/>
    <w:rsid w:val="002351B0"/>
    <w:rsid w:val="00242763"/>
    <w:rsid w:val="00260009"/>
    <w:rsid w:val="00262AA1"/>
    <w:rsid w:val="0029078B"/>
    <w:rsid w:val="002B1E77"/>
    <w:rsid w:val="002B66E6"/>
    <w:rsid w:val="002D2FB6"/>
    <w:rsid w:val="002D5242"/>
    <w:rsid w:val="002E13FA"/>
    <w:rsid w:val="002E243B"/>
    <w:rsid w:val="002E4E62"/>
    <w:rsid w:val="00351194"/>
    <w:rsid w:val="00355ED4"/>
    <w:rsid w:val="00365E52"/>
    <w:rsid w:val="00386EAC"/>
    <w:rsid w:val="00393EEF"/>
    <w:rsid w:val="003B42FF"/>
    <w:rsid w:val="003C6ABA"/>
    <w:rsid w:val="004328F4"/>
    <w:rsid w:val="00445207"/>
    <w:rsid w:val="00481D9D"/>
    <w:rsid w:val="00484F86"/>
    <w:rsid w:val="004E6EFC"/>
    <w:rsid w:val="004F0ED8"/>
    <w:rsid w:val="005116C4"/>
    <w:rsid w:val="00527A8C"/>
    <w:rsid w:val="0054085A"/>
    <w:rsid w:val="00577748"/>
    <w:rsid w:val="00580590"/>
    <w:rsid w:val="005A5B6C"/>
    <w:rsid w:val="005B4D26"/>
    <w:rsid w:val="005B5F05"/>
    <w:rsid w:val="005C2345"/>
    <w:rsid w:val="005D1730"/>
    <w:rsid w:val="005D32ED"/>
    <w:rsid w:val="005E62F5"/>
    <w:rsid w:val="005E7124"/>
    <w:rsid w:val="005F2B2F"/>
    <w:rsid w:val="00613085"/>
    <w:rsid w:val="00671D39"/>
    <w:rsid w:val="00694B38"/>
    <w:rsid w:val="006C22BA"/>
    <w:rsid w:val="006E01FB"/>
    <w:rsid w:val="006E0379"/>
    <w:rsid w:val="006E73EB"/>
    <w:rsid w:val="006F15BA"/>
    <w:rsid w:val="007102A8"/>
    <w:rsid w:val="00726B40"/>
    <w:rsid w:val="00736CFE"/>
    <w:rsid w:val="007430FC"/>
    <w:rsid w:val="00750D93"/>
    <w:rsid w:val="0075269E"/>
    <w:rsid w:val="00765940"/>
    <w:rsid w:val="007664DD"/>
    <w:rsid w:val="00771251"/>
    <w:rsid w:val="007728D3"/>
    <w:rsid w:val="00781F67"/>
    <w:rsid w:val="007830CE"/>
    <w:rsid w:val="00793092"/>
    <w:rsid w:val="007B1DED"/>
    <w:rsid w:val="007D5B0A"/>
    <w:rsid w:val="007D6C3B"/>
    <w:rsid w:val="007F4168"/>
    <w:rsid w:val="0080043F"/>
    <w:rsid w:val="00830CB0"/>
    <w:rsid w:val="00832D1F"/>
    <w:rsid w:val="00832F60"/>
    <w:rsid w:val="0083546E"/>
    <w:rsid w:val="00843296"/>
    <w:rsid w:val="008460E7"/>
    <w:rsid w:val="00855512"/>
    <w:rsid w:val="00875326"/>
    <w:rsid w:val="008812CE"/>
    <w:rsid w:val="008815AA"/>
    <w:rsid w:val="00881D98"/>
    <w:rsid w:val="00895BE6"/>
    <w:rsid w:val="008C0275"/>
    <w:rsid w:val="008C550C"/>
    <w:rsid w:val="008D7629"/>
    <w:rsid w:val="00900799"/>
    <w:rsid w:val="00904DCD"/>
    <w:rsid w:val="00915FBC"/>
    <w:rsid w:val="009862A5"/>
    <w:rsid w:val="009921E2"/>
    <w:rsid w:val="00997B7F"/>
    <w:rsid w:val="009A0EF8"/>
    <w:rsid w:val="009B0CDD"/>
    <w:rsid w:val="009E1986"/>
    <w:rsid w:val="009F1EFF"/>
    <w:rsid w:val="00A31904"/>
    <w:rsid w:val="00A4375D"/>
    <w:rsid w:val="00A43B15"/>
    <w:rsid w:val="00A522DB"/>
    <w:rsid w:val="00A704A0"/>
    <w:rsid w:val="00A81694"/>
    <w:rsid w:val="00A86643"/>
    <w:rsid w:val="00A87D82"/>
    <w:rsid w:val="00AA0301"/>
    <w:rsid w:val="00AA540B"/>
    <w:rsid w:val="00AB5CBC"/>
    <w:rsid w:val="00AC004D"/>
    <w:rsid w:val="00AD2AFA"/>
    <w:rsid w:val="00AF35B9"/>
    <w:rsid w:val="00AF4B4D"/>
    <w:rsid w:val="00B0109E"/>
    <w:rsid w:val="00B20229"/>
    <w:rsid w:val="00B430C1"/>
    <w:rsid w:val="00B56832"/>
    <w:rsid w:val="00B64162"/>
    <w:rsid w:val="00B87AD1"/>
    <w:rsid w:val="00BB1658"/>
    <w:rsid w:val="00BC2D1C"/>
    <w:rsid w:val="00BE1D20"/>
    <w:rsid w:val="00BE399A"/>
    <w:rsid w:val="00C024D9"/>
    <w:rsid w:val="00C10216"/>
    <w:rsid w:val="00C16891"/>
    <w:rsid w:val="00C34B56"/>
    <w:rsid w:val="00C5113D"/>
    <w:rsid w:val="00C70EBC"/>
    <w:rsid w:val="00C80596"/>
    <w:rsid w:val="00C867EB"/>
    <w:rsid w:val="00C91B4A"/>
    <w:rsid w:val="00C91BA2"/>
    <w:rsid w:val="00CF77E3"/>
    <w:rsid w:val="00D05C31"/>
    <w:rsid w:val="00D16BED"/>
    <w:rsid w:val="00D41DD9"/>
    <w:rsid w:val="00D457D0"/>
    <w:rsid w:val="00D8525F"/>
    <w:rsid w:val="00D91B0C"/>
    <w:rsid w:val="00DA753E"/>
    <w:rsid w:val="00DF51B7"/>
    <w:rsid w:val="00DF73E4"/>
    <w:rsid w:val="00E16E47"/>
    <w:rsid w:val="00E217DA"/>
    <w:rsid w:val="00E53AD2"/>
    <w:rsid w:val="00E65D38"/>
    <w:rsid w:val="00E66E18"/>
    <w:rsid w:val="00E904BE"/>
    <w:rsid w:val="00EB0190"/>
    <w:rsid w:val="00F008F0"/>
    <w:rsid w:val="00F3471D"/>
    <w:rsid w:val="00F3754E"/>
    <w:rsid w:val="00F41812"/>
    <w:rsid w:val="00F544B6"/>
    <w:rsid w:val="00F66939"/>
    <w:rsid w:val="00F8320A"/>
    <w:rsid w:val="00FA432C"/>
    <w:rsid w:val="00FA4EA0"/>
    <w:rsid w:val="00FB2466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87DA"/>
  <w15:chartTrackingRefBased/>
  <w15:docId w15:val="{674130E3-6A95-A340-814E-71C794B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D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93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8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E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1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98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0B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c.txst.edu/support/faculty-qua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beralarts.txst.edu/faculty/college-policies-procedures/Annual-Review-and-Merit-Poli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ies.txst.edu/division-policies/academic-affairs/04-01-5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icies.txst.edu/division-policies/academic-affairs/04-02-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8F43BE0-B562-3949-B50A-2FFA58F5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Krista J</dc:creator>
  <cp:keywords/>
  <dc:description/>
  <cp:lastModifiedBy>Ceballos, Natalie A</cp:lastModifiedBy>
  <cp:revision>2</cp:revision>
  <dcterms:created xsi:type="dcterms:W3CDTF">2023-08-10T15:29:00Z</dcterms:created>
  <dcterms:modified xsi:type="dcterms:W3CDTF">2023-08-10T15:29:00Z</dcterms:modified>
</cp:coreProperties>
</file>