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D4886" w14:textId="77777777" w:rsidR="004A59A3" w:rsidRDefault="004A59A3" w:rsidP="00CE1608">
      <w:pPr>
        <w:tabs>
          <w:tab w:val="left" w:pos="6120"/>
        </w:tabs>
        <w:rPr>
          <w:b/>
          <w:bCs/>
          <w:sz w:val="24"/>
          <w:szCs w:val="24"/>
        </w:rPr>
      </w:pPr>
    </w:p>
    <w:p w14:paraId="6C8340C3" w14:textId="77777777" w:rsidR="004A59A3" w:rsidRDefault="004A59A3" w:rsidP="00CE1608">
      <w:pPr>
        <w:tabs>
          <w:tab w:val="left" w:pos="6120"/>
        </w:tabs>
        <w:rPr>
          <w:b/>
          <w:bCs/>
          <w:sz w:val="24"/>
          <w:szCs w:val="24"/>
        </w:rPr>
      </w:pPr>
    </w:p>
    <w:p w14:paraId="12DB7E34" w14:textId="77777777" w:rsidR="004A59A3" w:rsidRDefault="004A59A3" w:rsidP="00CE1608">
      <w:pPr>
        <w:tabs>
          <w:tab w:val="left" w:pos="6120"/>
        </w:tabs>
        <w:rPr>
          <w:b/>
          <w:bCs/>
          <w:sz w:val="24"/>
          <w:szCs w:val="24"/>
        </w:rPr>
      </w:pPr>
    </w:p>
    <w:p w14:paraId="5AE32555" w14:textId="3C92FF62" w:rsidR="00C476E8" w:rsidRPr="004A59A3" w:rsidRDefault="000F2F12" w:rsidP="00CE1608">
      <w:pPr>
        <w:tabs>
          <w:tab w:val="left" w:pos="5310"/>
        </w:tabs>
        <w:rPr>
          <w:b/>
          <w:bCs/>
          <w:sz w:val="24"/>
          <w:szCs w:val="24"/>
        </w:rPr>
      </w:pPr>
      <w:r w:rsidRPr="004A59A3">
        <w:rPr>
          <w:b/>
          <w:bCs/>
          <w:sz w:val="24"/>
          <w:szCs w:val="24"/>
        </w:rPr>
        <w:t>Reimbursement of University Business</w:t>
      </w:r>
      <w:r w:rsidR="00E156BD">
        <w:rPr>
          <w:b/>
          <w:bCs/>
          <w:sz w:val="24"/>
          <w:szCs w:val="24"/>
        </w:rPr>
        <w:tab/>
      </w:r>
      <w:r w:rsidR="00C476E8" w:rsidRPr="004A59A3">
        <w:rPr>
          <w:b/>
          <w:bCs/>
          <w:sz w:val="24"/>
          <w:szCs w:val="24"/>
        </w:rPr>
        <w:t xml:space="preserve">UPPS </w:t>
      </w:r>
      <w:r w:rsidR="00F06B48">
        <w:rPr>
          <w:b/>
          <w:bCs/>
          <w:sz w:val="24"/>
          <w:szCs w:val="24"/>
        </w:rPr>
        <w:t xml:space="preserve">No. </w:t>
      </w:r>
      <w:r w:rsidR="00C476E8" w:rsidRPr="004A59A3">
        <w:rPr>
          <w:b/>
          <w:bCs/>
          <w:sz w:val="24"/>
          <w:szCs w:val="24"/>
        </w:rPr>
        <w:t>03.01.30</w:t>
      </w:r>
    </w:p>
    <w:p w14:paraId="23EE26AA" w14:textId="6B5A41EA" w:rsidR="003866E4" w:rsidRPr="004A59A3" w:rsidRDefault="00AE244C" w:rsidP="00CE1608">
      <w:pPr>
        <w:tabs>
          <w:tab w:val="left" w:pos="5310"/>
        </w:tabs>
        <w:rPr>
          <w:b/>
          <w:bCs/>
          <w:sz w:val="24"/>
          <w:szCs w:val="24"/>
        </w:rPr>
      </w:pPr>
      <w:r w:rsidRPr="004A59A3">
        <w:rPr>
          <w:b/>
          <w:bCs/>
          <w:sz w:val="24"/>
          <w:szCs w:val="24"/>
        </w:rPr>
        <w:t>Expenses Paid from Personal Funds</w:t>
      </w:r>
      <w:r w:rsidR="00C476E8" w:rsidRPr="004A59A3">
        <w:rPr>
          <w:b/>
          <w:bCs/>
          <w:sz w:val="24"/>
          <w:szCs w:val="24"/>
        </w:rPr>
        <w:tab/>
        <w:t xml:space="preserve">Issue </w:t>
      </w:r>
      <w:r w:rsidR="00F06B48">
        <w:rPr>
          <w:b/>
          <w:bCs/>
          <w:sz w:val="24"/>
          <w:szCs w:val="24"/>
        </w:rPr>
        <w:t xml:space="preserve">No. </w:t>
      </w:r>
      <w:r w:rsidR="00C476E8" w:rsidRPr="004A59A3">
        <w:rPr>
          <w:b/>
          <w:bCs/>
          <w:sz w:val="24"/>
          <w:szCs w:val="24"/>
        </w:rPr>
        <w:t>1</w:t>
      </w:r>
    </w:p>
    <w:p w14:paraId="0050BE8C" w14:textId="53715C39" w:rsidR="00C476E8" w:rsidRPr="004A59A3" w:rsidRDefault="00C476E8" w:rsidP="00CE1608">
      <w:pPr>
        <w:tabs>
          <w:tab w:val="left" w:pos="5220"/>
          <w:tab w:val="left" w:pos="7290"/>
        </w:tabs>
        <w:ind w:firstLine="5310"/>
        <w:rPr>
          <w:b/>
          <w:bCs/>
          <w:sz w:val="24"/>
          <w:szCs w:val="24"/>
        </w:rPr>
      </w:pPr>
      <w:r w:rsidRPr="004A59A3">
        <w:rPr>
          <w:b/>
          <w:bCs/>
          <w:sz w:val="24"/>
          <w:szCs w:val="24"/>
        </w:rPr>
        <w:t xml:space="preserve">Effective Date: </w:t>
      </w:r>
      <w:r w:rsidR="00E156BD">
        <w:rPr>
          <w:b/>
          <w:bCs/>
          <w:sz w:val="24"/>
          <w:szCs w:val="24"/>
        </w:rPr>
        <w:t>09/06/2024</w:t>
      </w:r>
    </w:p>
    <w:p w14:paraId="7660464E" w14:textId="4F8AF41D" w:rsidR="00C476E8" w:rsidRPr="004A59A3" w:rsidRDefault="00E156BD" w:rsidP="00CE1608">
      <w:pPr>
        <w:tabs>
          <w:tab w:val="left" w:pos="5310"/>
          <w:tab w:val="left" w:pos="5760"/>
          <w:tab w:val="left" w:pos="6120"/>
          <w:tab w:val="left" w:pos="6390"/>
        </w:tabs>
        <w:ind w:left="180"/>
        <w:rPr>
          <w:b/>
          <w:bCs/>
          <w:sz w:val="24"/>
          <w:szCs w:val="24"/>
        </w:rPr>
      </w:pPr>
      <w:r>
        <w:rPr>
          <w:b/>
          <w:bCs/>
          <w:sz w:val="24"/>
          <w:szCs w:val="24"/>
        </w:rPr>
        <w:tab/>
      </w:r>
      <w:r w:rsidR="00C476E8" w:rsidRPr="004A59A3">
        <w:rPr>
          <w:b/>
          <w:bCs/>
          <w:sz w:val="24"/>
          <w:szCs w:val="24"/>
        </w:rPr>
        <w:t>Next Review Date:</w:t>
      </w:r>
      <w:r>
        <w:rPr>
          <w:b/>
          <w:bCs/>
          <w:sz w:val="24"/>
          <w:szCs w:val="24"/>
        </w:rPr>
        <w:t xml:space="preserve"> 01/01/2029 (E5Y)</w:t>
      </w:r>
    </w:p>
    <w:p w14:paraId="0769F0B3" w14:textId="063BAC2D" w:rsidR="00F06B48" w:rsidRPr="004A59A3" w:rsidRDefault="00C476E8" w:rsidP="00CE1608">
      <w:pPr>
        <w:tabs>
          <w:tab w:val="left" w:pos="6120"/>
        </w:tabs>
        <w:ind w:left="5310"/>
        <w:rPr>
          <w:b/>
          <w:bCs/>
          <w:sz w:val="24"/>
          <w:szCs w:val="24"/>
        </w:rPr>
      </w:pPr>
      <w:r w:rsidRPr="004A59A3">
        <w:rPr>
          <w:b/>
          <w:bCs/>
          <w:sz w:val="24"/>
          <w:szCs w:val="24"/>
        </w:rPr>
        <w:t xml:space="preserve">Sr. Reviewer: Director of Accounts Payable and </w:t>
      </w:r>
      <w:r w:rsidR="004A59A3" w:rsidRPr="004A59A3">
        <w:rPr>
          <w:b/>
          <w:bCs/>
          <w:sz w:val="24"/>
          <w:szCs w:val="24"/>
        </w:rPr>
        <w:t>Travel</w:t>
      </w:r>
    </w:p>
    <w:p w14:paraId="198AA5C9" w14:textId="1DAD003E" w:rsidR="00672745" w:rsidRPr="004A59A3" w:rsidRDefault="00672745" w:rsidP="00CE1608">
      <w:pPr>
        <w:rPr>
          <w:b/>
          <w:bCs/>
          <w:color w:val="000000"/>
          <w:sz w:val="24"/>
          <w:szCs w:val="24"/>
        </w:rPr>
      </w:pPr>
    </w:p>
    <w:p w14:paraId="325678D7" w14:textId="77777777" w:rsidR="00672745" w:rsidRPr="004A59A3" w:rsidRDefault="00672745" w:rsidP="00CE1608">
      <w:pPr>
        <w:pStyle w:val="BodyText"/>
        <w:spacing w:before="0"/>
        <w:ind w:left="662" w:firstLine="0"/>
        <w:rPr>
          <w:b/>
        </w:rPr>
      </w:pPr>
    </w:p>
    <w:p w14:paraId="40739F17" w14:textId="7E3DF4A5" w:rsidR="00330AF0" w:rsidRDefault="000F2F12" w:rsidP="00CE1608">
      <w:pPr>
        <w:pStyle w:val="Heading1"/>
        <w:ind w:left="0" w:right="123" w:firstLine="0"/>
        <w:rPr>
          <w:rFonts w:ascii="Arial" w:hAnsi="Arial" w:cs="Arial"/>
          <w:spacing w:val="-2"/>
          <w:sz w:val="24"/>
          <w:szCs w:val="24"/>
        </w:rPr>
      </w:pPr>
      <w:r w:rsidRPr="004A59A3">
        <w:rPr>
          <w:rFonts w:ascii="Arial" w:hAnsi="Arial" w:cs="Arial"/>
          <w:sz w:val="24"/>
          <w:szCs w:val="24"/>
        </w:rPr>
        <w:t>POLICY</w:t>
      </w:r>
      <w:r w:rsidRPr="004A59A3">
        <w:rPr>
          <w:rFonts w:ascii="Arial" w:hAnsi="Arial" w:cs="Arial"/>
          <w:spacing w:val="-18"/>
          <w:sz w:val="24"/>
          <w:szCs w:val="24"/>
        </w:rPr>
        <w:t xml:space="preserve"> </w:t>
      </w:r>
      <w:r w:rsidRPr="004A59A3">
        <w:rPr>
          <w:rFonts w:ascii="Arial" w:hAnsi="Arial" w:cs="Arial"/>
          <w:spacing w:val="-2"/>
          <w:sz w:val="24"/>
          <w:szCs w:val="24"/>
        </w:rPr>
        <w:t>STATEMENT</w:t>
      </w:r>
    </w:p>
    <w:p w14:paraId="2B468FE3" w14:textId="77777777" w:rsidR="00E156BD" w:rsidRPr="004A59A3" w:rsidRDefault="00E156BD" w:rsidP="00CE1608">
      <w:pPr>
        <w:pStyle w:val="Heading1"/>
        <w:ind w:left="0" w:right="123" w:firstLine="0"/>
        <w:rPr>
          <w:rFonts w:ascii="Arial" w:hAnsi="Arial" w:cs="Arial"/>
          <w:spacing w:val="-2"/>
          <w:sz w:val="24"/>
          <w:szCs w:val="24"/>
        </w:rPr>
      </w:pPr>
    </w:p>
    <w:p w14:paraId="25AC110A" w14:textId="48B21DD1" w:rsidR="00F160AA" w:rsidRPr="00F160AA" w:rsidRDefault="00F160AA" w:rsidP="00CE1608">
      <w:pPr>
        <w:pStyle w:val="Heading1"/>
        <w:ind w:hanging="660"/>
        <w:rPr>
          <w:rFonts w:ascii="Arial" w:hAnsi="Arial" w:cs="Arial"/>
          <w:b w:val="0"/>
          <w:bCs w:val="0"/>
          <w:i/>
          <w:iCs/>
          <w:sz w:val="24"/>
          <w:szCs w:val="24"/>
        </w:rPr>
      </w:pPr>
      <w:r w:rsidRPr="00F160AA">
        <w:rPr>
          <w:rFonts w:ascii="Arial" w:hAnsi="Arial" w:cs="Arial"/>
          <w:b w:val="0"/>
          <w:bCs w:val="0"/>
          <w:i/>
          <w:iCs/>
          <w:sz w:val="24"/>
          <w:szCs w:val="24"/>
        </w:rPr>
        <w:t>Texas State University is committed to promoting proper financial</w:t>
      </w:r>
      <w:r>
        <w:rPr>
          <w:rFonts w:ascii="Arial" w:hAnsi="Arial" w:cs="Arial"/>
          <w:b w:val="0"/>
          <w:bCs w:val="0"/>
          <w:i/>
          <w:iCs/>
          <w:sz w:val="24"/>
          <w:szCs w:val="24"/>
        </w:rPr>
        <w:t xml:space="preserve"> </w:t>
      </w:r>
      <w:r w:rsidRPr="00F160AA">
        <w:rPr>
          <w:rFonts w:ascii="Arial" w:hAnsi="Arial" w:cs="Arial"/>
          <w:b w:val="0"/>
          <w:bCs w:val="0"/>
          <w:i/>
          <w:iCs/>
          <w:sz w:val="24"/>
          <w:szCs w:val="24"/>
        </w:rPr>
        <w:t>stewardship of fund</w:t>
      </w:r>
      <w:r>
        <w:rPr>
          <w:rFonts w:ascii="Arial" w:hAnsi="Arial" w:cs="Arial"/>
          <w:b w:val="0"/>
          <w:bCs w:val="0"/>
          <w:i/>
          <w:iCs/>
          <w:sz w:val="24"/>
          <w:szCs w:val="24"/>
        </w:rPr>
        <w:t>s</w:t>
      </w:r>
      <w:r w:rsidR="00CE1608">
        <w:rPr>
          <w:rFonts w:ascii="Arial" w:hAnsi="Arial" w:cs="Arial"/>
          <w:b w:val="0"/>
          <w:bCs w:val="0"/>
          <w:i/>
          <w:iCs/>
          <w:sz w:val="24"/>
          <w:szCs w:val="24"/>
        </w:rPr>
        <w:t xml:space="preserve"> </w:t>
      </w:r>
      <w:r w:rsidRPr="00F160AA">
        <w:rPr>
          <w:rFonts w:ascii="Arial" w:hAnsi="Arial" w:cs="Arial"/>
          <w:b w:val="0"/>
          <w:bCs w:val="0"/>
          <w:i/>
          <w:iCs/>
          <w:sz w:val="24"/>
          <w:szCs w:val="24"/>
        </w:rPr>
        <w:t>to support the education mission of the university.</w:t>
      </w:r>
    </w:p>
    <w:p w14:paraId="3229593A" w14:textId="77777777" w:rsidR="00E156BD" w:rsidRPr="004A59A3" w:rsidRDefault="00E156BD" w:rsidP="00CE1608">
      <w:pPr>
        <w:pStyle w:val="Heading1"/>
        <w:ind w:left="0" w:firstLine="0"/>
        <w:rPr>
          <w:rFonts w:ascii="Arial" w:hAnsi="Arial" w:cs="Arial"/>
          <w:b w:val="0"/>
          <w:bCs w:val="0"/>
          <w:i/>
          <w:iCs/>
          <w:sz w:val="24"/>
          <w:szCs w:val="24"/>
        </w:rPr>
      </w:pPr>
    </w:p>
    <w:p w14:paraId="2EAB0934" w14:textId="57D30CA3" w:rsidR="00330AF0" w:rsidRPr="00E156BD" w:rsidRDefault="00E156BD" w:rsidP="00CE1608">
      <w:pPr>
        <w:pStyle w:val="Heading1"/>
        <w:numPr>
          <w:ilvl w:val="0"/>
          <w:numId w:val="2"/>
        </w:numPr>
        <w:ind w:left="720" w:right="130" w:hanging="720"/>
        <w:rPr>
          <w:rFonts w:ascii="Arial" w:hAnsi="Arial" w:cs="Arial"/>
          <w:color w:val="695638"/>
          <w:sz w:val="24"/>
          <w:szCs w:val="24"/>
        </w:rPr>
      </w:pPr>
      <w:r>
        <w:rPr>
          <w:rFonts w:ascii="Arial" w:hAnsi="Arial" w:cs="Arial"/>
          <w:sz w:val="24"/>
          <w:szCs w:val="24"/>
        </w:rPr>
        <w:t xml:space="preserve">SCOPE </w:t>
      </w:r>
    </w:p>
    <w:p w14:paraId="388343F5" w14:textId="77777777" w:rsidR="00E156BD" w:rsidRPr="00255687" w:rsidRDefault="00E156BD" w:rsidP="00CE1608">
      <w:pPr>
        <w:pStyle w:val="Heading1"/>
        <w:ind w:left="720" w:right="130" w:firstLine="0"/>
        <w:rPr>
          <w:rFonts w:ascii="Arial" w:hAnsi="Arial" w:cs="Arial"/>
          <w:color w:val="695638"/>
          <w:sz w:val="24"/>
          <w:szCs w:val="24"/>
        </w:rPr>
      </w:pPr>
    </w:p>
    <w:p w14:paraId="728CCD2E" w14:textId="49BCAB69" w:rsidR="00330AF0" w:rsidRDefault="000F2F12" w:rsidP="00CE1608">
      <w:pPr>
        <w:pStyle w:val="ListParagraph"/>
        <w:numPr>
          <w:ilvl w:val="1"/>
          <w:numId w:val="2"/>
        </w:numPr>
        <w:tabs>
          <w:tab w:val="left" w:pos="1800"/>
        </w:tabs>
        <w:spacing w:before="0"/>
        <w:ind w:left="1440" w:right="123" w:hanging="720"/>
        <w:rPr>
          <w:sz w:val="24"/>
          <w:szCs w:val="24"/>
        </w:rPr>
      </w:pPr>
      <w:r w:rsidRPr="004A59A3">
        <w:rPr>
          <w:sz w:val="24"/>
          <w:szCs w:val="24"/>
        </w:rPr>
        <w:t>Reimbursements authorized under this policy</w:t>
      </w:r>
      <w:r w:rsidR="00F160AA">
        <w:rPr>
          <w:sz w:val="24"/>
          <w:szCs w:val="24"/>
        </w:rPr>
        <w:t xml:space="preserve"> should be</w:t>
      </w:r>
      <w:r w:rsidRPr="004A59A3">
        <w:rPr>
          <w:sz w:val="24"/>
          <w:szCs w:val="24"/>
        </w:rPr>
        <w:t xml:space="preserve"> nominal in amount, infrequent in occurrence,</w:t>
      </w:r>
      <w:r w:rsidRPr="004A59A3">
        <w:rPr>
          <w:spacing w:val="31"/>
          <w:sz w:val="24"/>
          <w:szCs w:val="24"/>
        </w:rPr>
        <w:t xml:space="preserve"> </w:t>
      </w:r>
      <w:r w:rsidRPr="004A59A3">
        <w:rPr>
          <w:sz w:val="24"/>
          <w:szCs w:val="24"/>
        </w:rPr>
        <w:t>and</w:t>
      </w:r>
      <w:r w:rsidRPr="004A59A3">
        <w:rPr>
          <w:spacing w:val="31"/>
          <w:sz w:val="24"/>
          <w:szCs w:val="24"/>
        </w:rPr>
        <w:t xml:space="preserve"> </w:t>
      </w:r>
      <w:r w:rsidRPr="004A59A3">
        <w:rPr>
          <w:sz w:val="24"/>
          <w:szCs w:val="24"/>
        </w:rPr>
        <w:t>the</w:t>
      </w:r>
      <w:r w:rsidRPr="004A59A3">
        <w:rPr>
          <w:spacing w:val="31"/>
          <w:sz w:val="24"/>
          <w:szCs w:val="24"/>
        </w:rPr>
        <w:t xml:space="preserve"> </w:t>
      </w:r>
      <w:r w:rsidRPr="004A59A3">
        <w:rPr>
          <w:sz w:val="24"/>
          <w:szCs w:val="24"/>
        </w:rPr>
        <w:t>result</w:t>
      </w:r>
      <w:r w:rsidRPr="004A59A3">
        <w:rPr>
          <w:spacing w:val="31"/>
          <w:sz w:val="24"/>
          <w:szCs w:val="24"/>
        </w:rPr>
        <w:t xml:space="preserve"> </w:t>
      </w:r>
      <w:r w:rsidRPr="004A59A3">
        <w:rPr>
          <w:sz w:val="24"/>
          <w:szCs w:val="24"/>
        </w:rPr>
        <w:t>of</w:t>
      </w:r>
      <w:r w:rsidRPr="004A59A3">
        <w:rPr>
          <w:spacing w:val="31"/>
          <w:sz w:val="24"/>
          <w:szCs w:val="24"/>
        </w:rPr>
        <w:t xml:space="preserve"> </w:t>
      </w:r>
      <w:r w:rsidRPr="004A59A3">
        <w:rPr>
          <w:sz w:val="24"/>
          <w:szCs w:val="24"/>
        </w:rPr>
        <w:t>extraordinary</w:t>
      </w:r>
      <w:r w:rsidRPr="004A59A3">
        <w:rPr>
          <w:spacing w:val="30"/>
          <w:sz w:val="24"/>
          <w:szCs w:val="24"/>
        </w:rPr>
        <w:t xml:space="preserve"> </w:t>
      </w:r>
      <w:r w:rsidRPr="004A59A3">
        <w:rPr>
          <w:sz w:val="24"/>
          <w:szCs w:val="24"/>
        </w:rPr>
        <w:t>circumstances</w:t>
      </w:r>
      <w:r w:rsidRPr="004A59A3">
        <w:rPr>
          <w:spacing w:val="30"/>
          <w:sz w:val="24"/>
          <w:szCs w:val="24"/>
        </w:rPr>
        <w:t xml:space="preserve"> </w:t>
      </w:r>
      <w:r w:rsidRPr="004A59A3">
        <w:rPr>
          <w:sz w:val="24"/>
          <w:szCs w:val="24"/>
        </w:rPr>
        <w:t>which</w:t>
      </w:r>
      <w:r w:rsidRPr="004A59A3">
        <w:rPr>
          <w:spacing w:val="31"/>
          <w:sz w:val="24"/>
          <w:szCs w:val="24"/>
        </w:rPr>
        <w:t xml:space="preserve"> </w:t>
      </w:r>
      <w:r w:rsidRPr="004A59A3">
        <w:rPr>
          <w:sz w:val="24"/>
          <w:szCs w:val="24"/>
        </w:rPr>
        <w:t>prevent</w:t>
      </w:r>
      <w:r w:rsidRPr="004A59A3">
        <w:rPr>
          <w:spacing w:val="31"/>
          <w:sz w:val="24"/>
          <w:szCs w:val="24"/>
        </w:rPr>
        <w:t xml:space="preserve"> </w:t>
      </w:r>
      <w:r w:rsidRPr="004A59A3">
        <w:rPr>
          <w:sz w:val="24"/>
          <w:szCs w:val="24"/>
        </w:rPr>
        <w:t>the use of regular purchasing procedures.</w:t>
      </w:r>
    </w:p>
    <w:p w14:paraId="73BAC0CF" w14:textId="77777777" w:rsidR="00F06B48" w:rsidRPr="004A59A3" w:rsidRDefault="00F06B48" w:rsidP="00CE1608">
      <w:pPr>
        <w:pStyle w:val="ListParagraph"/>
        <w:spacing w:before="0"/>
        <w:ind w:left="1440" w:right="123" w:firstLine="0"/>
        <w:rPr>
          <w:sz w:val="24"/>
          <w:szCs w:val="24"/>
        </w:rPr>
      </w:pPr>
    </w:p>
    <w:p w14:paraId="1EA84DE2" w14:textId="3F984883" w:rsidR="00330AF0" w:rsidRDefault="000F2F12" w:rsidP="00CE1608">
      <w:pPr>
        <w:pStyle w:val="ListParagraph"/>
        <w:numPr>
          <w:ilvl w:val="1"/>
          <w:numId w:val="2"/>
        </w:numPr>
        <w:spacing w:before="0"/>
        <w:ind w:left="1440" w:right="123" w:hanging="720"/>
        <w:rPr>
          <w:sz w:val="24"/>
          <w:szCs w:val="24"/>
        </w:rPr>
      </w:pPr>
      <w:r w:rsidRPr="004A59A3">
        <w:rPr>
          <w:sz w:val="24"/>
          <w:szCs w:val="24"/>
        </w:rPr>
        <w:t xml:space="preserve">Reimbursements </w:t>
      </w:r>
      <w:r w:rsidR="00AB1A54">
        <w:rPr>
          <w:sz w:val="24"/>
          <w:szCs w:val="24"/>
        </w:rPr>
        <w:t>will be</w:t>
      </w:r>
      <w:r w:rsidRPr="004A59A3">
        <w:rPr>
          <w:sz w:val="24"/>
          <w:szCs w:val="24"/>
        </w:rPr>
        <w:t xml:space="preserve"> made for an expenditure from personal funds only if the expenditure was incurred on behalf of Texas State </w:t>
      </w:r>
      <w:r w:rsidR="00AB1A54">
        <w:rPr>
          <w:sz w:val="24"/>
          <w:szCs w:val="24"/>
        </w:rPr>
        <w:t>University</w:t>
      </w:r>
      <w:r w:rsidR="005E509B" w:rsidRPr="004A59A3">
        <w:rPr>
          <w:sz w:val="24"/>
          <w:szCs w:val="24"/>
        </w:rPr>
        <w:t xml:space="preserve"> </w:t>
      </w:r>
      <w:r w:rsidRPr="004A59A3">
        <w:rPr>
          <w:sz w:val="24"/>
          <w:szCs w:val="24"/>
        </w:rPr>
        <w:t>to accomplish activities related to the university’s mission.</w:t>
      </w:r>
    </w:p>
    <w:p w14:paraId="7C0B8245" w14:textId="77777777" w:rsidR="00F06B48" w:rsidRPr="00F06B48" w:rsidRDefault="00F06B48" w:rsidP="00CE1608">
      <w:pPr>
        <w:ind w:right="123"/>
        <w:rPr>
          <w:sz w:val="24"/>
          <w:szCs w:val="24"/>
        </w:rPr>
      </w:pPr>
    </w:p>
    <w:p w14:paraId="39C0876E" w14:textId="3D33203E" w:rsidR="00330AF0" w:rsidRDefault="000F2F12" w:rsidP="00CE1608">
      <w:pPr>
        <w:pStyle w:val="ListParagraph"/>
        <w:numPr>
          <w:ilvl w:val="1"/>
          <w:numId w:val="2"/>
        </w:numPr>
        <w:spacing w:before="0"/>
        <w:ind w:left="1440" w:right="123" w:hanging="720"/>
        <w:rPr>
          <w:sz w:val="24"/>
          <w:szCs w:val="24"/>
        </w:rPr>
      </w:pPr>
      <w:r w:rsidRPr="004A59A3">
        <w:rPr>
          <w:sz w:val="24"/>
          <w:szCs w:val="24"/>
        </w:rPr>
        <w:t>Reimbursements</w:t>
      </w:r>
      <w:r w:rsidR="00AB1A54">
        <w:rPr>
          <w:sz w:val="24"/>
          <w:szCs w:val="24"/>
        </w:rPr>
        <w:t xml:space="preserve"> will</w:t>
      </w:r>
      <w:r w:rsidRPr="004A59A3">
        <w:rPr>
          <w:sz w:val="24"/>
          <w:szCs w:val="24"/>
        </w:rPr>
        <w:t xml:space="preserve"> only </w:t>
      </w:r>
      <w:r w:rsidR="00AB1A54">
        <w:rPr>
          <w:sz w:val="24"/>
          <w:szCs w:val="24"/>
        </w:rPr>
        <w:t xml:space="preserve">be </w:t>
      </w:r>
      <w:r w:rsidRPr="004A59A3">
        <w:rPr>
          <w:sz w:val="24"/>
          <w:szCs w:val="24"/>
        </w:rPr>
        <w:t xml:space="preserve">made with adequate documentation. </w:t>
      </w:r>
      <w:r w:rsidR="00F160AA">
        <w:rPr>
          <w:sz w:val="24"/>
          <w:szCs w:val="24"/>
        </w:rPr>
        <w:t xml:space="preserve">This </w:t>
      </w:r>
      <w:r w:rsidR="00F160AA" w:rsidRPr="004A59A3">
        <w:rPr>
          <w:sz w:val="24"/>
          <w:szCs w:val="24"/>
        </w:rPr>
        <w:t>includes</w:t>
      </w:r>
      <w:r w:rsidRPr="004A59A3">
        <w:rPr>
          <w:sz w:val="24"/>
          <w:szCs w:val="24"/>
        </w:rPr>
        <w:t xml:space="preserve"> an itemized invoice or comparable item from the vendor (refer to Section 02.02 for further guidance). The </w:t>
      </w:r>
      <w:r w:rsidR="00AB1A54">
        <w:rPr>
          <w:sz w:val="24"/>
          <w:szCs w:val="24"/>
        </w:rPr>
        <w:t>d</w:t>
      </w:r>
      <w:r w:rsidR="006624B2" w:rsidRPr="004A59A3">
        <w:rPr>
          <w:sz w:val="24"/>
          <w:szCs w:val="24"/>
        </w:rPr>
        <w:t xml:space="preserve">irector </w:t>
      </w:r>
      <w:r w:rsidRPr="004A59A3">
        <w:rPr>
          <w:sz w:val="24"/>
          <w:szCs w:val="24"/>
        </w:rPr>
        <w:t>of Account</w:t>
      </w:r>
      <w:r w:rsidR="006624B2" w:rsidRPr="004A59A3">
        <w:rPr>
          <w:sz w:val="24"/>
          <w:szCs w:val="24"/>
        </w:rPr>
        <w:t>s Payable and Travel</w:t>
      </w:r>
      <w:r w:rsidRPr="004A59A3">
        <w:rPr>
          <w:sz w:val="24"/>
          <w:szCs w:val="24"/>
        </w:rPr>
        <w:t xml:space="preserve">, or </w:t>
      </w:r>
      <w:proofErr w:type="gramStart"/>
      <w:r w:rsidR="00AB1A54">
        <w:rPr>
          <w:sz w:val="24"/>
          <w:szCs w:val="24"/>
        </w:rPr>
        <w:t>designee</w:t>
      </w:r>
      <w:proofErr w:type="gramEnd"/>
      <w:r w:rsidRPr="004A59A3">
        <w:rPr>
          <w:sz w:val="24"/>
          <w:szCs w:val="24"/>
        </w:rPr>
        <w:t>, is authorized to determine the adequacy of documentation for reimbursement requests.</w:t>
      </w:r>
    </w:p>
    <w:p w14:paraId="575245D2" w14:textId="77777777" w:rsidR="00F06B48" w:rsidRPr="00F06B48" w:rsidRDefault="00F06B48" w:rsidP="00CE1608">
      <w:pPr>
        <w:ind w:right="123"/>
        <w:rPr>
          <w:sz w:val="24"/>
          <w:szCs w:val="24"/>
        </w:rPr>
      </w:pPr>
    </w:p>
    <w:p w14:paraId="2A1866DF" w14:textId="73BAA4E0" w:rsidR="00330AF0" w:rsidRPr="00AB1A54" w:rsidRDefault="000F2F12" w:rsidP="00CE1608">
      <w:pPr>
        <w:pStyle w:val="ListParagraph"/>
        <w:numPr>
          <w:ilvl w:val="1"/>
          <w:numId w:val="2"/>
        </w:numPr>
        <w:spacing w:before="0"/>
        <w:ind w:left="1440" w:right="123" w:hanging="720"/>
        <w:rPr>
          <w:sz w:val="24"/>
          <w:szCs w:val="24"/>
        </w:rPr>
      </w:pPr>
      <w:r w:rsidRPr="004A59A3">
        <w:rPr>
          <w:sz w:val="24"/>
          <w:szCs w:val="24"/>
        </w:rPr>
        <w:t>Allowable</w:t>
      </w:r>
      <w:r w:rsidRPr="004A59A3">
        <w:rPr>
          <w:spacing w:val="8"/>
          <w:sz w:val="24"/>
          <w:szCs w:val="24"/>
        </w:rPr>
        <w:t xml:space="preserve"> </w:t>
      </w:r>
      <w:r w:rsidRPr="004A59A3">
        <w:rPr>
          <w:sz w:val="24"/>
          <w:szCs w:val="24"/>
        </w:rPr>
        <w:t>reimbursements</w:t>
      </w:r>
      <w:r w:rsidRPr="004A59A3">
        <w:rPr>
          <w:spacing w:val="9"/>
          <w:sz w:val="24"/>
          <w:szCs w:val="24"/>
        </w:rPr>
        <w:t xml:space="preserve"> </w:t>
      </w:r>
      <w:r w:rsidR="00256FBA" w:rsidRPr="004A59A3">
        <w:rPr>
          <w:spacing w:val="9"/>
          <w:sz w:val="24"/>
          <w:szCs w:val="24"/>
        </w:rPr>
        <w:t xml:space="preserve">may </w:t>
      </w:r>
      <w:r w:rsidRPr="004A59A3">
        <w:rPr>
          <w:sz w:val="24"/>
          <w:szCs w:val="24"/>
        </w:rPr>
        <w:t>include,</w:t>
      </w:r>
      <w:r w:rsidRPr="004A59A3">
        <w:rPr>
          <w:spacing w:val="8"/>
          <w:sz w:val="24"/>
          <w:szCs w:val="24"/>
        </w:rPr>
        <w:t xml:space="preserve"> </w:t>
      </w:r>
      <w:r w:rsidRPr="004A59A3">
        <w:rPr>
          <w:sz w:val="24"/>
          <w:szCs w:val="24"/>
        </w:rPr>
        <w:t>but</w:t>
      </w:r>
      <w:r w:rsidRPr="004A59A3">
        <w:rPr>
          <w:spacing w:val="9"/>
          <w:sz w:val="24"/>
          <w:szCs w:val="24"/>
        </w:rPr>
        <w:t xml:space="preserve"> </w:t>
      </w:r>
      <w:r w:rsidRPr="004A59A3">
        <w:rPr>
          <w:sz w:val="24"/>
          <w:szCs w:val="24"/>
        </w:rPr>
        <w:t>are</w:t>
      </w:r>
      <w:r w:rsidRPr="004A59A3">
        <w:rPr>
          <w:spacing w:val="8"/>
          <w:sz w:val="24"/>
          <w:szCs w:val="24"/>
        </w:rPr>
        <w:t xml:space="preserve"> </w:t>
      </w:r>
      <w:r w:rsidRPr="004A59A3">
        <w:rPr>
          <w:sz w:val="24"/>
          <w:szCs w:val="24"/>
        </w:rPr>
        <w:t>not</w:t>
      </w:r>
      <w:r w:rsidRPr="004A59A3">
        <w:rPr>
          <w:spacing w:val="10"/>
          <w:sz w:val="24"/>
          <w:szCs w:val="24"/>
        </w:rPr>
        <w:t xml:space="preserve"> </w:t>
      </w:r>
      <w:r w:rsidRPr="004A59A3">
        <w:rPr>
          <w:sz w:val="24"/>
          <w:szCs w:val="24"/>
        </w:rPr>
        <w:t>limited</w:t>
      </w:r>
      <w:r w:rsidRPr="004A59A3">
        <w:rPr>
          <w:spacing w:val="8"/>
          <w:sz w:val="24"/>
          <w:szCs w:val="24"/>
        </w:rPr>
        <w:t xml:space="preserve"> </w:t>
      </w:r>
      <w:r w:rsidRPr="004A59A3">
        <w:rPr>
          <w:spacing w:val="-5"/>
          <w:sz w:val="24"/>
          <w:szCs w:val="24"/>
        </w:rPr>
        <w:t>to:</w:t>
      </w:r>
    </w:p>
    <w:p w14:paraId="68E850C5" w14:textId="77777777" w:rsidR="00AB1A54" w:rsidRPr="00AB1A54" w:rsidRDefault="00AB1A54" w:rsidP="00CE1608">
      <w:pPr>
        <w:ind w:right="123"/>
        <w:rPr>
          <w:sz w:val="24"/>
          <w:szCs w:val="24"/>
        </w:rPr>
      </w:pPr>
    </w:p>
    <w:p w14:paraId="052F3FAC" w14:textId="77777777" w:rsidR="00330AF0" w:rsidRPr="00F06B48" w:rsidRDefault="000F2F12" w:rsidP="00CE1608">
      <w:pPr>
        <w:pStyle w:val="ListParagraph"/>
        <w:numPr>
          <w:ilvl w:val="2"/>
          <w:numId w:val="2"/>
        </w:numPr>
        <w:spacing w:before="0"/>
        <w:ind w:left="1800" w:right="123" w:hanging="360"/>
        <w:rPr>
          <w:sz w:val="24"/>
          <w:szCs w:val="24"/>
        </w:rPr>
      </w:pPr>
      <w:r w:rsidRPr="004A59A3">
        <w:rPr>
          <w:sz w:val="24"/>
          <w:szCs w:val="24"/>
        </w:rPr>
        <w:t>supplies,</w:t>
      </w:r>
      <w:r w:rsidRPr="004A59A3">
        <w:rPr>
          <w:spacing w:val="7"/>
          <w:sz w:val="24"/>
          <w:szCs w:val="24"/>
        </w:rPr>
        <w:t xml:space="preserve"> </w:t>
      </w:r>
      <w:r w:rsidRPr="004A59A3">
        <w:rPr>
          <w:sz w:val="24"/>
          <w:szCs w:val="24"/>
        </w:rPr>
        <w:t>books,</w:t>
      </w:r>
      <w:r w:rsidRPr="004A59A3">
        <w:rPr>
          <w:spacing w:val="8"/>
          <w:sz w:val="24"/>
          <w:szCs w:val="24"/>
        </w:rPr>
        <w:t xml:space="preserve"> </w:t>
      </w:r>
      <w:r w:rsidRPr="004A59A3">
        <w:rPr>
          <w:sz w:val="24"/>
          <w:szCs w:val="24"/>
        </w:rPr>
        <w:t>or</w:t>
      </w:r>
      <w:r w:rsidRPr="004A59A3">
        <w:rPr>
          <w:spacing w:val="7"/>
          <w:sz w:val="24"/>
          <w:szCs w:val="24"/>
        </w:rPr>
        <w:t xml:space="preserve"> </w:t>
      </w:r>
      <w:r w:rsidRPr="004A59A3">
        <w:rPr>
          <w:sz w:val="24"/>
          <w:szCs w:val="24"/>
        </w:rPr>
        <w:t>other</w:t>
      </w:r>
      <w:r w:rsidRPr="004A59A3">
        <w:rPr>
          <w:spacing w:val="8"/>
          <w:sz w:val="24"/>
          <w:szCs w:val="24"/>
        </w:rPr>
        <w:t xml:space="preserve"> </w:t>
      </w:r>
      <w:r w:rsidRPr="004A59A3">
        <w:rPr>
          <w:sz w:val="24"/>
          <w:szCs w:val="24"/>
        </w:rPr>
        <w:t>operating</w:t>
      </w:r>
      <w:r w:rsidRPr="004A59A3">
        <w:rPr>
          <w:spacing w:val="8"/>
          <w:sz w:val="24"/>
          <w:szCs w:val="24"/>
        </w:rPr>
        <w:t xml:space="preserve"> </w:t>
      </w:r>
      <w:proofErr w:type="gramStart"/>
      <w:r w:rsidRPr="004A59A3">
        <w:rPr>
          <w:spacing w:val="-2"/>
          <w:sz w:val="24"/>
          <w:szCs w:val="24"/>
        </w:rPr>
        <w:t>materials;</w:t>
      </w:r>
      <w:proofErr w:type="gramEnd"/>
    </w:p>
    <w:p w14:paraId="774D4C19" w14:textId="77777777" w:rsidR="00F06B48" w:rsidRPr="004A59A3" w:rsidRDefault="00F06B48" w:rsidP="00CE1608">
      <w:pPr>
        <w:pStyle w:val="ListParagraph"/>
        <w:spacing w:before="0"/>
        <w:ind w:left="1800" w:right="123" w:firstLine="0"/>
        <w:rPr>
          <w:sz w:val="24"/>
          <w:szCs w:val="24"/>
        </w:rPr>
      </w:pPr>
    </w:p>
    <w:p w14:paraId="00AA67FB" w14:textId="77777777" w:rsidR="00330AF0" w:rsidRDefault="000F2F12" w:rsidP="00CE1608">
      <w:pPr>
        <w:pStyle w:val="ListParagraph"/>
        <w:numPr>
          <w:ilvl w:val="2"/>
          <w:numId w:val="2"/>
        </w:numPr>
        <w:spacing w:before="0"/>
        <w:ind w:left="1800" w:right="123" w:hanging="360"/>
        <w:rPr>
          <w:sz w:val="24"/>
          <w:szCs w:val="24"/>
        </w:rPr>
      </w:pPr>
      <w:r w:rsidRPr="004A59A3">
        <w:rPr>
          <w:sz w:val="24"/>
          <w:szCs w:val="24"/>
        </w:rPr>
        <w:t>registration fees paid to attend training or conferences when not practical to include on the travel expense report or to pay via P-</w:t>
      </w:r>
      <w:proofErr w:type="gramStart"/>
      <w:r w:rsidRPr="004A59A3">
        <w:rPr>
          <w:sz w:val="24"/>
          <w:szCs w:val="24"/>
        </w:rPr>
        <w:t>card;</w:t>
      </w:r>
      <w:proofErr w:type="gramEnd"/>
    </w:p>
    <w:p w14:paraId="77BE7FA6" w14:textId="77777777" w:rsidR="00F06B48" w:rsidRPr="00F06B48" w:rsidRDefault="00F06B48" w:rsidP="00CE1608">
      <w:pPr>
        <w:ind w:right="123"/>
        <w:rPr>
          <w:sz w:val="24"/>
          <w:szCs w:val="24"/>
        </w:rPr>
      </w:pPr>
    </w:p>
    <w:p w14:paraId="2463A808" w14:textId="7CBD00F2" w:rsidR="00330AF0" w:rsidRDefault="000F2F12" w:rsidP="00CE1608">
      <w:pPr>
        <w:pStyle w:val="ListParagraph"/>
        <w:numPr>
          <w:ilvl w:val="2"/>
          <w:numId w:val="2"/>
        </w:numPr>
        <w:spacing w:before="0"/>
        <w:ind w:left="1800" w:right="123" w:hanging="360"/>
        <w:rPr>
          <w:sz w:val="24"/>
          <w:szCs w:val="24"/>
        </w:rPr>
      </w:pPr>
      <w:r w:rsidRPr="004A59A3">
        <w:rPr>
          <w:sz w:val="24"/>
          <w:szCs w:val="24"/>
        </w:rPr>
        <w:t xml:space="preserve">purchases of food, sales </w:t>
      </w:r>
      <w:r w:rsidR="00185964" w:rsidRPr="004A59A3">
        <w:rPr>
          <w:sz w:val="24"/>
          <w:szCs w:val="24"/>
        </w:rPr>
        <w:t>taxes,</w:t>
      </w:r>
      <w:r w:rsidRPr="004A59A3">
        <w:rPr>
          <w:sz w:val="24"/>
          <w:szCs w:val="24"/>
        </w:rPr>
        <w:t xml:space="preserve"> and tips in accordance with </w:t>
      </w:r>
      <w:hyperlink r:id="rId7" w:history="1">
        <w:r w:rsidR="00256FBA" w:rsidRPr="00AB1A54">
          <w:rPr>
            <w:rStyle w:val="Hyperlink"/>
            <w:sz w:val="24"/>
            <w:szCs w:val="24"/>
          </w:rPr>
          <w:t>UPPS</w:t>
        </w:r>
        <w:r w:rsidRPr="00AB1A54">
          <w:rPr>
            <w:rStyle w:val="Hyperlink"/>
            <w:sz w:val="24"/>
            <w:szCs w:val="24"/>
          </w:rPr>
          <w:t xml:space="preserve"> No. 03.</w:t>
        </w:r>
        <w:r w:rsidR="00E310B2" w:rsidRPr="00AB1A54">
          <w:rPr>
            <w:rStyle w:val="Hyperlink"/>
            <w:sz w:val="24"/>
            <w:szCs w:val="24"/>
          </w:rPr>
          <w:t>01</w:t>
        </w:r>
        <w:r w:rsidR="00256FBA" w:rsidRPr="00AB1A54">
          <w:rPr>
            <w:rStyle w:val="Hyperlink"/>
            <w:sz w:val="24"/>
            <w:szCs w:val="24"/>
          </w:rPr>
          <w:t>.</w:t>
        </w:r>
        <w:r w:rsidR="4B023D0D" w:rsidRPr="00AB1A54">
          <w:rPr>
            <w:rStyle w:val="Hyperlink"/>
            <w:sz w:val="24"/>
            <w:szCs w:val="24"/>
          </w:rPr>
          <w:t>29</w:t>
        </w:r>
      </w:hyperlink>
      <w:r w:rsidRPr="00AB1A54">
        <w:rPr>
          <w:sz w:val="24"/>
          <w:szCs w:val="24"/>
        </w:rPr>
        <w:t>, Business Meals and Food Purchases</w:t>
      </w:r>
      <w:r w:rsidRPr="004A59A3">
        <w:rPr>
          <w:sz w:val="24"/>
          <w:szCs w:val="24"/>
        </w:rPr>
        <w:t>; and</w:t>
      </w:r>
    </w:p>
    <w:p w14:paraId="02FE3C6F" w14:textId="77777777" w:rsidR="00F06B48" w:rsidRPr="00F06B48" w:rsidRDefault="00F06B48" w:rsidP="00CE1608">
      <w:pPr>
        <w:ind w:right="123"/>
        <w:rPr>
          <w:sz w:val="24"/>
          <w:szCs w:val="24"/>
        </w:rPr>
      </w:pPr>
    </w:p>
    <w:p w14:paraId="1E31F5F4" w14:textId="77777777" w:rsidR="00330AF0" w:rsidRDefault="000F2F12" w:rsidP="00CE1608">
      <w:pPr>
        <w:pStyle w:val="ListParagraph"/>
        <w:numPr>
          <w:ilvl w:val="2"/>
          <w:numId w:val="2"/>
        </w:numPr>
        <w:spacing w:before="0"/>
        <w:ind w:left="1800" w:right="123" w:hanging="360"/>
        <w:rPr>
          <w:sz w:val="24"/>
          <w:szCs w:val="24"/>
        </w:rPr>
      </w:pPr>
      <w:r w:rsidRPr="004A59A3">
        <w:rPr>
          <w:sz w:val="24"/>
          <w:szCs w:val="24"/>
        </w:rPr>
        <w:t>incidental travel expenses which were not included with the traveler’s original expense report.</w:t>
      </w:r>
    </w:p>
    <w:p w14:paraId="74CD9514" w14:textId="77777777" w:rsidR="00F06B48" w:rsidRPr="004A59A3" w:rsidRDefault="00F06B48" w:rsidP="00CE1608">
      <w:pPr>
        <w:pStyle w:val="ListParagraph"/>
        <w:spacing w:before="0"/>
        <w:ind w:left="1800" w:right="123" w:firstLine="0"/>
        <w:rPr>
          <w:sz w:val="24"/>
          <w:szCs w:val="24"/>
        </w:rPr>
      </w:pPr>
    </w:p>
    <w:p w14:paraId="56B4AC15" w14:textId="6B8434AA" w:rsidR="00D07898" w:rsidRDefault="00D07898" w:rsidP="00CE1608">
      <w:pPr>
        <w:pStyle w:val="ListParagraph"/>
        <w:numPr>
          <w:ilvl w:val="1"/>
          <w:numId w:val="2"/>
        </w:numPr>
        <w:spacing w:before="0"/>
        <w:ind w:left="1440" w:right="123" w:hanging="720"/>
        <w:rPr>
          <w:sz w:val="24"/>
          <w:szCs w:val="24"/>
        </w:rPr>
      </w:pPr>
      <w:bookmarkStart w:id="0" w:name="_Hlk144273865"/>
      <w:r w:rsidRPr="004A59A3">
        <w:rPr>
          <w:sz w:val="24"/>
          <w:szCs w:val="24"/>
        </w:rPr>
        <w:t xml:space="preserve">Use of personal funds </w:t>
      </w:r>
      <w:bookmarkStart w:id="1" w:name="_Hlk151973143"/>
      <w:r w:rsidRPr="004A59A3">
        <w:rPr>
          <w:sz w:val="24"/>
          <w:szCs w:val="24"/>
        </w:rPr>
        <w:t xml:space="preserve">should be a rare occurrence necessitated by </w:t>
      </w:r>
      <w:r w:rsidRPr="004A59A3">
        <w:rPr>
          <w:sz w:val="24"/>
          <w:szCs w:val="24"/>
        </w:rPr>
        <w:lastRenderedPageBreak/>
        <w:t xml:space="preserve">unforeseen or emergency situations. P-Card suspension status does not </w:t>
      </w:r>
      <w:proofErr w:type="gramStart"/>
      <w:r w:rsidRPr="004A59A3">
        <w:rPr>
          <w:sz w:val="24"/>
          <w:szCs w:val="24"/>
        </w:rPr>
        <w:t>warrant</w:t>
      </w:r>
      <w:proofErr w:type="gramEnd"/>
      <w:r w:rsidRPr="004A59A3">
        <w:rPr>
          <w:sz w:val="24"/>
          <w:szCs w:val="24"/>
        </w:rPr>
        <w:t xml:space="preserve"> an approved condition for using personal funds. Texas sales tax of purchases made with personal funds are applicable. A </w:t>
      </w:r>
      <w:hyperlink r:id="rId8" w:history="1">
        <w:r w:rsidRPr="001B272F">
          <w:rPr>
            <w:rStyle w:val="Hyperlink"/>
            <w:sz w:val="24"/>
            <w:szCs w:val="24"/>
          </w:rPr>
          <w:t>Texas Sales Tax Exemption Certificate</w:t>
        </w:r>
        <w:r w:rsidR="001B272F" w:rsidRPr="001B272F">
          <w:rPr>
            <w:rStyle w:val="Hyperlink"/>
            <w:sz w:val="24"/>
            <w:szCs w:val="24"/>
          </w:rPr>
          <w:t xml:space="preserve"> form</w:t>
        </w:r>
      </w:hyperlink>
      <w:r w:rsidRPr="004A59A3">
        <w:rPr>
          <w:sz w:val="24"/>
          <w:szCs w:val="24"/>
        </w:rPr>
        <w:t xml:space="preserve"> should be presented to the vendor prior to the purchase. Employees who fail to present a </w:t>
      </w:r>
      <w:hyperlink r:id="rId9" w:history="1">
        <w:r w:rsidRPr="001B272F">
          <w:rPr>
            <w:rStyle w:val="Hyperlink"/>
            <w:sz w:val="24"/>
            <w:szCs w:val="24"/>
          </w:rPr>
          <w:t>Texas Sales Tax Exemption Certificate</w:t>
        </w:r>
        <w:r w:rsidR="001B272F" w:rsidRPr="001B272F">
          <w:rPr>
            <w:rStyle w:val="Hyperlink"/>
            <w:sz w:val="24"/>
            <w:szCs w:val="24"/>
          </w:rPr>
          <w:t xml:space="preserve"> form</w:t>
        </w:r>
      </w:hyperlink>
      <w:r w:rsidRPr="004A59A3">
        <w:rPr>
          <w:sz w:val="24"/>
          <w:szCs w:val="24"/>
        </w:rPr>
        <w:t xml:space="preserve"> will not be reimbursed for the tax amount. If the vendor does not accept the </w:t>
      </w:r>
      <w:hyperlink r:id="rId10" w:history="1">
        <w:r w:rsidRPr="001B272F">
          <w:rPr>
            <w:rStyle w:val="Hyperlink"/>
            <w:sz w:val="24"/>
            <w:szCs w:val="24"/>
          </w:rPr>
          <w:t>Texas Sales Tax Exemption Certificate</w:t>
        </w:r>
        <w:r w:rsidR="001B272F" w:rsidRPr="001B272F">
          <w:rPr>
            <w:rStyle w:val="Hyperlink"/>
            <w:sz w:val="24"/>
            <w:szCs w:val="24"/>
          </w:rPr>
          <w:t xml:space="preserve"> form</w:t>
        </w:r>
      </w:hyperlink>
      <w:r w:rsidRPr="004A59A3">
        <w:rPr>
          <w:sz w:val="24"/>
          <w:szCs w:val="24"/>
        </w:rPr>
        <w:t xml:space="preserve">, a statement that the </w:t>
      </w:r>
      <w:hyperlink r:id="rId11" w:history="1">
        <w:r w:rsidRPr="001B272F">
          <w:rPr>
            <w:rStyle w:val="Hyperlink"/>
            <w:sz w:val="24"/>
            <w:szCs w:val="24"/>
          </w:rPr>
          <w:t>Texas Sales Tax Exemption Certificate</w:t>
        </w:r>
        <w:r w:rsidR="001B272F" w:rsidRPr="001B272F">
          <w:rPr>
            <w:rStyle w:val="Hyperlink"/>
            <w:sz w:val="24"/>
            <w:szCs w:val="24"/>
          </w:rPr>
          <w:t xml:space="preserve"> form</w:t>
        </w:r>
      </w:hyperlink>
      <w:r w:rsidRPr="004A59A3">
        <w:rPr>
          <w:sz w:val="24"/>
          <w:szCs w:val="24"/>
        </w:rPr>
        <w:t xml:space="preserve"> was not accepted should be attached to the request for reimbursement. For more detailed information concerning tax-exempt and taxable purchases, visit the Accounts Payable and Travel web site, </w:t>
      </w:r>
      <w:hyperlink r:id="rId12" w:history="1">
        <w:r w:rsidRPr="004A59A3">
          <w:rPr>
            <w:rStyle w:val="Hyperlink"/>
            <w:sz w:val="24"/>
            <w:szCs w:val="24"/>
          </w:rPr>
          <w:t>Texas Sales</w:t>
        </w:r>
        <w:r w:rsidR="001B272F">
          <w:rPr>
            <w:rStyle w:val="Hyperlink"/>
            <w:sz w:val="24"/>
            <w:szCs w:val="24"/>
          </w:rPr>
          <w:t xml:space="preserve"> </w:t>
        </w:r>
        <w:r w:rsidRPr="004A59A3">
          <w:rPr>
            <w:rStyle w:val="Hyperlink"/>
            <w:sz w:val="24"/>
            <w:szCs w:val="24"/>
          </w:rPr>
          <w:t>Taxes on Purchases</w:t>
        </w:r>
      </w:hyperlink>
      <w:r w:rsidRPr="004A59A3">
        <w:rPr>
          <w:sz w:val="24"/>
          <w:szCs w:val="24"/>
        </w:rPr>
        <w:t>.</w:t>
      </w:r>
      <w:bookmarkEnd w:id="0"/>
      <w:bookmarkEnd w:id="1"/>
    </w:p>
    <w:p w14:paraId="6B038956" w14:textId="77777777" w:rsidR="00F06B48" w:rsidRPr="004A59A3" w:rsidRDefault="00F06B48" w:rsidP="00CE1608">
      <w:pPr>
        <w:pStyle w:val="ListParagraph"/>
        <w:spacing w:before="0"/>
        <w:ind w:left="1440" w:right="123" w:firstLine="0"/>
        <w:rPr>
          <w:sz w:val="24"/>
          <w:szCs w:val="24"/>
        </w:rPr>
      </w:pPr>
    </w:p>
    <w:p w14:paraId="262E5B85" w14:textId="13A70C67" w:rsidR="00330AF0" w:rsidRDefault="00D07898" w:rsidP="00CE1608">
      <w:pPr>
        <w:pStyle w:val="ListParagraph"/>
        <w:numPr>
          <w:ilvl w:val="1"/>
          <w:numId w:val="2"/>
        </w:numPr>
        <w:spacing w:before="0"/>
        <w:ind w:left="1440" w:right="123" w:hanging="720"/>
        <w:rPr>
          <w:sz w:val="24"/>
          <w:szCs w:val="24"/>
        </w:rPr>
      </w:pPr>
      <w:r w:rsidRPr="004A59A3">
        <w:rPr>
          <w:sz w:val="24"/>
          <w:szCs w:val="24"/>
        </w:rPr>
        <w:t xml:space="preserve">Taxes for which </w:t>
      </w:r>
      <w:r w:rsidR="005E509B" w:rsidRPr="004A59A3">
        <w:rPr>
          <w:sz w:val="24"/>
          <w:szCs w:val="24"/>
        </w:rPr>
        <w:t>T</w:t>
      </w:r>
      <w:r w:rsidR="001B272F">
        <w:rPr>
          <w:sz w:val="24"/>
          <w:szCs w:val="24"/>
        </w:rPr>
        <w:t>exas State</w:t>
      </w:r>
      <w:r w:rsidRPr="004A59A3">
        <w:rPr>
          <w:sz w:val="24"/>
          <w:szCs w:val="24"/>
        </w:rPr>
        <w:t xml:space="preserve"> is not legally exempt, such as out-of-state sales tax, </w:t>
      </w:r>
      <w:r w:rsidR="0011070D">
        <w:rPr>
          <w:sz w:val="24"/>
          <w:szCs w:val="24"/>
        </w:rPr>
        <w:t>will be</w:t>
      </w:r>
      <w:r w:rsidRPr="004A59A3">
        <w:rPr>
          <w:sz w:val="24"/>
          <w:szCs w:val="24"/>
        </w:rPr>
        <w:t xml:space="preserve"> reimbursable.</w:t>
      </w:r>
      <w:r w:rsidR="00F06B48">
        <w:rPr>
          <w:sz w:val="24"/>
          <w:szCs w:val="24"/>
        </w:rPr>
        <w:t xml:space="preserve"> </w:t>
      </w:r>
      <w:r w:rsidR="000F2F12" w:rsidRPr="00F06B48">
        <w:rPr>
          <w:sz w:val="24"/>
          <w:szCs w:val="24"/>
        </w:rPr>
        <w:t>Reimbursements will not be made for personal funds expended for capital or controlled assets</w:t>
      </w:r>
      <w:r w:rsidR="001A76C8" w:rsidRPr="00F06B48">
        <w:rPr>
          <w:sz w:val="24"/>
          <w:szCs w:val="24"/>
        </w:rPr>
        <w:t xml:space="preserve">, or software and </w:t>
      </w:r>
      <w:r w:rsidR="00DC4F51" w:rsidRPr="00F06B48">
        <w:rPr>
          <w:sz w:val="24"/>
          <w:szCs w:val="24"/>
        </w:rPr>
        <w:t xml:space="preserve">IT </w:t>
      </w:r>
      <w:r w:rsidR="001A76C8" w:rsidRPr="00F06B48">
        <w:rPr>
          <w:sz w:val="24"/>
          <w:szCs w:val="24"/>
        </w:rPr>
        <w:t>hardware</w:t>
      </w:r>
      <w:r w:rsidR="000F2F12" w:rsidRPr="00F06B48">
        <w:rPr>
          <w:sz w:val="24"/>
          <w:szCs w:val="24"/>
        </w:rPr>
        <w:t xml:space="preserve"> to ensure state requirements are met regarding inventorying and tagging capital equipment</w:t>
      </w:r>
      <w:r w:rsidR="001A76C8" w:rsidRPr="00F06B48">
        <w:rPr>
          <w:sz w:val="24"/>
          <w:szCs w:val="24"/>
        </w:rPr>
        <w:t>,</w:t>
      </w:r>
      <w:r w:rsidR="000F2F12" w:rsidRPr="00F06B48">
        <w:rPr>
          <w:sz w:val="24"/>
          <w:szCs w:val="24"/>
        </w:rPr>
        <w:t xml:space="preserve"> controlled items</w:t>
      </w:r>
      <w:r w:rsidR="001A76C8" w:rsidRPr="00F06B48">
        <w:rPr>
          <w:sz w:val="24"/>
          <w:szCs w:val="24"/>
        </w:rPr>
        <w:t>, and IT security</w:t>
      </w:r>
      <w:r w:rsidR="000F2F12" w:rsidRPr="00F06B48">
        <w:rPr>
          <w:sz w:val="24"/>
          <w:szCs w:val="24"/>
        </w:rPr>
        <w:t>.</w:t>
      </w:r>
    </w:p>
    <w:p w14:paraId="130383A8" w14:textId="77777777" w:rsidR="00F06B48" w:rsidRPr="00F06B48" w:rsidRDefault="00F06B48" w:rsidP="00CE1608">
      <w:pPr>
        <w:ind w:right="123"/>
        <w:rPr>
          <w:sz w:val="24"/>
          <w:szCs w:val="24"/>
        </w:rPr>
      </w:pPr>
    </w:p>
    <w:p w14:paraId="08536FC8" w14:textId="14EF0EB0" w:rsidR="00DF6CC5" w:rsidRPr="00F06B48" w:rsidRDefault="00DF6CC5" w:rsidP="00CE1608">
      <w:pPr>
        <w:pStyle w:val="ListParagraph"/>
        <w:numPr>
          <w:ilvl w:val="1"/>
          <w:numId w:val="2"/>
        </w:numPr>
        <w:tabs>
          <w:tab w:val="left" w:pos="1407"/>
          <w:tab w:val="left" w:pos="1530"/>
        </w:tabs>
        <w:spacing w:before="0"/>
        <w:ind w:left="1440" w:right="123" w:hanging="720"/>
        <w:rPr>
          <w:sz w:val="24"/>
          <w:szCs w:val="24"/>
        </w:rPr>
      </w:pPr>
      <w:r w:rsidRPr="004A59A3">
        <w:rPr>
          <w:sz w:val="24"/>
          <w:szCs w:val="24"/>
        </w:rPr>
        <w:t xml:space="preserve">Agency funds are not subject to this policy. </w:t>
      </w:r>
      <w:hyperlink r:id="rId13" w:history="1">
        <w:r w:rsidRPr="001B272F">
          <w:rPr>
            <w:rStyle w:val="Hyperlink"/>
            <w:sz w:val="24"/>
            <w:szCs w:val="24"/>
          </w:rPr>
          <w:t>UPPS No. 03.01.10</w:t>
        </w:r>
      </w:hyperlink>
      <w:r w:rsidRPr="001B272F">
        <w:rPr>
          <w:sz w:val="24"/>
          <w:szCs w:val="24"/>
        </w:rPr>
        <w:t>, Student Organization Accounting System</w:t>
      </w:r>
      <w:r w:rsidRPr="004A59A3">
        <w:rPr>
          <w:sz w:val="24"/>
          <w:szCs w:val="24"/>
        </w:rPr>
        <w:t xml:space="preserve">, and </w:t>
      </w:r>
      <w:hyperlink r:id="rId14" w:history="1">
        <w:r w:rsidRPr="001B272F">
          <w:rPr>
            <w:rStyle w:val="Hyperlink"/>
            <w:sz w:val="24"/>
            <w:szCs w:val="24"/>
          </w:rPr>
          <w:t>UPPS No. 03.01.15</w:t>
        </w:r>
      </w:hyperlink>
      <w:r w:rsidRPr="001B272F">
        <w:rPr>
          <w:sz w:val="24"/>
          <w:szCs w:val="24"/>
        </w:rPr>
        <w:t>, Custodial Fund</w:t>
      </w:r>
      <w:r w:rsidR="0011070D">
        <w:rPr>
          <w:sz w:val="24"/>
          <w:szCs w:val="24"/>
        </w:rPr>
        <w:t>s provide additional information</w:t>
      </w:r>
      <w:r w:rsidRPr="004A59A3">
        <w:rPr>
          <w:spacing w:val="-2"/>
          <w:sz w:val="24"/>
          <w:szCs w:val="24"/>
        </w:rPr>
        <w:t>.</w:t>
      </w:r>
    </w:p>
    <w:p w14:paraId="52AB34A0" w14:textId="77777777" w:rsidR="00F06B48" w:rsidRPr="00F06B48" w:rsidRDefault="00F06B48" w:rsidP="00CE1608">
      <w:pPr>
        <w:tabs>
          <w:tab w:val="left" w:pos="1407"/>
        </w:tabs>
        <w:ind w:right="123"/>
        <w:rPr>
          <w:sz w:val="24"/>
          <w:szCs w:val="24"/>
        </w:rPr>
      </w:pPr>
    </w:p>
    <w:p w14:paraId="57CAB85E" w14:textId="732333C6" w:rsidR="00DF6CC5" w:rsidRPr="004A59A3" w:rsidRDefault="00DF6CC5" w:rsidP="00CE1608">
      <w:pPr>
        <w:pStyle w:val="ListParagraph"/>
        <w:numPr>
          <w:ilvl w:val="1"/>
          <w:numId w:val="2"/>
        </w:numPr>
        <w:tabs>
          <w:tab w:val="left" w:pos="1407"/>
        </w:tabs>
        <w:spacing w:before="0"/>
        <w:ind w:left="1440" w:right="130" w:hanging="720"/>
        <w:rPr>
          <w:sz w:val="24"/>
          <w:szCs w:val="24"/>
        </w:rPr>
      </w:pPr>
      <w:r w:rsidRPr="004A59A3">
        <w:rPr>
          <w:sz w:val="24"/>
          <w:szCs w:val="24"/>
        </w:rPr>
        <w:t>Exceptions to this policy resulting from extenuating circumstances may be granted by the respective division</w:t>
      </w:r>
      <w:r w:rsidR="0011070D">
        <w:rPr>
          <w:sz w:val="24"/>
          <w:szCs w:val="24"/>
        </w:rPr>
        <w:t>’s</w:t>
      </w:r>
      <w:r w:rsidRPr="004A59A3">
        <w:rPr>
          <w:sz w:val="24"/>
          <w:szCs w:val="24"/>
        </w:rPr>
        <w:t xml:space="preserve"> </w:t>
      </w:r>
      <w:r w:rsidR="001B272F">
        <w:rPr>
          <w:sz w:val="24"/>
          <w:szCs w:val="24"/>
        </w:rPr>
        <w:t>v</w:t>
      </w:r>
      <w:r w:rsidR="008C299D" w:rsidRPr="004A59A3">
        <w:rPr>
          <w:sz w:val="24"/>
          <w:szCs w:val="24"/>
        </w:rPr>
        <w:t xml:space="preserve">ice </w:t>
      </w:r>
      <w:r w:rsidR="001B272F">
        <w:rPr>
          <w:sz w:val="24"/>
          <w:szCs w:val="24"/>
        </w:rPr>
        <w:t>p</w:t>
      </w:r>
      <w:r w:rsidR="008C299D" w:rsidRPr="004A59A3">
        <w:rPr>
          <w:sz w:val="24"/>
          <w:szCs w:val="24"/>
        </w:rPr>
        <w:t>resident</w:t>
      </w:r>
      <w:r w:rsidRPr="004A59A3">
        <w:rPr>
          <w:sz w:val="24"/>
          <w:szCs w:val="24"/>
        </w:rPr>
        <w:t>. Written approval must be included in the supporting documentation for the payment request.</w:t>
      </w:r>
    </w:p>
    <w:p w14:paraId="65AD945B" w14:textId="77777777" w:rsidR="00330AF0" w:rsidRPr="004A59A3" w:rsidRDefault="00330AF0" w:rsidP="00CE1608">
      <w:pPr>
        <w:pStyle w:val="BodyText"/>
        <w:spacing w:before="0"/>
        <w:ind w:left="0" w:right="130" w:firstLine="0"/>
      </w:pPr>
    </w:p>
    <w:p w14:paraId="4F216649" w14:textId="77777777" w:rsidR="00330AF0" w:rsidRPr="00F06B48" w:rsidRDefault="000F2F12" w:rsidP="00CE1608">
      <w:pPr>
        <w:pStyle w:val="Heading1"/>
        <w:numPr>
          <w:ilvl w:val="0"/>
          <w:numId w:val="2"/>
        </w:numPr>
        <w:ind w:left="720" w:right="123" w:hanging="720"/>
        <w:rPr>
          <w:rFonts w:ascii="Arial" w:hAnsi="Arial" w:cs="Arial"/>
          <w:sz w:val="24"/>
          <w:szCs w:val="24"/>
        </w:rPr>
      </w:pPr>
      <w:r w:rsidRPr="004A59A3">
        <w:rPr>
          <w:rFonts w:ascii="Arial" w:hAnsi="Arial" w:cs="Arial"/>
          <w:sz w:val="24"/>
          <w:szCs w:val="24"/>
        </w:rPr>
        <w:t>PROCEDURES</w:t>
      </w:r>
      <w:r w:rsidRPr="004A59A3">
        <w:rPr>
          <w:rFonts w:ascii="Arial" w:hAnsi="Arial" w:cs="Arial"/>
          <w:spacing w:val="-20"/>
          <w:sz w:val="24"/>
          <w:szCs w:val="24"/>
        </w:rPr>
        <w:t xml:space="preserve"> </w:t>
      </w:r>
      <w:r w:rsidRPr="004A59A3">
        <w:rPr>
          <w:rFonts w:ascii="Arial" w:hAnsi="Arial" w:cs="Arial"/>
          <w:sz w:val="24"/>
          <w:szCs w:val="24"/>
        </w:rPr>
        <w:t>FOR</w:t>
      </w:r>
      <w:r w:rsidRPr="004A59A3">
        <w:rPr>
          <w:rFonts w:ascii="Arial" w:hAnsi="Arial" w:cs="Arial"/>
          <w:spacing w:val="-20"/>
          <w:sz w:val="24"/>
          <w:szCs w:val="24"/>
        </w:rPr>
        <w:t xml:space="preserve"> </w:t>
      </w:r>
      <w:r w:rsidRPr="004A59A3">
        <w:rPr>
          <w:rFonts w:ascii="Arial" w:hAnsi="Arial" w:cs="Arial"/>
          <w:spacing w:val="-2"/>
          <w:sz w:val="24"/>
          <w:szCs w:val="24"/>
        </w:rPr>
        <w:t>REIMBURSEMENT</w:t>
      </w:r>
    </w:p>
    <w:p w14:paraId="42810E91" w14:textId="77777777" w:rsidR="00F06B48" w:rsidRPr="004A59A3" w:rsidRDefault="00F06B48" w:rsidP="00CE1608">
      <w:pPr>
        <w:pStyle w:val="Heading1"/>
        <w:ind w:left="720" w:right="123" w:firstLine="0"/>
        <w:rPr>
          <w:rFonts w:ascii="Arial" w:hAnsi="Arial" w:cs="Arial"/>
          <w:sz w:val="24"/>
          <w:szCs w:val="24"/>
        </w:rPr>
      </w:pPr>
    </w:p>
    <w:p w14:paraId="4F5DE8B1" w14:textId="0C3EA7F7" w:rsidR="00330AF0" w:rsidRDefault="000F2F12" w:rsidP="00CE1608">
      <w:pPr>
        <w:pStyle w:val="ListParagraph"/>
        <w:numPr>
          <w:ilvl w:val="1"/>
          <w:numId w:val="2"/>
        </w:numPr>
        <w:spacing w:before="0"/>
        <w:ind w:left="1440" w:right="123" w:hanging="720"/>
        <w:rPr>
          <w:sz w:val="24"/>
          <w:szCs w:val="24"/>
        </w:rPr>
      </w:pPr>
      <w:r w:rsidRPr="004A59A3">
        <w:rPr>
          <w:sz w:val="24"/>
          <w:szCs w:val="24"/>
        </w:rPr>
        <w:t xml:space="preserve">Requests for reimbursement </w:t>
      </w:r>
      <w:r w:rsidR="001B272F">
        <w:rPr>
          <w:sz w:val="24"/>
          <w:szCs w:val="24"/>
        </w:rPr>
        <w:t>will be</w:t>
      </w:r>
      <w:r w:rsidRPr="004A59A3">
        <w:rPr>
          <w:sz w:val="24"/>
          <w:szCs w:val="24"/>
        </w:rPr>
        <w:t xml:space="preserve"> made using an e-NPO transaction in SAP. </w:t>
      </w:r>
      <w:r w:rsidR="001B272F">
        <w:rPr>
          <w:sz w:val="24"/>
          <w:szCs w:val="24"/>
        </w:rPr>
        <w:t>T</w:t>
      </w:r>
      <w:r w:rsidRPr="004A59A3">
        <w:rPr>
          <w:sz w:val="24"/>
          <w:szCs w:val="24"/>
        </w:rPr>
        <w:t xml:space="preserve">he e-NPOs page on the </w:t>
      </w:r>
      <w:hyperlink r:id="rId15" w:history="1">
        <w:r w:rsidRPr="004A59A3">
          <w:rPr>
            <w:rStyle w:val="Hyperlink"/>
            <w:sz w:val="24"/>
            <w:szCs w:val="24"/>
          </w:rPr>
          <w:t>Accounts Payable</w:t>
        </w:r>
      </w:hyperlink>
      <w:r w:rsidRPr="004A59A3">
        <w:rPr>
          <w:sz w:val="24"/>
          <w:szCs w:val="24"/>
        </w:rPr>
        <w:t xml:space="preserve"> website</w:t>
      </w:r>
      <w:r w:rsidRPr="004A59A3">
        <w:rPr>
          <w:color w:val="005381"/>
          <w:sz w:val="24"/>
          <w:szCs w:val="24"/>
        </w:rPr>
        <w:t xml:space="preserve"> </w:t>
      </w:r>
      <w:r w:rsidR="001B272F">
        <w:rPr>
          <w:sz w:val="24"/>
          <w:szCs w:val="24"/>
        </w:rPr>
        <w:t>provides</w:t>
      </w:r>
      <w:r w:rsidRPr="004A59A3">
        <w:rPr>
          <w:sz w:val="24"/>
          <w:szCs w:val="24"/>
        </w:rPr>
        <w:t xml:space="preserve"> instructions and training.</w:t>
      </w:r>
    </w:p>
    <w:p w14:paraId="08D6C131" w14:textId="77777777" w:rsidR="00F06B48" w:rsidRPr="00F06B48" w:rsidRDefault="00F06B48" w:rsidP="00CE1608">
      <w:pPr>
        <w:ind w:left="720" w:right="123"/>
        <w:rPr>
          <w:sz w:val="24"/>
          <w:szCs w:val="24"/>
        </w:rPr>
      </w:pPr>
    </w:p>
    <w:p w14:paraId="60B4B6E6" w14:textId="58ABC75F" w:rsidR="00330AF0" w:rsidRDefault="000F2F12" w:rsidP="00CE1608">
      <w:pPr>
        <w:pStyle w:val="ListParagraph"/>
        <w:numPr>
          <w:ilvl w:val="1"/>
          <w:numId w:val="2"/>
        </w:numPr>
        <w:spacing w:before="0"/>
        <w:ind w:left="1440" w:right="123" w:hanging="720"/>
        <w:rPr>
          <w:sz w:val="24"/>
          <w:szCs w:val="24"/>
        </w:rPr>
      </w:pPr>
      <w:r w:rsidRPr="004A59A3">
        <w:rPr>
          <w:sz w:val="24"/>
          <w:szCs w:val="24"/>
        </w:rPr>
        <w:t xml:space="preserve">Documentation to support the e-NPO transaction must include a detailed invoice, sales ticket, receipt, or comparable confirmation from the vendor that the expense was incurred and paid. A credit card receipt including only the </w:t>
      </w:r>
      <w:r w:rsidR="001B272F" w:rsidRPr="004A59A3">
        <w:rPr>
          <w:sz w:val="24"/>
          <w:szCs w:val="24"/>
        </w:rPr>
        <w:t>total amount</w:t>
      </w:r>
      <w:r w:rsidRPr="004A59A3">
        <w:rPr>
          <w:sz w:val="24"/>
          <w:szCs w:val="24"/>
        </w:rPr>
        <w:t xml:space="preserve"> is not adequate documentation. The method of payment should be reflected </w:t>
      </w:r>
      <w:r w:rsidR="001B272F" w:rsidRPr="004A59A3">
        <w:rPr>
          <w:sz w:val="24"/>
          <w:szCs w:val="24"/>
        </w:rPr>
        <w:t>in</w:t>
      </w:r>
      <w:r w:rsidRPr="004A59A3">
        <w:rPr>
          <w:sz w:val="24"/>
          <w:szCs w:val="24"/>
        </w:rPr>
        <w:t xml:space="preserve"> the documentation provided by the vendor. Additional supporting documentation may be required, such as a conference agenda for registration fees.</w:t>
      </w:r>
    </w:p>
    <w:p w14:paraId="7B384B9B" w14:textId="77777777" w:rsidR="00F06B48" w:rsidRPr="00F06B48" w:rsidRDefault="00F06B48" w:rsidP="00CE1608">
      <w:pPr>
        <w:ind w:right="123"/>
        <w:rPr>
          <w:sz w:val="24"/>
          <w:szCs w:val="24"/>
        </w:rPr>
      </w:pPr>
    </w:p>
    <w:p w14:paraId="21121861" w14:textId="6B6FD3DA" w:rsidR="00554D31" w:rsidRDefault="00554D31" w:rsidP="00CE1608">
      <w:pPr>
        <w:pStyle w:val="ListParagraph"/>
        <w:numPr>
          <w:ilvl w:val="1"/>
          <w:numId w:val="2"/>
        </w:numPr>
        <w:spacing w:before="0"/>
        <w:ind w:left="1440" w:right="123" w:hanging="720"/>
        <w:rPr>
          <w:sz w:val="24"/>
          <w:szCs w:val="24"/>
        </w:rPr>
      </w:pPr>
      <w:r>
        <w:rPr>
          <w:sz w:val="24"/>
          <w:szCs w:val="24"/>
        </w:rPr>
        <w:t xml:space="preserve">When reimbursing employees for expenses using the e-NPO process, an Employee Reimbursement Certification Statement must be attached to certify the validity of the expenses and that they have not been reimbursed by any other means. </w:t>
      </w:r>
    </w:p>
    <w:p w14:paraId="4E3E1083" w14:textId="77777777" w:rsidR="00554D31" w:rsidRPr="00554D31" w:rsidRDefault="00554D31" w:rsidP="00CE1608">
      <w:pPr>
        <w:rPr>
          <w:sz w:val="24"/>
          <w:szCs w:val="24"/>
        </w:rPr>
      </w:pPr>
    </w:p>
    <w:p w14:paraId="53BDCBC8" w14:textId="1A0DDE33" w:rsidR="00330AF0" w:rsidRPr="00F06B48" w:rsidRDefault="000F2F12" w:rsidP="00CE1608">
      <w:pPr>
        <w:pStyle w:val="ListParagraph"/>
        <w:numPr>
          <w:ilvl w:val="1"/>
          <w:numId w:val="2"/>
        </w:numPr>
        <w:spacing w:before="0"/>
        <w:ind w:left="1440" w:right="123" w:hanging="720"/>
        <w:rPr>
          <w:sz w:val="24"/>
          <w:szCs w:val="24"/>
        </w:rPr>
      </w:pPr>
      <w:r w:rsidRPr="004A59A3">
        <w:rPr>
          <w:sz w:val="24"/>
          <w:szCs w:val="24"/>
        </w:rPr>
        <w:t xml:space="preserve">To obtain reimbursement under this policy, requests must be submitted no later than 60 days from the date the expenditure occurred. Where multiple receipts support the payment request, the earliest date will determine the 60-day </w:t>
      </w:r>
      <w:r w:rsidR="00A96C2C" w:rsidRPr="004A59A3">
        <w:rPr>
          <w:sz w:val="24"/>
          <w:szCs w:val="24"/>
        </w:rPr>
        <w:t>timeframe</w:t>
      </w:r>
      <w:r w:rsidRPr="004A59A3">
        <w:rPr>
          <w:spacing w:val="4"/>
          <w:sz w:val="24"/>
          <w:szCs w:val="24"/>
        </w:rPr>
        <w:t xml:space="preserve"> </w:t>
      </w:r>
      <w:r w:rsidRPr="004A59A3">
        <w:rPr>
          <w:sz w:val="24"/>
          <w:szCs w:val="24"/>
        </w:rPr>
        <w:t>for</w:t>
      </w:r>
      <w:r w:rsidRPr="004A59A3">
        <w:rPr>
          <w:spacing w:val="4"/>
          <w:sz w:val="24"/>
          <w:szCs w:val="24"/>
        </w:rPr>
        <w:t xml:space="preserve"> </w:t>
      </w:r>
      <w:r w:rsidRPr="004A59A3">
        <w:rPr>
          <w:sz w:val="24"/>
          <w:szCs w:val="24"/>
        </w:rPr>
        <w:t>the</w:t>
      </w:r>
      <w:r w:rsidRPr="004A59A3">
        <w:rPr>
          <w:spacing w:val="4"/>
          <w:sz w:val="24"/>
          <w:szCs w:val="24"/>
        </w:rPr>
        <w:t xml:space="preserve"> </w:t>
      </w:r>
      <w:r w:rsidRPr="004A59A3">
        <w:rPr>
          <w:spacing w:val="-2"/>
          <w:sz w:val="24"/>
          <w:szCs w:val="24"/>
        </w:rPr>
        <w:t>request.</w:t>
      </w:r>
    </w:p>
    <w:p w14:paraId="4CF3B2C6" w14:textId="77777777" w:rsidR="00F06B48" w:rsidRPr="00F06B48" w:rsidRDefault="00F06B48" w:rsidP="00CE1608">
      <w:pPr>
        <w:ind w:right="123"/>
        <w:rPr>
          <w:sz w:val="24"/>
          <w:szCs w:val="24"/>
        </w:rPr>
      </w:pPr>
    </w:p>
    <w:p w14:paraId="333F8AE7" w14:textId="77777777" w:rsidR="00330AF0" w:rsidRPr="00F06B48" w:rsidRDefault="000F2F12" w:rsidP="00CE1608">
      <w:pPr>
        <w:pStyle w:val="ListParagraph"/>
        <w:numPr>
          <w:ilvl w:val="1"/>
          <w:numId w:val="2"/>
        </w:numPr>
        <w:spacing w:before="0"/>
        <w:ind w:left="1440" w:right="123" w:hanging="720"/>
        <w:rPr>
          <w:sz w:val="24"/>
          <w:szCs w:val="24"/>
        </w:rPr>
      </w:pPr>
      <w:r w:rsidRPr="004A59A3">
        <w:rPr>
          <w:sz w:val="24"/>
          <w:szCs w:val="24"/>
        </w:rPr>
        <w:t xml:space="preserve">Account manager approval is required for the employee reimbursement to be </w:t>
      </w:r>
      <w:r w:rsidRPr="004A59A3">
        <w:rPr>
          <w:spacing w:val="-2"/>
          <w:sz w:val="24"/>
          <w:szCs w:val="24"/>
        </w:rPr>
        <w:t>processed.</w:t>
      </w:r>
    </w:p>
    <w:p w14:paraId="6757287D" w14:textId="77777777" w:rsidR="00F06B48" w:rsidRPr="00F06B48" w:rsidRDefault="00F06B48" w:rsidP="00CE1608">
      <w:pPr>
        <w:ind w:right="123"/>
        <w:rPr>
          <w:sz w:val="24"/>
          <w:szCs w:val="24"/>
        </w:rPr>
      </w:pPr>
    </w:p>
    <w:p w14:paraId="27C09231" w14:textId="20627EBC" w:rsidR="00330AF0" w:rsidRPr="004A59A3" w:rsidRDefault="000F2F12" w:rsidP="00CE1608">
      <w:pPr>
        <w:pStyle w:val="ListParagraph"/>
        <w:numPr>
          <w:ilvl w:val="1"/>
          <w:numId w:val="2"/>
        </w:numPr>
        <w:spacing w:before="0"/>
        <w:ind w:left="1440" w:right="130" w:hanging="720"/>
        <w:rPr>
          <w:sz w:val="24"/>
          <w:szCs w:val="24"/>
        </w:rPr>
      </w:pPr>
      <w:r w:rsidRPr="004A59A3">
        <w:rPr>
          <w:sz w:val="24"/>
          <w:szCs w:val="24"/>
        </w:rPr>
        <w:t xml:space="preserve">Accounts Payable will review and process the reimbursement after a complete e-NPO, supported by adequate </w:t>
      </w:r>
      <w:r w:rsidR="00F06B48" w:rsidRPr="004A59A3">
        <w:rPr>
          <w:sz w:val="24"/>
          <w:szCs w:val="24"/>
        </w:rPr>
        <w:t>documentation,</w:t>
      </w:r>
      <w:r w:rsidRPr="004A59A3">
        <w:rPr>
          <w:sz w:val="24"/>
          <w:szCs w:val="24"/>
        </w:rPr>
        <w:t xml:space="preserve"> is received.</w:t>
      </w:r>
    </w:p>
    <w:p w14:paraId="21B52636" w14:textId="77777777" w:rsidR="00330AF0" w:rsidRPr="004A59A3" w:rsidRDefault="00330AF0" w:rsidP="00CE1608">
      <w:pPr>
        <w:pStyle w:val="BodyText"/>
        <w:spacing w:before="0"/>
        <w:ind w:left="0" w:right="130" w:firstLine="0"/>
      </w:pPr>
    </w:p>
    <w:p w14:paraId="3D87B93D" w14:textId="48B2FE6E" w:rsidR="00330AF0" w:rsidRPr="00F06B48" w:rsidRDefault="000F2F12" w:rsidP="00CE1608">
      <w:pPr>
        <w:pStyle w:val="Heading1"/>
        <w:numPr>
          <w:ilvl w:val="0"/>
          <w:numId w:val="2"/>
        </w:numPr>
        <w:ind w:left="720" w:right="130" w:hanging="720"/>
        <w:rPr>
          <w:rFonts w:ascii="Arial" w:hAnsi="Arial" w:cs="Arial"/>
          <w:sz w:val="24"/>
          <w:szCs w:val="24"/>
        </w:rPr>
      </w:pPr>
      <w:r w:rsidRPr="004A59A3">
        <w:rPr>
          <w:rFonts w:ascii="Arial" w:hAnsi="Arial" w:cs="Arial"/>
          <w:sz w:val="24"/>
          <w:szCs w:val="24"/>
        </w:rPr>
        <w:t>REVIEWERS</w:t>
      </w:r>
      <w:r w:rsidRPr="004A59A3">
        <w:rPr>
          <w:rFonts w:ascii="Arial" w:hAnsi="Arial" w:cs="Arial"/>
          <w:spacing w:val="-15"/>
          <w:sz w:val="24"/>
          <w:szCs w:val="24"/>
        </w:rPr>
        <w:t xml:space="preserve"> </w:t>
      </w:r>
      <w:r w:rsidRPr="004A59A3">
        <w:rPr>
          <w:rFonts w:ascii="Arial" w:hAnsi="Arial" w:cs="Arial"/>
          <w:sz w:val="24"/>
          <w:szCs w:val="24"/>
        </w:rPr>
        <w:t>OF</w:t>
      </w:r>
      <w:r w:rsidRPr="004A59A3">
        <w:rPr>
          <w:rFonts w:ascii="Arial" w:hAnsi="Arial" w:cs="Arial"/>
          <w:spacing w:val="-15"/>
          <w:sz w:val="24"/>
          <w:szCs w:val="24"/>
        </w:rPr>
        <w:t xml:space="preserve"> </w:t>
      </w:r>
      <w:r w:rsidRPr="004A59A3">
        <w:rPr>
          <w:rFonts w:ascii="Arial" w:hAnsi="Arial" w:cs="Arial"/>
          <w:sz w:val="24"/>
          <w:szCs w:val="24"/>
        </w:rPr>
        <w:t>THIS</w:t>
      </w:r>
      <w:r w:rsidRPr="004A59A3">
        <w:rPr>
          <w:rFonts w:ascii="Arial" w:hAnsi="Arial" w:cs="Arial"/>
          <w:spacing w:val="-15"/>
          <w:sz w:val="24"/>
          <w:szCs w:val="24"/>
        </w:rPr>
        <w:t xml:space="preserve"> U</w:t>
      </w:r>
      <w:r w:rsidRPr="004A59A3">
        <w:rPr>
          <w:rFonts w:ascii="Arial" w:hAnsi="Arial" w:cs="Arial"/>
          <w:spacing w:val="-5"/>
          <w:sz w:val="24"/>
          <w:szCs w:val="24"/>
        </w:rPr>
        <w:t>PPS</w:t>
      </w:r>
    </w:p>
    <w:p w14:paraId="30924D70" w14:textId="77777777" w:rsidR="00F06B48" w:rsidRPr="004A59A3" w:rsidRDefault="00F06B48" w:rsidP="00CE1608">
      <w:pPr>
        <w:pStyle w:val="Heading1"/>
        <w:ind w:left="720" w:right="130" w:firstLine="0"/>
        <w:rPr>
          <w:rFonts w:ascii="Arial" w:hAnsi="Arial" w:cs="Arial"/>
          <w:sz w:val="24"/>
          <w:szCs w:val="24"/>
        </w:rPr>
      </w:pPr>
    </w:p>
    <w:p w14:paraId="1ADA27EA" w14:textId="65836E65" w:rsidR="00330AF0" w:rsidRPr="00F06B48" w:rsidRDefault="000F2F12" w:rsidP="00CE1608">
      <w:pPr>
        <w:pStyle w:val="ListParagraph"/>
        <w:numPr>
          <w:ilvl w:val="1"/>
          <w:numId w:val="2"/>
        </w:numPr>
        <w:tabs>
          <w:tab w:val="left" w:pos="1407"/>
        </w:tabs>
        <w:spacing w:before="0"/>
        <w:ind w:left="1411" w:right="130" w:hanging="691"/>
        <w:rPr>
          <w:sz w:val="24"/>
          <w:szCs w:val="24"/>
        </w:rPr>
      </w:pPr>
      <w:r w:rsidRPr="004A59A3">
        <w:rPr>
          <w:sz w:val="24"/>
          <w:szCs w:val="24"/>
        </w:rPr>
        <w:t>Reviewer</w:t>
      </w:r>
      <w:r w:rsidRPr="004A59A3">
        <w:rPr>
          <w:spacing w:val="6"/>
          <w:sz w:val="24"/>
          <w:szCs w:val="24"/>
        </w:rPr>
        <w:t xml:space="preserve"> </w:t>
      </w:r>
      <w:r w:rsidRPr="004A59A3">
        <w:rPr>
          <w:sz w:val="24"/>
          <w:szCs w:val="24"/>
        </w:rPr>
        <w:t>of</w:t>
      </w:r>
      <w:r w:rsidRPr="004A59A3">
        <w:rPr>
          <w:spacing w:val="6"/>
          <w:sz w:val="24"/>
          <w:szCs w:val="24"/>
        </w:rPr>
        <w:t xml:space="preserve"> </w:t>
      </w:r>
      <w:r w:rsidRPr="004A59A3">
        <w:rPr>
          <w:sz w:val="24"/>
          <w:szCs w:val="24"/>
        </w:rPr>
        <w:t>this</w:t>
      </w:r>
      <w:r w:rsidRPr="004A59A3">
        <w:rPr>
          <w:spacing w:val="9"/>
          <w:sz w:val="24"/>
          <w:szCs w:val="24"/>
        </w:rPr>
        <w:t xml:space="preserve"> U</w:t>
      </w:r>
      <w:r w:rsidRPr="004A59A3">
        <w:rPr>
          <w:sz w:val="24"/>
          <w:szCs w:val="24"/>
        </w:rPr>
        <w:t>PPS</w:t>
      </w:r>
      <w:r w:rsidRPr="004A59A3">
        <w:rPr>
          <w:spacing w:val="5"/>
          <w:sz w:val="24"/>
          <w:szCs w:val="24"/>
        </w:rPr>
        <w:t xml:space="preserve"> </w:t>
      </w:r>
      <w:r w:rsidRPr="004A59A3">
        <w:rPr>
          <w:sz w:val="24"/>
          <w:szCs w:val="24"/>
        </w:rPr>
        <w:t>include</w:t>
      </w:r>
      <w:r w:rsidR="001B272F">
        <w:rPr>
          <w:sz w:val="24"/>
          <w:szCs w:val="24"/>
        </w:rPr>
        <w:t>s</w:t>
      </w:r>
      <w:r w:rsidRPr="004A59A3">
        <w:rPr>
          <w:spacing w:val="6"/>
          <w:sz w:val="24"/>
          <w:szCs w:val="24"/>
        </w:rPr>
        <w:t xml:space="preserve"> </w:t>
      </w:r>
      <w:r w:rsidRPr="004A59A3">
        <w:rPr>
          <w:sz w:val="24"/>
          <w:szCs w:val="24"/>
        </w:rPr>
        <w:t>the</w:t>
      </w:r>
      <w:r w:rsidRPr="004A59A3">
        <w:rPr>
          <w:spacing w:val="5"/>
          <w:sz w:val="24"/>
          <w:szCs w:val="24"/>
        </w:rPr>
        <w:t xml:space="preserve"> </w:t>
      </w:r>
      <w:r w:rsidRPr="004A59A3">
        <w:rPr>
          <w:spacing w:val="-2"/>
          <w:sz w:val="24"/>
          <w:szCs w:val="24"/>
        </w:rPr>
        <w:t>following:</w:t>
      </w:r>
    </w:p>
    <w:p w14:paraId="73CADA29" w14:textId="77777777" w:rsidR="00F06B48" w:rsidRDefault="00F06B48" w:rsidP="00CE1608">
      <w:pPr>
        <w:pStyle w:val="ListParagraph"/>
        <w:tabs>
          <w:tab w:val="left" w:pos="1407"/>
        </w:tabs>
        <w:spacing w:before="0"/>
        <w:ind w:left="1411" w:right="130" w:firstLine="0"/>
        <w:rPr>
          <w:spacing w:val="-2"/>
          <w:sz w:val="24"/>
          <w:szCs w:val="24"/>
        </w:rPr>
      </w:pPr>
    </w:p>
    <w:p w14:paraId="1A053F7D" w14:textId="365808DF" w:rsidR="00F06B48" w:rsidRDefault="00F06B48" w:rsidP="00CE1608">
      <w:pPr>
        <w:pStyle w:val="ListParagraph"/>
        <w:tabs>
          <w:tab w:val="left" w:pos="1407"/>
        </w:tabs>
        <w:spacing w:before="0"/>
        <w:ind w:left="1411" w:right="130" w:firstLine="0"/>
        <w:rPr>
          <w:spacing w:val="-2"/>
          <w:sz w:val="24"/>
          <w:szCs w:val="24"/>
        </w:rPr>
      </w:pPr>
      <w:r w:rsidRPr="001B272F">
        <w:rPr>
          <w:spacing w:val="-2"/>
          <w:sz w:val="24"/>
          <w:szCs w:val="24"/>
          <w:u w:val="single"/>
        </w:rPr>
        <w:t>Position</w:t>
      </w: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r>
      <w:r w:rsidRPr="001B272F">
        <w:rPr>
          <w:spacing w:val="-2"/>
          <w:sz w:val="24"/>
          <w:szCs w:val="24"/>
          <w:u w:val="single"/>
        </w:rPr>
        <w:t>Date</w:t>
      </w:r>
    </w:p>
    <w:p w14:paraId="778B165A" w14:textId="77777777" w:rsidR="00F06B48" w:rsidRDefault="00F06B48" w:rsidP="00CE1608">
      <w:pPr>
        <w:pStyle w:val="ListParagraph"/>
        <w:tabs>
          <w:tab w:val="left" w:pos="1407"/>
        </w:tabs>
        <w:spacing w:before="0"/>
        <w:ind w:left="1411" w:right="130" w:firstLine="0"/>
        <w:rPr>
          <w:spacing w:val="-2"/>
          <w:sz w:val="24"/>
          <w:szCs w:val="24"/>
        </w:rPr>
      </w:pPr>
    </w:p>
    <w:p w14:paraId="54ABFDB4" w14:textId="66C7F961" w:rsidR="00F06B48" w:rsidRPr="004A59A3" w:rsidRDefault="00F06B48" w:rsidP="00CE1608">
      <w:pPr>
        <w:pStyle w:val="ListParagraph"/>
        <w:tabs>
          <w:tab w:val="left" w:pos="1407"/>
        </w:tabs>
        <w:spacing w:before="0"/>
        <w:ind w:left="1411" w:right="130" w:firstLine="0"/>
        <w:rPr>
          <w:sz w:val="24"/>
          <w:szCs w:val="24"/>
        </w:rPr>
      </w:pPr>
      <w:r>
        <w:rPr>
          <w:spacing w:val="-2"/>
          <w:sz w:val="24"/>
          <w:szCs w:val="24"/>
        </w:rPr>
        <w:t>Director of Accounts Payable and Travel</w:t>
      </w:r>
      <w:r>
        <w:rPr>
          <w:spacing w:val="-2"/>
          <w:sz w:val="24"/>
          <w:szCs w:val="24"/>
        </w:rPr>
        <w:tab/>
      </w:r>
      <w:r>
        <w:rPr>
          <w:spacing w:val="-2"/>
          <w:sz w:val="24"/>
          <w:szCs w:val="24"/>
        </w:rPr>
        <w:tab/>
        <w:t>January 1 E5Y</w:t>
      </w:r>
    </w:p>
    <w:p w14:paraId="35C62012" w14:textId="77777777" w:rsidR="00330AF0" w:rsidRPr="004A59A3" w:rsidRDefault="00330AF0" w:rsidP="00CE1608">
      <w:pPr>
        <w:pStyle w:val="BodyText"/>
        <w:spacing w:before="0"/>
        <w:ind w:left="0" w:right="123" w:firstLine="0"/>
      </w:pPr>
    </w:p>
    <w:p w14:paraId="0CC91AB3" w14:textId="77777777" w:rsidR="00330AF0" w:rsidRPr="00F06B48" w:rsidRDefault="000F2F12" w:rsidP="00CE1608">
      <w:pPr>
        <w:pStyle w:val="Heading1"/>
        <w:numPr>
          <w:ilvl w:val="0"/>
          <w:numId w:val="2"/>
        </w:numPr>
        <w:ind w:left="720" w:right="130" w:hanging="720"/>
        <w:rPr>
          <w:rFonts w:ascii="Arial" w:hAnsi="Arial" w:cs="Arial"/>
          <w:sz w:val="24"/>
          <w:szCs w:val="24"/>
        </w:rPr>
      </w:pPr>
      <w:r w:rsidRPr="004A59A3">
        <w:rPr>
          <w:rFonts w:ascii="Arial" w:hAnsi="Arial" w:cs="Arial"/>
          <w:spacing w:val="-2"/>
          <w:sz w:val="24"/>
          <w:szCs w:val="24"/>
        </w:rPr>
        <w:t>CERTIFICATION</w:t>
      </w:r>
      <w:r w:rsidRPr="004A59A3">
        <w:rPr>
          <w:rFonts w:ascii="Arial" w:hAnsi="Arial" w:cs="Arial"/>
          <w:spacing w:val="-14"/>
          <w:sz w:val="24"/>
          <w:szCs w:val="24"/>
        </w:rPr>
        <w:t xml:space="preserve"> </w:t>
      </w:r>
      <w:r w:rsidRPr="004A59A3">
        <w:rPr>
          <w:rFonts w:ascii="Arial" w:hAnsi="Arial" w:cs="Arial"/>
          <w:spacing w:val="-2"/>
          <w:sz w:val="24"/>
          <w:szCs w:val="24"/>
        </w:rPr>
        <w:t>STATEMENT</w:t>
      </w:r>
    </w:p>
    <w:p w14:paraId="28F23319" w14:textId="77777777" w:rsidR="00F06B48" w:rsidRPr="004A59A3" w:rsidRDefault="00F06B48" w:rsidP="00CE1608">
      <w:pPr>
        <w:pStyle w:val="Heading1"/>
        <w:ind w:left="720" w:right="130" w:firstLine="0"/>
        <w:rPr>
          <w:rFonts w:ascii="Arial" w:hAnsi="Arial" w:cs="Arial"/>
          <w:sz w:val="24"/>
          <w:szCs w:val="24"/>
        </w:rPr>
      </w:pPr>
    </w:p>
    <w:p w14:paraId="1A11F56F" w14:textId="0A7C1CF7" w:rsidR="00330AF0" w:rsidRPr="004A59A3" w:rsidRDefault="000F2F12" w:rsidP="00CE1608">
      <w:pPr>
        <w:pStyle w:val="BodyText"/>
        <w:spacing w:before="0"/>
        <w:ind w:left="720" w:right="130" w:firstLine="0"/>
      </w:pPr>
      <w:r w:rsidRPr="004A59A3">
        <w:t xml:space="preserve">This </w:t>
      </w:r>
      <w:r w:rsidR="00A02198" w:rsidRPr="004A59A3">
        <w:t>U</w:t>
      </w:r>
      <w:r w:rsidRPr="004A59A3">
        <w:t>PPS has been approved by the following individuals in their official capacities and represents Texas State policy and procedure from the date of this document until superseded.</w:t>
      </w:r>
    </w:p>
    <w:p w14:paraId="66CCB29B" w14:textId="77777777" w:rsidR="00F06B48" w:rsidRDefault="00F06B48" w:rsidP="00CE1608">
      <w:pPr>
        <w:pStyle w:val="BodyText"/>
        <w:spacing w:before="0"/>
        <w:ind w:right="130"/>
      </w:pPr>
    </w:p>
    <w:p w14:paraId="010405D0" w14:textId="77777777" w:rsidR="000413AA" w:rsidRPr="003D612C" w:rsidRDefault="000413AA" w:rsidP="00CE1608">
      <w:pPr>
        <w:pStyle w:val="BodyText"/>
        <w:spacing w:before="0"/>
        <w:ind w:left="720" w:firstLine="0"/>
      </w:pPr>
      <w:r w:rsidRPr="003D612C">
        <w:rPr>
          <w:spacing w:val="-1"/>
        </w:rPr>
        <w:t>Director,</w:t>
      </w:r>
      <w:r w:rsidRPr="003D612C">
        <w:rPr>
          <w:spacing w:val="1"/>
        </w:rPr>
        <w:t xml:space="preserve"> </w:t>
      </w:r>
      <w:proofErr w:type="gramStart"/>
      <w:r w:rsidRPr="003D612C">
        <w:rPr>
          <w:spacing w:val="-1"/>
        </w:rPr>
        <w:t>Accounts Payable</w:t>
      </w:r>
      <w:proofErr w:type="gramEnd"/>
      <w:r w:rsidRPr="003D612C">
        <w:rPr>
          <w:spacing w:val="-1"/>
        </w:rPr>
        <w:t xml:space="preserve"> and Travel;</w:t>
      </w:r>
      <w:r w:rsidRPr="003D612C">
        <w:rPr>
          <w:spacing w:val="2"/>
        </w:rPr>
        <w:t xml:space="preserve"> </w:t>
      </w:r>
      <w:r w:rsidRPr="003D612C">
        <w:rPr>
          <w:spacing w:val="-1"/>
        </w:rPr>
        <w:t>senior</w:t>
      </w:r>
      <w:r w:rsidRPr="003D612C">
        <w:t xml:space="preserve"> r</w:t>
      </w:r>
      <w:r w:rsidRPr="003D612C">
        <w:rPr>
          <w:spacing w:val="-1"/>
        </w:rPr>
        <w:t>eviewer of this PPS</w:t>
      </w:r>
      <w:r w:rsidRPr="003D612C">
        <w:t xml:space="preserve">     </w:t>
      </w:r>
    </w:p>
    <w:p w14:paraId="1E24B36C" w14:textId="77777777" w:rsidR="000413AA" w:rsidRDefault="000413AA" w:rsidP="00CE1608">
      <w:pPr>
        <w:pStyle w:val="BodyText"/>
        <w:spacing w:before="0"/>
        <w:ind w:left="720" w:right="130" w:firstLine="0"/>
      </w:pPr>
    </w:p>
    <w:p w14:paraId="08033CFD" w14:textId="3F078276" w:rsidR="00224EC5" w:rsidRPr="004A59A3" w:rsidRDefault="000F2F12" w:rsidP="00CE1608">
      <w:pPr>
        <w:pStyle w:val="BodyText"/>
        <w:spacing w:before="0"/>
        <w:ind w:left="720" w:right="130" w:firstLine="0"/>
      </w:pPr>
      <w:r w:rsidRPr="004A59A3">
        <w:t xml:space="preserve">Associate Vice President for Financial Services </w:t>
      </w:r>
    </w:p>
    <w:p w14:paraId="7A861897" w14:textId="77777777" w:rsidR="00F06B48" w:rsidRDefault="00F06B48" w:rsidP="00CE1608">
      <w:pPr>
        <w:pStyle w:val="BodyText"/>
        <w:spacing w:before="0"/>
        <w:ind w:left="720" w:right="345" w:firstLine="0"/>
        <w:rPr>
          <w:color w:val="212121"/>
        </w:rPr>
      </w:pPr>
    </w:p>
    <w:p w14:paraId="63E2FEBE" w14:textId="55ECDA78" w:rsidR="00224EC5" w:rsidRPr="00255687" w:rsidRDefault="001340C6" w:rsidP="00CE1608">
      <w:pPr>
        <w:pStyle w:val="BodyText"/>
        <w:spacing w:before="0"/>
        <w:ind w:left="720" w:right="345" w:firstLine="0"/>
        <w:rPr>
          <w:color w:val="212121"/>
        </w:rPr>
      </w:pPr>
      <w:r w:rsidRPr="004A59A3">
        <w:rPr>
          <w:color w:val="212121"/>
        </w:rPr>
        <w:t>Executive Vice President for Operations</w:t>
      </w:r>
      <w:r w:rsidR="000F2F12" w:rsidRPr="004A59A3">
        <w:rPr>
          <w:color w:val="212121"/>
        </w:rPr>
        <w:t xml:space="preserve"> and</w:t>
      </w:r>
      <w:r w:rsidRPr="004A59A3">
        <w:rPr>
          <w:color w:val="212121"/>
        </w:rPr>
        <w:t xml:space="preserve"> Chief Financial Officer</w:t>
      </w:r>
    </w:p>
    <w:p w14:paraId="585B0F10" w14:textId="77777777" w:rsidR="00F06B48" w:rsidRDefault="00F06B48" w:rsidP="00E156BD">
      <w:pPr>
        <w:pStyle w:val="BodyText"/>
        <w:spacing w:before="0"/>
        <w:ind w:left="720" w:right="130" w:firstLine="0"/>
      </w:pPr>
    </w:p>
    <w:p w14:paraId="26803D0E" w14:textId="742EBE5A" w:rsidR="0011070D" w:rsidRPr="004A59A3" w:rsidRDefault="00601685" w:rsidP="00CE1608">
      <w:pPr>
        <w:pStyle w:val="BodyText"/>
        <w:spacing w:before="0"/>
        <w:ind w:left="720" w:right="130" w:firstLine="0"/>
      </w:pPr>
      <w:r w:rsidRPr="004A59A3">
        <w:t>President</w:t>
      </w:r>
    </w:p>
    <w:sectPr w:rsidR="0011070D" w:rsidRPr="004A59A3" w:rsidSect="00F06B4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62FC" w14:textId="77777777" w:rsidR="00F06B48" w:rsidRDefault="00F06B48" w:rsidP="00F06B48">
      <w:r>
        <w:separator/>
      </w:r>
    </w:p>
  </w:endnote>
  <w:endnote w:type="continuationSeparator" w:id="0">
    <w:p w14:paraId="2BC5E884" w14:textId="77777777" w:rsidR="00F06B48" w:rsidRDefault="00F06B48" w:rsidP="00F0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3DCF" w14:textId="77777777" w:rsidR="00F06B48" w:rsidRDefault="00F06B48" w:rsidP="00F06B48">
      <w:r>
        <w:separator/>
      </w:r>
    </w:p>
  </w:footnote>
  <w:footnote w:type="continuationSeparator" w:id="0">
    <w:p w14:paraId="3EC7AAC8" w14:textId="77777777" w:rsidR="00F06B48" w:rsidRDefault="00F06B48" w:rsidP="00F06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84342"/>
    <w:multiLevelType w:val="multilevel"/>
    <w:tmpl w:val="70C83D70"/>
    <w:lvl w:ilvl="0">
      <w:start w:val="1"/>
      <w:numFmt w:val="decimalZero"/>
      <w:lvlText w:val="%1."/>
      <w:lvlJc w:val="left"/>
      <w:pPr>
        <w:ind w:left="660" w:hanging="550"/>
      </w:pPr>
      <w:rPr>
        <w:rFonts w:ascii="Arial" w:eastAsia="Arial" w:hAnsi="Arial" w:cs="Arial" w:hint="default"/>
        <w:b/>
        <w:bCs/>
        <w:i w:val="0"/>
        <w:iCs w:val="0"/>
        <w:color w:val="auto"/>
        <w:spacing w:val="-1"/>
        <w:w w:val="99"/>
        <w:sz w:val="24"/>
        <w:szCs w:val="24"/>
        <w:lang w:val="en-US" w:eastAsia="en-US" w:bidi="ar-SA"/>
      </w:rPr>
    </w:lvl>
    <w:lvl w:ilvl="1">
      <w:start w:val="1"/>
      <w:numFmt w:val="decimalZero"/>
      <w:lvlText w:val="%1.%2"/>
      <w:lvlJc w:val="left"/>
      <w:pPr>
        <w:ind w:left="1407" w:hanging="747"/>
      </w:pPr>
      <w:rPr>
        <w:rFonts w:ascii="Arial" w:eastAsia="Arial" w:hAnsi="Arial" w:cs="Arial" w:hint="default"/>
        <w:b w:val="0"/>
        <w:bCs w:val="0"/>
        <w:i w:val="0"/>
        <w:iCs w:val="0"/>
        <w:w w:val="101"/>
        <w:sz w:val="24"/>
        <w:szCs w:val="24"/>
        <w:lang w:val="en-US" w:eastAsia="en-US" w:bidi="ar-SA"/>
      </w:rPr>
    </w:lvl>
    <w:lvl w:ilvl="2">
      <w:start w:val="1"/>
      <w:numFmt w:val="lowerLetter"/>
      <w:lvlText w:val="%3."/>
      <w:lvlJc w:val="left"/>
      <w:pPr>
        <w:ind w:left="1746" w:hanging="340"/>
      </w:pPr>
      <w:rPr>
        <w:rFonts w:ascii="Arial" w:eastAsia="Arial" w:hAnsi="Arial" w:cs="Arial" w:hint="default"/>
        <w:b w:val="0"/>
        <w:bCs w:val="0"/>
        <w:i w:val="0"/>
        <w:iCs w:val="0"/>
        <w:w w:val="101"/>
        <w:sz w:val="24"/>
        <w:szCs w:val="24"/>
        <w:lang w:val="en-US" w:eastAsia="en-US" w:bidi="ar-SA"/>
      </w:rPr>
    </w:lvl>
    <w:lvl w:ilvl="3">
      <w:numFmt w:val="bullet"/>
      <w:lvlText w:val="•"/>
      <w:lvlJc w:val="left"/>
      <w:pPr>
        <w:ind w:left="2820" w:hanging="340"/>
      </w:pPr>
      <w:rPr>
        <w:rFonts w:hint="default"/>
        <w:lang w:val="en-US" w:eastAsia="en-US" w:bidi="ar-SA"/>
      </w:rPr>
    </w:lvl>
    <w:lvl w:ilvl="4">
      <w:numFmt w:val="bullet"/>
      <w:lvlText w:val="•"/>
      <w:lvlJc w:val="left"/>
      <w:pPr>
        <w:ind w:left="3900" w:hanging="340"/>
      </w:pPr>
      <w:rPr>
        <w:rFonts w:hint="default"/>
        <w:lang w:val="en-US" w:eastAsia="en-US" w:bidi="ar-SA"/>
      </w:rPr>
    </w:lvl>
    <w:lvl w:ilvl="5">
      <w:numFmt w:val="bullet"/>
      <w:lvlText w:val="•"/>
      <w:lvlJc w:val="left"/>
      <w:pPr>
        <w:ind w:left="4980" w:hanging="340"/>
      </w:pPr>
      <w:rPr>
        <w:rFonts w:hint="default"/>
        <w:lang w:val="en-US" w:eastAsia="en-US" w:bidi="ar-SA"/>
      </w:rPr>
    </w:lvl>
    <w:lvl w:ilvl="6">
      <w:numFmt w:val="bullet"/>
      <w:lvlText w:val="•"/>
      <w:lvlJc w:val="left"/>
      <w:pPr>
        <w:ind w:left="6060" w:hanging="340"/>
      </w:pPr>
      <w:rPr>
        <w:rFonts w:hint="default"/>
        <w:lang w:val="en-US" w:eastAsia="en-US" w:bidi="ar-SA"/>
      </w:rPr>
    </w:lvl>
    <w:lvl w:ilvl="7">
      <w:numFmt w:val="bullet"/>
      <w:lvlText w:val="•"/>
      <w:lvlJc w:val="left"/>
      <w:pPr>
        <w:ind w:left="7140" w:hanging="340"/>
      </w:pPr>
      <w:rPr>
        <w:rFonts w:hint="default"/>
        <w:lang w:val="en-US" w:eastAsia="en-US" w:bidi="ar-SA"/>
      </w:rPr>
    </w:lvl>
    <w:lvl w:ilvl="8">
      <w:numFmt w:val="bullet"/>
      <w:lvlText w:val="•"/>
      <w:lvlJc w:val="left"/>
      <w:pPr>
        <w:ind w:left="8220" w:hanging="340"/>
      </w:pPr>
      <w:rPr>
        <w:rFonts w:hint="default"/>
        <w:lang w:val="en-US" w:eastAsia="en-US" w:bidi="ar-SA"/>
      </w:rPr>
    </w:lvl>
  </w:abstractNum>
  <w:abstractNum w:abstractNumId="1" w15:restartNumberingAfterBreak="0">
    <w:nsid w:val="1C8665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06B397A"/>
    <w:multiLevelType w:val="multilevel"/>
    <w:tmpl w:val="D8EC8CF2"/>
    <w:lvl w:ilvl="0">
      <w:start w:val="1"/>
      <w:numFmt w:val="decimalZero"/>
      <w:lvlText w:val="%1"/>
      <w:lvlJc w:val="left"/>
      <w:pPr>
        <w:ind w:left="1407" w:hanging="746"/>
      </w:pPr>
      <w:rPr>
        <w:rFonts w:hint="default"/>
        <w:lang w:val="en-US" w:eastAsia="en-US" w:bidi="ar-SA"/>
      </w:rPr>
    </w:lvl>
    <w:lvl w:ilvl="1">
      <w:start w:val="10"/>
      <w:numFmt w:val="decimal"/>
      <w:lvlText w:val="%1.06"/>
      <w:lvlJc w:val="left"/>
      <w:pPr>
        <w:ind w:left="1407" w:hanging="746"/>
      </w:pPr>
      <w:rPr>
        <w:rFonts w:ascii="Arial" w:eastAsia="Arial" w:hAnsi="Arial" w:cs="Arial" w:hint="default"/>
        <w:b w:val="0"/>
        <w:bCs w:val="0"/>
        <w:i w:val="0"/>
        <w:iCs w:val="0"/>
        <w:w w:val="101"/>
        <w:sz w:val="24"/>
        <w:szCs w:val="24"/>
        <w:lang w:val="en-US" w:eastAsia="en-US" w:bidi="ar-SA"/>
      </w:rPr>
    </w:lvl>
    <w:lvl w:ilvl="2">
      <w:numFmt w:val="bullet"/>
      <w:lvlText w:val="•"/>
      <w:lvlJc w:val="left"/>
      <w:pPr>
        <w:ind w:left="3196" w:hanging="746"/>
      </w:pPr>
      <w:rPr>
        <w:rFonts w:hint="default"/>
        <w:lang w:val="en-US" w:eastAsia="en-US" w:bidi="ar-SA"/>
      </w:rPr>
    </w:lvl>
    <w:lvl w:ilvl="3">
      <w:numFmt w:val="bullet"/>
      <w:lvlText w:val="•"/>
      <w:lvlJc w:val="left"/>
      <w:pPr>
        <w:ind w:left="4094" w:hanging="746"/>
      </w:pPr>
      <w:rPr>
        <w:rFonts w:hint="default"/>
        <w:lang w:val="en-US" w:eastAsia="en-US" w:bidi="ar-SA"/>
      </w:rPr>
    </w:lvl>
    <w:lvl w:ilvl="4">
      <w:numFmt w:val="bullet"/>
      <w:lvlText w:val="•"/>
      <w:lvlJc w:val="left"/>
      <w:pPr>
        <w:ind w:left="4992" w:hanging="746"/>
      </w:pPr>
      <w:rPr>
        <w:rFonts w:hint="default"/>
        <w:lang w:val="en-US" w:eastAsia="en-US" w:bidi="ar-SA"/>
      </w:rPr>
    </w:lvl>
    <w:lvl w:ilvl="5">
      <w:numFmt w:val="bullet"/>
      <w:lvlText w:val="•"/>
      <w:lvlJc w:val="left"/>
      <w:pPr>
        <w:ind w:left="5890" w:hanging="746"/>
      </w:pPr>
      <w:rPr>
        <w:rFonts w:hint="default"/>
        <w:lang w:val="en-US" w:eastAsia="en-US" w:bidi="ar-SA"/>
      </w:rPr>
    </w:lvl>
    <w:lvl w:ilvl="6">
      <w:numFmt w:val="bullet"/>
      <w:lvlText w:val="•"/>
      <w:lvlJc w:val="left"/>
      <w:pPr>
        <w:ind w:left="6788" w:hanging="746"/>
      </w:pPr>
      <w:rPr>
        <w:rFonts w:hint="default"/>
        <w:lang w:val="en-US" w:eastAsia="en-US" w:bidi="ar-SA"/>
      </w:rPr>
    </w:lvl>
    <w:lvl w:ilvl="7">
      <w:numFmt w:val="bullet"/>
      <w:lvlText w:val="•"/>
      <w:lvlJc w:val="left"/>
      <w:pPr>
        <w:ind w:left="7686" w:hanging="746"/>
      </w:pPr>
      <w:rPr>
        <w:rFonts w:hint="default"/>
        <w:lang w:val="en-US" w:eastAsia="en-US" w:bidi="ar-SA"/>
      </w:rPr>
    </w:lvl>
    <w:lvl w:ilvl="8">
      <w:numFmt w:val="bullet"/>
      <w:lvlText w:val="•"/>
      <w:lvlJc w:val="left"/>
      <w:pPr>
        <w:ind w:left="8584" w:hanging="746"/>
      </w:pPr>
      <w:rPr>
        <w:rFonts w:hint="default"/>
        <w:lang w:val="en-US" w:eastAsia="en-US" w:bidi="ar-SA"/>
      </w:rPr>
    </w:lvl>
  </w:abstractNum>
  <w:abstractNum w:abstractNumId="3" w15:restartNumberingAfterBreak="0">
    <w:nsid w:val="6FA1349D"/>
    <w:multiLevelType w:val="multilevel"/>
    <w:tmpl w:val="4796CEDA"/>
    <w:lvl w:ilvl="0">
      <w:start w:val="1"/>
      <w:numFmt w:val="decimalZero"/>
      <w:lvlText w:val="%1"/>
      <w:lvlJc w:val="left"/>
      <w:pPr>
        <w:ind w:left="1407" w:hanging="746"/>
      </w:pPr>
      <w:rPr>
        <w:rFonts w:hint="default"/>
        <w:lang w:val="en-US" w:eastAsia="en-US" w:bidi="ar-SA"/>
      </w:rPr>
    </w:lvl>
    <w:lvl w:ilvl="1">
      <w:start w:val="10"/>
      <w:numFmt w:val="decimal"/>
      <w:lvlText w:val="%1.%2"/>
      <w:lvlJc w:val="left"/>
      <w:pPr>
        <w:ind w:left="1407" w:hanging="746"/>
      </w:pPr>
      <w:rPr>
        <w:rFonts w:ascii="Arial" w:eastAsia="Arial" w:hAnsi="Arial" w:cs="Arial" w:hint="default"/>
        <w:b w:val="0"/>
        <w:bCs w:val="0"/>
        <w:i w:val="0"/>
        <w:iCs w:val="0"/>
        <w:w w:val="101"/>
        <w:sz w:val="24"/>
        <w:szCs w:val="24"/>
        <w:lang w:val="en-US" w:eastAsia="en-US" w:bidi="ar-SA"/>
      </w:rPr>
    </w:lvl>
    <w:lvl w:ilvl="2">
      <w:numFmt w:val="bullet"/>
      <w:lvlText w:val="•"/>
      <w:lvlJc w:val="left"/>
      <w:pPr>
        <w:ind w:left="3196" w:hanging="746"/>
      </w:pPr>
      <w:rPr>
        <w:rFonts w:hint="default"/>
        <w:lang w:val="en-US" w:eastAsia="en-US" w:bidi="ar-SA"/>
      </w:rPr>
    </w:lvl>
    <w:lvl w:ilvl="3">
      <w:numFmt w:val="bullet"/>
      <w:lvlText w:val="•"/>
      <w:lvlJc w:val="left"/>
      <w:pPr>
        <w:ind w:left="4094" w:hanging="746"/>
      </w:pPr>
      <w:rPr>
        <w:rFonts w:hint="default"/>
        <w:lang w:val="en-US" w:eastAsia="en-US" w:bidi="ar-SA"/>
      </w:rPr>
    </w:lvl>
    <w:lvl w:ilvl="4">
      <w:numFmt w:val="bullet"/>
      <w:lvlText w:val="•"/>
      <w:lvlJc w:val="left"/>
      <w:pPr>
        <w:ind w:left="4992" w:hanging="746"/>
      </w:pPr>
      <w:rPr>
        <w:rFonts w:hint="default"/>
        <w:lang w:val="en-US" w:eastAsia="en-US" w:bidi="ar-SA"/>
      </w:rPr>
    </w:lvl>
    <w:lvl w:ilvl="5">
      <w:numFmt w:val="bullet"/>
      <w:lvlText w:val="•"/>
      <w:lvlJc w:val="left"/>
      <w:pPr>
        <w:ind w:left="5890" w:hanging="746"/>
      </w:pPr>
      <w:rPr>
        <w:rFonts w:hint="default"/>
        <w:lang w:val="en-US" w:eastAsia="en-US" w:bidi="ar-SA"/>
      </w:rPr>
    </w:lvl>
    <w:lvl w:ilvl="6">
      <w:numFmt w:val="bullet"/>
      <w:lvlText w:val="•"/>
      <w:lvlJc w:val="left"/>
      <w:pPr>
        <w:ind w:left="6788" w:hanging="746"/>
      </w:pPr>
      <w:rPr>
        <w:rFonts w:hint="default"/>
        <w:lang w:val="en-US" w:eastAsia="en-US" w:bidi="ar-SA"/>
      </w:rPr>
    </w:lvl>
    <w:lvl w:ilvl="7">
      <w:numFmt w:val="bullet"/>
      <w:lvlText w:val="•"/>
      <w:lvlJc w:val="left"/>
      <w:pPr>
        <w:ind w:left="7686" w:hanging="746"/>
      </w:pPr>
      <w:rPr>
        <w:rFonts w:hint="default"/>
        <w:lang w:val="en-US" w:eastAsia="en-US" w:bidi="ar-SA"/>
      </w:rPr>
    </w:lvl>
    <w:lvl w:ilvl="8">
      <w:numFmt w:val="bullet"/>
      <w:lvlText w:val="•"/>
      <w:lvlJc w:val="left"/>
      <w:pPr>
        <w:ind w:left="8584" w:hanging="746"/>
      </w:pPr>
      <w:rPr>
        <w:rFonts w:hint="default"/>
        <w:lang w:val="en-US" w:eastAsia="en-US" w:bidi="ar-SA"/>
      </w:rPr>
    </w:lvl>
  </w:abstractNum>
  <w:num w:numId="1" w16cid:durableId="492261569">
    <w:abstractNumId w:val="3"/>
  </w:num>
  <w:num w:numId="2" w16cid:durableId="2083330162">
    <w:abstractNumId w:val="0"/>
  </w:num>
  <w:num w:numId="3" w16cid:durableId="1697851022">
    <w:abstractNumId w:val="1"/>
  </w:num>
  <w:num w:numId="4" w16cid:durableId="474877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F0"/>
    <w:rsid w:val="000413AA"/>
    <w:rsid w:val="00066FF0"/>
    <w:rsid w:val="000F2F12"/>
    <w:rsid w:val="000F506F"/>
    <w:rsid w:val="0011070D"/>
    <w:rsid w:val="001340C6"/>
    <w:rsid w:val="00185964"/>
    <w:rsid w:val="00192194"/>
    <w:rsid w:val="001A76C8"/>
    <w:rsid w:val="001B272F"/>
    <w:rsid w:val="00224EC5"/>
    <w:rsid w:val="00255687"/>
    <w:rsid w:val="00256FBA"/>
    <w:rsid w:val="00330AF0"/>
    <w:rsid w:val="00350FE2"/>
    <w:rsid w:val="00364508"/>
    <w:rsid w:val="003866E4"/>
    <w:rsid w:val="00392253"/>
    <w:rsid w:val="00486673"/>
    <w:rsid w:val="004A1861"/>
    <w:rsid w:val="004A59A3"/>
    <w:rsid w:val="005106E3"/>
    <w:rsid w:val="00516472"/>
    <w:rsid w:val="00554D31"/>
    <w:rsid w:val="005A2703"/>
    <w:rsid w:val="005E509B"/>
    <w:rsid w:val="00601685"/>
    <w:rsid w:val="00620B50"/>
    <w:rsid w:val="006527ED"/>
    <w:rsid w:val="006624B2"/>
    <w:rsid w:val="00672745"/>
    <w:rsid w:val="006754F1"/>
    <w:rsid w:val="00814E9D"/>
    <w:rsid w:val="0089132B"/>
    <w:rsid w:val="008C299D"/>
    <w:rsid w:val="008F26A3"/>
    <w:rsid w:val="00933879"/>
    <w:rsid w:val="00A02198"/>
    <w:rsid w:val="00A40D7D"/>
    <w:rsid w:val="00A96C2C"/>
    <w:rsid w:val="00A97CED"/>
    <w:rsid w:val="00AB1A54"/>
    <w:rsid w:val="00AE244C"/>
    <w:rsid w:val="00AF126D"/>
    <w:rsid w:val="00B80181"/>
    <w:rsid w:val="00BB7691"/>
    <w:rsid w:val="00BE1547"/>
    <w:rsid w:val="00C476E8"/>
    <w:rsid w:val="00CB5834"/>
    <w:rsid w:val="00CE1608"/>
    <w:rsid w:val="00D07898"/>
    <w:rsid w:val="00D14B56"/>
    <w:rsid w:val="00DC4F51"/>
    <w:rsid w:val="00DE34C4"/>
    <w:rsid w:val="00DF6CC5"/>
    <w:rsid w:val="00E156BD"/>
    <w:rsid w:val="00E310B2"/>
    <w:rsid w:val="00E924AC"/>
    <w:rsid w:val="00EA3A81"/>
    <w:rsid w:val="00EC596C"/>
    <w:rsid w:val="00ED71DB"/>
    <w:rsid w:val="00EE1E90"/>
    <w:rsid w:val="00F06B48"/>
    <w:rsid w:val="00F160AA"/>
    <w:rsid w:val="00F203F1"/>
    <w:rsid w:val="00F31535"/>
    <w:rsid w:val="00F60753"/>
    <w:rsid w:val="0775FD9F"/>
    <w:rsid w:val="099C8627"/>
    <w:rsid w:val="14FEB66E"/>
    <w:rsid w:val="3ECBC773"/>
    <w:rsid w:val="4B023D0D"/>
    <w:rsid w:val="5F0C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98E2"/>
  <w15:docId w15:val="{157B54A5-B1CA-4996-BF13-8A14FA9E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60" w:hanging="550"/>
      <w:outlineLvl w:val="0"/>
    </w:pPr>
    <w:rPr>
      <w:rFonts w:ascii="Tahoma" w:eastAsia="Tahoma" w:hAnsi="Tahoma" w:cs="Tahoma"/>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6"/>
      <w:ind w:left="1407" w:hanging="747"/>
    </w:pPr>
    <w:rPr>
      <w:sz w:val="24"/>
      <w:szCs w:val="24"/>
    </w:rPr>
  </w:style>
  <w:style w:type="paragraph" w:styleId="Title">
    <w:name w:val="Title"/>
    <w:basedOn w:val="Normal"/>
    <w:uiPriority w:val="10"/>
    <w:qFormat/>
    <w:pPr>
      <w:spacing w:before="95"/>
      <w:ind w:left="111"/>
    </w:pPr>
    <w:rPr>
      <w:rFonts w:ascii="Tahoma" w:eastAsia="Tahoma" w:hAnsi="Tahoma" w:cs="Tahoma"/>
      <w:b/>
      <w:bCs/>
      <w:sz w:val="36"/>
      <w:szCs w:val="36"/>
    </w:rPr>
  </w:style>
  <w:style w:type="paragraph" w:styleId="ListParagraph">
    <w:name w:val="List Paragraph"/>
    <w:basedOn w:val="Normal"/>
    <w:uiPriority w:val="1"/>
    <w:qFormat/>
    <w:pPr>
      <w:spacing w:before="136"/>
      <w:ind w:left="1407" w:hanging="747"/>
    </w:pPr>
  </w:style>
  <w:style w:type="paragraph" w:customStyle="1" w:styleId="TableParagraph">
    <w:name w:val="Table Paragraph"/>
    <w:basedOn w:val="Normal"/>
    <w:uiPriority w:val="1"/>
    <w:qFormat/>
    <w:pPr>
      <w:spacing w:before="104"/>
      <w:ind w:left="140"/>
    </w:pPr>
  </w:style>
  <w:style w:type="paragraph" w:styleId="Revision">
    <w:name w:val="Revision"/>
    <w:hidden/>
    <w:uiPriority w:val="99"/>
    <w:semiHidden/>
    <w:rsid w:val="006624B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624B2"/>
    <w:rPr>
      <w:sz w:val="16"/>
      <w:szCs w:val="16"/>
    </w:rPr>
  </w:style>
  <w:style w:type="paragraph" w:styleId="CommentText">
    <w:name w:val="annotation text"/>
    <w:basedOn w:val="Normal"/>
    <w:link w:val="CommentTextChar"/>
    <w:uiPriority w:val="99"/>
    <w:unhideWhenUsed/>
    <w:rsid w:val="006624B2"/>
    <w:rPr>
      <w:sz w:val="20"/>
      <w:szCs w:val="20"/>
    </w:rPr>
  </w:style>
  <w:style w:type="character" w:customStyle="1" w:styleId="CommentTextChar">
    <w:name w:val="Comment Text Char"/>
    <w:basedOn w:val="DefaultParagraphFont"/>
    <w:link w:val="CommentText"/>
    <w:uiPriority w:val="99"/>
    <w:rsid w:val="006624B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624B2"/>
    <w:rPr>
      <w:b/>
      <w:bCs/>
    </w:rPr>
  </w:style>
  <w:style w:type="character" w:customStyle="1" w:styleId="CommentSubjectChar">
    <w:name w:val="Comment Subject Char"/>
    <w:basedOn w:val="CommentTextChar"/>
    <w:link w:val="CommentSubject"/>
    <w:uiPriority w:val="99"/>
    <w:semiHidden/>
    <w:rsid w:val="006624B2"/>
    <w:rPr>
      <w:rFonts w:ascii="Arial" w:eastAsia="Arial" w:hAnsi="Arial" w:cs="Arial"/>
      <w:b/>
      <w:bCs/>
      <w:sz w:val="20"/>
      <w:szCs w:val="20"/>
    </w:rPr>
  </w:style>
  <w:style w:type="character" w:styleId="Hyperlink">
    <w:name w:val="Hyperlink"/>
    <w:basedOn w:val="DefaultParagraphFont"/>
    <w:uiPriority w:val="99"/>
    <w:unhideWhenUsed/>
    <w:rsid w:val="006624B2"/>
    <w:rPr>
      <w:color w:val="0000FF" w:themeColor="hyperlink"/>
      <w:u w:val="single"/>
    </w:rPr>
  </w:style>
  <w:style w:type="character" w:styleId="UnresolvedMention">
    <w:name w:val="Unresolved Mention"/>
    <w:basedOn w:val="DefaultParagraphFont"/>
    <w:uiPriority w:val="99"/>
    <w:semiHidden/>
    <w:unhideWhenUsed/>
    <w:rsid w:val="006624B2"/>
    <w:rPr>
      <w:color w:val="605E5C"/>
      <w:shd w:val="clear" w:color="auto" w:fill="E1DFDD"/>
    </w:rPr>
  </w:style>
  <w:style w:type="character" w:styleId="FollowedHyperlink">
    <w:name w:val="FollowedHyperlink"/>
    <w:basedOn w:val="DefaultParagraphFont"/>
    <w:uiPriority w:val="99"/>
    <w:semiHidden/>
    <w:unhideWhenUsed/>
    <w:rsid w:val="00DC4F51"/>
    <w:rPr>
      <w:color w:val="800080" w:themeColor="followedHyperlink"/>
      <w:u w:val="single"/>
    </w:rPr>
  </w:style>
  <w:style w:type="paragraph" w:styleId="Header">
    <w:name w:val="header"/>
    <w:basedOn w:val="Normal"/>
    <w:link w:val="HeaderChar"/>
    <w:uiPriority w:val="99"/>
    <w:unhideWhenUsed/>
    <w:rsid w:val="00F06B48"/>
    <w:pPr>
      <w:tabs>
        <w:tab w:val="center" w:pos="4680"/>
        <w:tab w:val="right" w:pos="9360"/>
      </w:tabs>
    </w:pPr>
  </w:style>
  <w:style w:type="character" w:customStyle="1" w:styleId="HeaderChar">
    <w:name w:val="Header Char"/>
    <w:basedOn w:val="DefaultParagraphFont"/>
    <w:link w:val="Header"/>
    <w:uiPriority w:val="99"/>
    <w:rsid w:val="00F06B48"/>
    <w:rPr>
      <w:rFonts w:ascii="Arial" w:eastAsia="Arial" w:hAnsi="Arial" w:cs="Arial"/>
    </w:rPr>
  </w:style>
  <w:style w:type="paragraph" w:styleId="Footer">
    <w:name w:val="footer"/>
    <w:basedOn w:val="Normal"/>
    <w:link w:val="FooterChar"/>
    <w:uiPriority w:val="99"/>
    <w:unhideWhenUsed/>
    <w:rsid w:val="00F06B48"/>
    <w:pPr>
      <w:tabs>
        <w:tab w:val="center" w:pos="4680"/>
        <w:tab w:val="right" w:pos="9360"/>
      </w:tabs>
    </w:pPr>
  </w:style>
  <w:style w:type="character" w:customStyle="1" w:styleId="FooterChar">
    <w:name w:val="Footer Char"/>
    <w:basedOn w:val="DefaultParagraphFont"/>
    <w:link w:val="Footer"/>
    <w:uiPriority w:val="99"/>
    <w:rsid w:val="00F06B48"/>
    <w:rPr>
      <w:rFonts w:ascii="Arial" w:eastAsia="Arial" w:hAnsi="Arial" w:cs="Arial"/>
    </w:rPr>
  </w:style>
  <w:style w:type="paragraph" w:styleId="NoSpacing">
    <w:name w:val="No Spacing"/>
    <w:uiPriority w:val="1"/>
    <w:qFormat/>
    <w:rsid w:val="0011070D"/>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134230">
      <w:bodyDiv w:val="1"/>
      <w:marLeft w:val="0"/>
      <w:marRight w:val="0"/>
      <w:marTop w:val="0"/>
      <w:marBottom w:val="0"/>
      <w:divBdr>
        <w:top w:val="none" w:sz="0" w:space="0" w:color="auto"/>
        <w:left w:val="none" w:sz="0" w:space="0" w:color="auto"/>
        <w:bottom w:val="none" w:sz="0" w:space="0" w:color="auto"/>
        <w:right w:val="none" w:sz="0" w:space="0" w:color="auto"/>
      </w:divBdr>
    </w:div>
    <w:div w:id="1819689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xst.edu/payroll/tax-compliance/forms.html" TargetMode="External"/><Relationship Id="rId13" Type="http://schemas.openxmlformats.org/officeDocument/2006/relationships/hyperlink" Target="https://policies.txst.edu/university-policies/03-01-10.html" TargetMode="External"/><Relationship Id="rId3" Type="http://schemas.openxmlformats.org/officeDocument/2006/relationships/settings" Target="settings.xml"/><Relationship Id="rId7" Type="http://schemas.openxmlformats.org/officeDocument/2006/relationships/hyperlink" Target="https://policies.txst.edu/university-policies/03-01-29.html" TargetMode="External"/><Relationship Id="rId12" Type="http://schemas.openxmlformats.org/officeDocument/2006/relationships/hyperlink" Target="https://www.txst.edu/gao/ap/resources/Texas-Sales-Taxes-on-Purchas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inm1\AppData\Local\Microsoft\Windows\INetCache\Content.Outlook\VLPR9AV4\v" TargetMode="External"/><Relationship Id="rId5" Type="http://schemas.openxmlformats.org/officeDocument/2006/relationships/footnotes" Target="footnotes.xml"/><Relationship Id="rId15" Type="http://schemas.openxmlformats.org/officeDocument/2006/relationships/hyperlink" Target="https://www.txst.edu/gao/ap/resources/e-NPO-Procedures.html" TargetMode="External"/><Relationship Id="rId10" Type="http://schemas.openxmlformats.org/officeDocument/2006/relationships/hyperlink" Target="https://www.txst.edu/payroll/tax-compliance/forms.html" TargetMode="External"/><Relationship Id="rId4" Type="http://schemas.openxmlformats.org/officeDocument/2006/relationships/webSettings" Target="webSettings.xml"/><Relationship Id="rId9" Type="http://schemas.openxmlformats.org/officeDocument/2006/relationships/hyperlink" Target="https://www.txst.edu/payroll/tax-compliance/forms.html" TargetMode="External"/><Relationship Id="rId14" Type="http://schemas.openxmlformats.org/officeDocument/2006/relationships/hyperlink" Target="https://policies.txst.edu/university-policies/03-01-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FSS/PPS 03.16 - Reimbursement of University Business Expenses Paid from Personal Funds : Policy and Procedure Statements : Texa</vt:lpstr>
    </vt:vector>
  </TitlesOfParts>
  <Company>Texas State University</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FSS/PPS 03.16 - Reimbursement of University Business Expenses Paid from Personal Funds : Policy and Procedure Statements : Texa</dc:title>
  <dc:creator>jn11</dc:creator>
  <cp:lastModifiedBy>Martinez, Iza N</cp:lastModifiedBy>
  <cp:revision>2</cp:revision>
  <cp:lastPrinted>2024-10-15T15:47:00Z</cp:lastPrinted>
  <dcterms:created xsi:type="dcterms:W3CDTF">2024-10-28T15:12:00Z</dcterms:created>
  <dcterms:modified xsi:type="dcterms:W3CDTF">2024-10-28T15:12:00Z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PScript5.dll Version 5.2.2</vt:lpwstr>
  </property>
  <property fmtid="{D5CDD505-2E9C-101B-9397-08002B2CF9AE}" pid="4" name="LastSaved">
    <vt:filetime>2023-06-20T00:00:00Z</vt:filetime>
  </property>
  <property fmtid="{D5CDD505-2E9C-101B-9397-08002B2CF9AE}" pid="5" name="Producer">
    <vt:lpwstr>Acrobat Distiller 23.0 (Windows)</vt:lpwstr>
  </property>
</Properties>
</file>