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59E78" w14:textId="7F93C69E" w:rsidR="00036326" w:rsidRPr="00F26F89" w:rsidRDefault="00036326" w:rsidP="003D3156">
      <w:pPr>
        <w:spacing w:line="360" w:lineRule="auto"/>
        <w:rPr>
          <w:b/>
          <w:sz w:val="28"/>
          <w:szCs w:val="28"/>
        </w:rPr>
      </w:pPr>
      <w:r w:rsidRPr="00F26F89">
        <w:rPr>
          <w:b/>
          <w:sz w:val="28"/>
          <w:szCs w:val="28"/>
        </w:rPr>
        <w:t xml:space="preserve">Texas State University Overview of </w:t>
      </w:r>
      <w:r w:rsidR="00B53500" w:rsidRPr="00F26F89">
        <w:rPr>
          <w:b/>
          <w:sz w:val="28"/>
          <w:szCs w:val="28"/>
        </w:rPr>
        <w:t xml:space="preserve">Financial Health </w:t>
      </w:r>
      <w:r w:rsidRPr="00F26F89">
        <w:rPr>
          <w:b/>
          <w:sz w:val="28"/>
          <w:szCs w:val="28"/>
        </w:rPr>
        <w:t>FY 202</w:t>
      </w:r>
      <w:r w:rsidR="003908E1">
        <w:rPr>
          <w:b/>
          <w:sz w:val="28"/>
          <w:szCs w:val="28"/>
        </w:rPr>
        <w:t>3</w:t>
      </w:r>
    </w:p>
    <w:p w14:paraId="03BD399E" w14:textId="5DAD3C1F" w:rsidR="008F0E6F" w:rsidRPr="00B474FF" w:rsidRDefault="000B47C0" w:rsidP="003D3156">
      <w:pPr>
        <w:spacing w:line="360" w:lineRule="auto"/>
        <w:ind w:firstLine="720"/>
        <w:rPr>
          <w:sz w:val="24"/>
          <w:szCs w:val="24"/>
        </w:rPr>
      </w:pPr>
      <w:r>
        <w:rPr>
          <w:sz w:val="24"/>
          <w:szCs w:val="24"/>
        </w:rPr>
        <w:t xml:space="preserve">The </w:t>
      </w:r>
      <w:r w:rsidR="004D52B5">
        <w:rPr>
          <w:sz w:val="24"/>
          <w:szCs w:val="24"/>
        </w:rPr>
        <w:t xml:space="preserve">2023-2029 </w:t>
      </w:r>
      <w:r w:rsidR="00DB374A">
        <w:rPr>
          <w:sz w:val="24"/>
          <w:szCs w:val="24"/>
        </w:rPr>
        <w:t xml:space="preserve">Texas State University </w:t>
      </w:r>
      <w:r w:rsidR="00FE22A8" w:rsidRPr="0030683B">
        <w:rPr>
          <w:sz w:val="24"/>
          <w:szCs w:val="24"/>
        </w:rPr>
        <w:t>strategic plan</w:t>
      </w:r>
      <w:r w:rsidR="00DB374A">
        <w:rPr>
          <w:sz w:val="24"/>
          <w:szCs w:val="24"/>
        </w:rPr>
        <w:t xml:space="preserve">, </w:t>
      </w:r>
      <w:r w:rsidR="004D52B5" w:rsidRPr="00DB374A">
        <w:rPr>
          <w:i/>
          <w:iCs/>
          <w:sz w:val="24"/>
          <w:szCs w:val="24"/>
        </w:rPr>
        <w:t>Hopes and Aspirations High</w:t>
      </w:r>
      <w:r w:rsidR="004D52B5">
        <w:rPr>
          <w:sz w:val="24"/>
          <w:szCs w:val="24"/>
        </w:rPr>
        <w:t>, inclu</w:t>
      </w:r>
      <w:r w:rsidR="00DB374A">
        <w:rPr>
          <w:sz w:val="24"/>
          <w:szCs w:val="24"/>
        </w:rPr>
        <w:t xml:space="preserve">des four pillars: </w:t>
      </w:r>
      <w:r w:rsidR="004D52B5">
        <w:rPr>
          <w:sz w:val="24"/>
          <w:szCs w:val="24"/>
        </w:rPr>
        <w:t>elevating student success</w:t>
      </w:r>
      <w:r w:rsidR="00DB374A">
        <w:rPr>
          <w:sz w:val="24"/>
          <w:szCs w:val="24"/>
        </w:rPr>
        <w:t xml:space="preserve">, </w:t>
      </w:r>
      <w:r w:rsidR="004D52B5">
        <w:rPr>
          <w:sz w:val="24"/>
          <w:szCs w:val="24"/>
        </w:rPr>
        <w:t>becoming a Carnegie R1 institution</w:t>
      </w:r>
      <w:r w:rsidR="00DB374A">
        <w:rPr>
          <w:sz w:val="24"/>
          <w:szCs w:val="24"/>
        </w:rPr>
        <w:t xml:space="preserve">, growing enrollment, and solidifying our position as a great place to work. </w:t>
      </w:r>
      <w:r w:rsidR="00B97D1A" w:rsidRPr="0030683B">
        <w:rPr>
          <w:sz w:val="24"/>
          <w:szCs w:val="24"/>
        </w:rPr>
        <w:t xml:space="preserve"> </w:t>
      </w:r>
      <w:r w:rsidR="00DB374A">
        <w:rPr>
          <w:sz w:val="24"/>
          <w:szCs w:val="24"/>
        </w:rPr>
        <w:t>The successful pursuit of these goals relies on the university’s</w:t>
      </w:r>
      <w:r w:rsidR="00FD03A3" w:rsidRPr="0030683B">
        <w:rPr>
          <w:sz w:val="24"/>
          <w:szCs w:val="24"/>
        </w:rPr>
        <w:t xml:space="preserve"> overall </w:t>
      </w:r>
      <w:r w:rsidR="00842D84" w:rsidRPr="0030683B">
        <w:rPr>
          <w:sz w:val="24"/>
          <w:szCs w:val="24"/>
        </w:rPr>
        <w:t>financial health</w:t>
      </w:r>
      <w:r w:rsidR="004D52B5">
        <w:rPr>
          <w:sz w:val="24"/>
          <w:szCs w:val="24"/>
        </w:rPr>
        <w:t xml:space="preserve">. </w:t>
      </w:r>
      <w:r w:rsidR="0024713A" w:rsidRPr="0030683B">
        <w:rPr>
          <w:sz w:val="24"/>
          <w:szCs w:val="24"/>
        </w:rPr>
        <w:t>Financial health</w:t>
      </w:r>
      <w:r w:rsidR="00FD03A3" w:rsidRPr="0030683B">
        <w:rPr>
          <w:sz w:val="24"/>
          <w:szCs w:val="24"/>
        </w:rPr>
        <w:t>,</w:t>
      </w:r>
      <w:r w:rsidR="0024713A" w:rsidRPr="0030683B">
        <w:rPr>
          <w:sz w:val="24"/>
          <w:szCs w:val="24"/>
        </w:rPr>
        <w:t xml:space="preserve"> measured over </w:t>
      </w:r>
      <w:r w:rsidR="00FD03A3" w:rsidRPr="0030683B">
        <w:rPr>
          <w:sz w:val="24"/>
          <w:szCs w:val="24"/>
        </w:rPr>
        <w:t xml:space="preserve">time, </w:t>
      </w:r>
      <w:r w:rsidR="0024713A" w:rsidRPr="0030683B">
        <w:rPr>
          <w:sz w:val="24"/>
          <w:szCs w:val="24"/>
        </w:rPr>
        <w:t>help</w:t>
      </w:r>
      <w:r w:rsidR="00FD03A3" w:rsidRPr="0030683B">
        <w:rPr>
          <w:sz w:val="24"/>
          <w:szCs w:val="24"/>
        </w:rPr>
        <w:t>s</w:t>
      </w:r>
      <w:r w:rsidR="0024713A" w:rsidRPr="0030683B">
        <w:rPr>
          <w:sz w:val="24"/>
          <w:szCs w:val="24"/>
        </w:rPr>
        <w:t xml:space="preserve"> </w:t>
      </w:r>
      <w:r w:rsidR="00B53500" w:rsidRPr="0030683B">
        <w:rPr>
          <w:sz w:val="24"/>
          <w:szCs w:val="24"/>
        </w:rPr>
        <w:t>to</w:t>
      </w:r>
      <w:r w:rsidR="0024713A" w:rsidRPr="0030683B">
        <w:rPr>
          <w:sz w:val="24"/>
          <w:szCs w:val="24"/>
        </w:rPr>
        <w:t xml:space="preserve"> identify present and future opportunities and challenges.  The Composite Financial Index (CFI) is </w:t>
      </w:r>
      <w:r w:rsidR="003F3107" w:rsidRPr="0030683B">
        <w:rPr>
          <w:sz w:val="24"/>
          <w:szCs w:val="24"/>
        </w:rPr>
        <w:t xml:space="preserve">the most widely used </w:t>
      </w:r>
      <w:r w:rsidR="00542F4F" w:rsidRPr="0030683B">
        <w:rPr>
          <w:sz w:val="24"/>
          <w:szCs w:val="24"/>
        </w:rPr>
        <w:t xml:space="preserve">metric </w:t>
      </w:r>
      <w:r w:rsidR="00FD03A3" w:rsidRPr="0030683B">
        <w:rPr>
          <w:sz w:val="24"/>
          <w:szCs w:val="24"/>
        </w:rPr>
        <w:t xml:space="preserve">to provide </w:t>
      </w:r>
      <w:r w:rsidR="00E2379C" w:rsidRPr="0030683B">
        <w:rPr>
          <w:sz w:val="24"/>
          <w:szCs w:val="24"/>
        </w:rPr>
        <w:t xml:space="preserve">simple, </w:t>
      </w:r>
      <w:r w:rsidR="00FD03A3" w:rsidRPr="0030683B">
        <w:rPr>
          <w:sz w:val="24"/>
          <w:szCs w:val="24"/>
        </w:rPr>
        <w:t>objective</w:t>
      </w:r>
      <w:r w:rsidR="00CB1692" w:rsidRPr="0030683B">
        <w:rPr>
          <w:sz w:val="24"/>
          <w:szCs w:val="24"/>
        </w:rPr>
        <w:t>,</w:t>
      </w:r>
      <w:r w:rsidR="00FD03A3" w:rsidRPr="0030683B">
        <w:rPr>
          <w:sz w:val="24"/>
          <w:szCs w:val="24"/>
        </w:rPr>
        <w:t xml:space="preserve"> </w:t>
      </w:r>
      <w:r w:rsidR="00234848" w:rsidRPr="0030683B">
        <w:rPr>
          <w:sz w:val="24"/>
          <w:szCs w:val="24"/>
        </w:rPr>
        <w:t xml:space="preserve">insight into </w:t>
      </w:r>
      <w:r w:rsidR="00E2379C" w:rsidRPr="0030683B">
        <w:rPr>
          <w:sz w:val="24"/>
          <w:szCs w:val="24"/>
        </w:rPr>
        <w:t xml:space="preserve">the </w:t>
      </w:r>
      <w:r w:rsidR="00FD03A3" w:rsidRPr="0030683B">
        <w:rPr>
          <w:sz w:val="24"/>
          <w:szCs w:val="24"/>
        </w:rPr>
        <w:t xml:space="preserve">overall </w:t>
      </w:r>
      <w:r w:rsidR="00542F4F" w:rsidRPr="0030683B">
        <w:rPr>
          <w:sz w:val="24"/>
          <w:szCs w:val="24"/>
        </w:rPr>
        <w:t xml:space="preserve">financial </w:t>
      </w:r>
      <w:r w:rsidR="00FD03A3" w:rsidRPr="0030683B">
        <w:rPr>
          <w:sz w:val="24"/>
          <w:szCs w:val="24"/>
        </w:rPr>
        <w:t>health</w:t>
      </w:r>
      <w:r w:rsidR="00E2379C" w:rsidRPr="0030683B">
        <w:rPr>
          <w:sz w:val="24"/>
          <w:szCs w:val="24"/>
        </w:rPr>
        <w:t xml:space="preserve"> of an institution.  </w:t>
      </w:r>
      <w:r w:rsidR="003F3107" w:rsidRPr="0030683B">
        <w:rPr>
          <w:sz w:val="24"/>
          <w:szCs w:val="24"/>
        </w:rPr>
        <w:t xml:space="preserve">The CFI was designed by higher education finance professionals in conjunction with credit ratings agencies and </w:t>
      </w:r>
      <w:r w:rsidR="00E2379C" w:rsidRPr="0030683B">
        <w:rPr>
          <w:sz w:val="24"/>
          <w:szCs w:val="24"/>
        </w:rPr>
        <w:t>is described in great</w:t>
      </w:r>
      <w:r w:rsidR="00394E7D">
        <w:rPr>
          <w:sz w:val="24"/>
          <w:szCs w:val="24"/>
        </w:rPr>
        <w:t>er</w:t>
      </w:r>
      <w:r w:rsidR="00E2379C" w:rsidRPr="0030683B">
        <w:rPr>
          <w:sz w:val="24"/>
          <w:szCs w:val="24"/>
        </w:rPr>
        <w:t xml:space="preserve"> detail in </w:t>
      </w:r>
      <w:hyperlink r:id="rId8" w:history="1">
        <w:r w:rsidR="00E2379C" w:rsidRPr="00E44AAB">
          <w:rPr>
            <w:rStyle w:val="Hyperlink"/>
            <w:i/>
            <w:iCs/>
            <w:sz w:val="24"/>
            <w:szCs w:val="24"/>
          </w:rPr>
          <w:t>Strategic Financial Analysis in Higher Education</w:t>
        </w:r>
      </w:hyperlink>
      <w:r w:rsidR="00E2379C" w:rsidRPr="0030683B">
        <w:rPr>
          <w:sz w:val="24"/>
          <w:szCs w:val="24"/>
        </w:rPr>
        <w:t>.  Since it was first published in 1980</w:t>
      </w:r>
      <w:r w:rsidR="0033210D" w:rsidRPr="0030683B">
        <w:rPr>
          <w:sz w:val="24"/>
          <w:szCs w:val="24"/>
        </w:rPr>
        <w:t>,</w:t>
      </w:r>
      <w:r w:rsidR="003F3107" w:rsidRPr="00B474FF">
        <w:rPr>
          <w:sz w:val="24"/>
          <w:szCs w:val="24"/>
        </w:rPr>
        <w:t xml:space="preserve"> through its most recent update in 2016</w:t>
      </w:r>
      <w:r w:rsidR="00E2379C" w:rsidRPr="00B474FF">
        <w:rPr>
          <w:sz w:val="24"/>
          <w:szCs w:val="24"/>
        </w:rPr>
        <w:t xml:space="preserve">, </w:t>
      </w:r>
      <w:r w:rsidR="00E2379C" w:rsidRPr="00B474FF">
        <w:rPr>
          <w:i/>
          <w:iCs/>
          <w:sz w:val="24"/>
          <w:szCs w:val="24"/>
        </w:rPr>
        <w:t>Strategic Financial Analysis for Higher Education</w:t>
      </w:r>
      <w:r w:rsidR="00E2379C" w:rsidRPr="00B474FF">
        <w:rPr>
          <w:sz w:val="24"/>
          <w:szCs w:val="24"/>
        </w:rPr>
        <w:t xml:space="preserve"> has been acknowledged as the seminal work on ascertaining the financial health of an institution of higher education and is used extensively by trustees, senior leaders, and credit analysts.</w:t>
      </w:r>
    </w:p>
    <w:p w14:paraId="1F22440D" w14:textId="59E84CE6" w:rsidR="003E1FA3" w:rsidRDefault="00394E7D" w:rsidP="004B7869">
      <w:pPr>
        <w:spacing w:line="360" w:lineRule="auto"/>
        <w:ind w:firstLine="720"/>
        <w:rPr>
          <w:sz w:val="24"/>
          <w:szCs w:val="24"/>
        </w:rPr>
      </w:pPr>
      <w:r w:rsidRPr="004B7869">
        <w:rPr>
          <w:noProof/>
          <w:sz w:val="24"/>
          <w:szCs w:val="24"/>
        </w:rPr>
        <w:drawing>
          <wp:anchor distT="0" distB="0" distL="114300" distR="114300" simplePos="0" relativeHeight="251656704" behindDoc="0" locked="0" layoutInCell="1" allowOverlap="1" wp14:anchorId="36F7C4CD" wp14:editId="3FDAF303">
            <wp:simplePos x="0" y="0"/>
            <wp:positionH relativeFrom="margin">
              <wp:align>center</wp:align>
            </wp:positionH>
            <wp:positionV relativeFrom="paragraph">
              <wp:posOffset>27940</wp:posOffset>
            </wp:positionV>
            <wp:extent cx="4954905" cy="4529455"/>
            <wp:effectExtent l="0" t="0" r="0" b="4445"/>
            <wp:wrapSquare wrapText="bothSides"/>
            <wp:docPr id="4" name="Picture 4"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954905" cy="4529455"/>
                    </a:xfrm>
                    <a:prstGeom prst="rect">
                      <a:avLst/>
                    </a:prstGeom>
                  </pic:spPr>
                </pic:pic>
              </a:graphicData>
            </a:graphic>
            <wp14:sizeRelH relativeFrom="margin">
              <wp14:pctWidth>0</wp14:pctWidth>
            </wp14:sizeRelH>
            <wp14:sizeRelV relativeFrom="margin">
              <wp14:pctHeight>0</wp14:pctHeight>
            </wp14:sizeRelV>
          </wp:anchor>
        </w:drawing>
      </w:r>
    </w:p>
    <w:p w14:paraId="1948241F" w14:textId="77777777" w:rsidR="003E1FA3" w:rsidRDefault="003E1FA3" w:rsidP="004B7869">
      <w:pPr>
        <w:spacing w:line="360" w:lineRule="auto"/>
        <w:ind w:firstLine="720"/>
        <w:rPr>
          <w:sz w:val="24"/>
          <w:szCs w:val="24"/>
        </w:rPr>
      </w:pPr>
    </w:p>
    <w:p w14:paraId="7BD84AAB" w14:textId="77777777" w:rsidR="003E1FA3" w:rsidRDefault="003E1FA3" w:rsidP="004B7869">
      <w:pPr>
        <w:spacing w:line="360" w:lineRule="auto"/>
        <w:ind w:firstLine="720"/>
        <w:rPr>
          <w:sz w:val="24"/>
          <w:szCs w:val="24"/>
        </w:rPr>
      </w:pPr>
    </w:p>
    <w:p w14:paraId="51EBA337" w14:textId="77777777" w:rsidR="003E1FA3" w:rsidRDefault="003E1FA3" w:rsidP="004B7869">
      <w:pPr>
        <w:spacing w:line="360" w:lineRule="auto"/>
        <w:ind w:firstLine="720"/>
        <w:rPr>
          <w:sz w:val="24"/>
          <w:szCs w:val="24"/>
        </w:rPr>
      </w:pPr>
    </w:p>
    <w:p w14:paraId="7899CB78" w14:textId="77777777" w:rsidR="003E1FA3" w:rsidRDefault="003E1FA3" w:rsidP="004B7869">
      <w:pPr>
        <w:spacing w:line="360" w:lineRule="auto"/>
        <w:ind w:firstLine="720"/>
        <w:rPr>
          <w:sz w:val="24"/>
          <w:szCs w:val="24"/>
        </w:rPr>
      </w:pPr>
    </w:p>
    <w:p w14:paraId="3CB5F3A8" w14:textId="77777777" w:rsidR="003E1FA3" w:rsidRDefault="003E1FA3" w:rsidP="004B7869">
      <w:pPr>
        <w:spacing w:line="360" w:lineRule="auto"/>
        <w:ind w:firstLine="720"/>
        <w:rPr>
          <w:sz w:val="24"/>
          <w:szCs w:val="24"/>
        </w:rPr>
      </w:pPr>
    </w:p>
    <w:p w14:paraId="6802E2BE" w14:textId="77777777" w:rsidR="003E1FA3" w:rsidRDefault="003E1FA3" w:rsidP="004B7869">
      <w:pPr>
        <w:spacing w:line="360" w:lineRule="auto"/>
        <w:ind w:firstLine="720"/>
        <w:rPr>
          <w:sz w:val="24"/>
          <w:szCs w:val="24"/>
        </w:rPr>
      </w:pPr>
    </w:p>
    <w:p w14:paraId="094B547B" w14:textId="77777777" w:rsidR="003E1FA3" w:rsidRDefault="003E1FA3" w:rsidP="004B7869">
      <w:pPr>
        <w:spacing w:line="360" w:lineRule="auto"/>
        <w:ind w:firstLine="720"/>
        <w:rPr>
          <w:sz w:val="24"/>
          <w:szCs w:val="24"/>
        </w:rPr>
      </w:pPr>
    </w:p>
    <w:p w14:paraId="290A6AE8" w14:textId="77777777" w:rsidR="003E1FA3" w:rsidRDefault="003E1FA3" w:rsidP="004B7869">
      <w:pPr>
        <w:spacing w:line="360" w:lineRule="auto"/>
        <w:ind w:firstLine="720"/>
        <w:rPr>
          <w:sz w:val="24"/>
          <w:szCs w:val="24"/>
        </w:rPr>
      </w:pPr>
    </w:p>
    <w:p w14:paraId="07F42878" w14:textId="77777777" w:rsidR="003E1FA3" w:rsidRDefault="003E1FA3" w:rsidP="004B7869">
      <w:pPr>
        <w:spacing w:line="360" w:lineRule="auto"/>
        <w:ind w:firstLine="720"/>
        <w:rPr>
          <w:sz w:val="24"/>
          <w:szCs w:val="24"/>
        </w:rPr>
      </w:pPr>
    </w:p>
    <w:p w14:paraId="6D4FF65F" w14:textId="77777777" w:rsidR="00394E7D" w:rsidRDefault="00394E7D" w:rsidP="00CA7826">
      <w:pPr>
        <w:spacing w:after="0" w:line="360" w:lineRule="auto"/>
        <w:ind w:firstLine="720"/>
        <w:rPr>
          <w:sz w:val="24"/>
          <w:szCs w:val="24"/>
        </w:rPr>
      </w:pPr>
    </w:p>
    <w:p w14:paraId="2AF15B92" w14:textId="77777777" w:rsidR="00394E7D" w:rsidRDefault="00394E7D" w:rsidP="00CA7826">
      <w:pPr>
        <w:spacing w:after="0" w:line="360" w:lineRule="auto"/>
        <w:ind w:firstLine="720"/>
        <w:rPr>
          <w:sz w:val="24"/>
          <w:szCs w:val="24"/>
        </w:rPr>
      </w:pPr>
    </w:p>
    <w:p w14:paraId="5F44233C" w14:textId="47733CD4" w:rsidR="009273AE" w:rsidRDefault="00B970D1" w:rsidP="00CA7826">
      <w:pPr>
        <w:spacing w:after="0" w:line="360" w:lineRule="auto"/>
        <w:ind w:firstLine="720"/>
        <w:rPr>
          <w:sz w:val="24"/>
          <w:szCs w:val="24"/>
        </w:rPr>
      </w:pPr>
      <w:r w:rsidRPr="00B474FF">
        <w:rPr>
          <w:sz w:val="24"/>
          <w:szCs w:val="24"/>
        </w:rPr>
        <w:lastRenderedPageBreak/>
        <w:t>The CFI is comprised of four</w:t>
      </w:r>
      <w:r w:rsidR="0033210D" w:rsidRPr="00B474FF">
        <w:rPr>
          <w:sz w:val="24"/>
          <w:szCs w:val="24"/>
        </w:rPr>
        <w:t xml:space="preserve"> weighted</w:t>
      </w:r>
      <w:r w:rsidRPr="00B474FF">
        <w:rPr>
          <w:sz w:val="24"/>
          <w:szCs w:val="24"/>
        </w:rPr>
        <w:t xml:space="preserve"> ratios</w:t>
      </w:r>
      <w:r w:rsidR="00165E58" w:rsidRPr="00B474FF">
        <w:rPr>
          <w:sz w:val="24"/>
          <w:szCs w:val="24"/>
        </w:rPr>
        <w:t xml:space="preserve"> derived</w:t>
      </w:r>
      <w:r w:rsidR="00165E58" w:rsidRPr="003D3156">
        <w:rPr>
          <w:sz w:val="24"/>
          <w:szCs w:val="24"/>
        </w:rPr>
        <w:t xml:space="preserve"> directly from an institution’s annual financial report</w:t>
      </w:r>
      <w:r w:rsidR="00E2379C" w:rsidRPr="003D3156">
        <w:rPr>
          <w:sz w:val="24"/>
          <w:szCs w:val="24"/>
        </w:rPr>
        <w:t xml:space="preserve">.  Two of the ratios are tied to current-year operational performance, </w:t>
      </w:r>
      <w:r w:rsidR="00F26F89">
        <w:rPr>
          <w:sz w:val="24"/>
          <w:szCs w:val="24"/>
        </w:rPr>
        <w:t>the third</w:t>
      </w:r>
      <w:r w:rsidR="00E2379C" w:rsidRPr="003D3156">
        <w:rPr>
          <w:sz w:val="24"/>
          <w:szCs w:val="24"/>
        </w:rPr>
        <w:t xml:space="preserve"> is related to debt, and </w:t>
      </w:r>
      <w:r w:rsidR="002F137F">
        <w:rPr>
          <w:sz w:val="24"/>
          <w:szCs w:val="24"/>
        </w:rPr>
        <w:t>the fourth</w:t>
      </w:r>
      <w:r w:rsidR="00E2379C" w:rsidRPr="003D3156">
        <w:rPr>
          <w:sz w:val="24"/>
          <w:szCs w:val="24"/>
        </w:rPr>
        <w:t xml:space="preserve"> is related to institutional</w:t>
      </w:r>
      <w:r w:rsidR="005D2693">
        <w:rPr>
          <w:sz w:val="24"/>
          <w:szCs w:val="24"/>
        </w:rPr>
        <w:t xml:space="preserve"> reserves</w:t>
      </w:r>
      <w:r w:rsidR="00E2379C" w:rsidRPr="003D3156">
        <w:rPr>
          <w:sz w:val="24"/>
          <w:szCs w:val="24"/>
        </w:rPr>
        <w:t>.</w:t>
      </w:r>
      <w:r w:rsidR="0016652F" w:rsidRPr="003D3156">
        <w:rPr>
          <w:sz w:val="24"/>
          <w:szCs w:val="24"/>
        </w:rPr>
        <w:t xml:space="preserve"> </w:t>
      </w:r>
    </w:p>
    <w:p w14:paraId="492669D1" w14:textId="3A18AA25" w:rsidR="00A47913" w:rsidRPr="009273AE" w:rsidRDefault="0058784A" w:rsidP="00CA7826">
      <w:pPr>
        <w:spacing w:after="0" w:line="360" w:lineRule="auto"/>
        <w:ind w:firstLine="720"/>
        <w:rPr>
          <w:sz w:val="24"/>
          <w:szCs w:val="24"/>
        </w:rPr>
      </w:pPr>
      <w:r>
        <w:rPr>
          <w:sz w:val="24"/>
          <w:szCs w:val="24"/>
        </w:rPr>
        <w:br w:type="textWrapping" w:clear="all"/>
      </w:r>
      <w:r w:rsidR="00A47913" w:rsidRPr="003D3156">
        <w:rPr>
          <w:b/>
          <w:sz w:val="24"/>
          <w:szCs w:val="24"/>
        </w:rPr>
        <w:t xml:space="preserve">CFI Component </w:t>
      </w:r>
      <w:r w:rsidR="00144117" w:rsidRPr="003D3156">
        <w:rPr>
          <w:b/>
          <w:sz w:val="24"/>
          <w:szCs w:val="24"/>
        </w:rPr>
        <w:t>1</w:t>
      </w:r>
      <w:r w:rsidR="00A47913" w:rsidRPr="003D3156">
        <w:rPr>
          <w:b/>
          <w:sz w:val="24"/>
          <w:szCs w:val="24"/>
        </w:rPr>
        <w:t xml:space="preserve">: </w:t>
      </w:r>
      <w:r w:rsidR="00A47913" w:rsidRPr="00A509D8">
        <w:rPr>
          <w:b/>
          <w:sz w:val="24"/>
          <w:szCs w:val="24"/>
        </w:rPr>
        <w:t>Return on Net Assets</w:t>
      </w:r>
      <w:r w:rsidR="00A47913" w:rsidRPr="003D3156">
        <w:rPr>
          <w:b/>
          <w:sz w:val="24"/>
          <w:szCs w:val="24"/>
        </w:rPr>
        <w:t xml:space="preserve"> (Weight </w:t>
      </w:r>
      <w:r w:rsidR="00EB3571">
        <w:rPr>
          <w:b/>
          <w:sz w:val="24"/>
          <w:szCs w:val="24"/>
        </w:rPr>
        <w:t>2</w:t>
      </w:r>
      <w:r w:rsidR="00A47913" w:rsidRPr="003D3156">
        <w:rPr>
          <w:b/>
          <w:sz w:val="24"/>
          <w:szCs w:val="24"/>
        </w:rPr>
        <w:t>0</w:t>
      </w:r>
      <w:r w:rsidR="00F26F89">
        <w:rPr>
          <w:b/>
          <w:sz w:val="24"/>
          <w:szCs w:val="24"/>
        </w:rPr>
        <w:t xml:space="preserve"> percent</w:t>
      </w:r>
      <w:r w:rsidR="00A47913" w:rsidRPr="003D3156">
        <w:rPr>
          <w:b/>
          <w:sz w:val="24"/>
          <w:szCs w:val="24"/>
        </w:rPr>
        <w:t>) (Threshold 6</w:t>
      </w:r>
      <w:r w:rsidR="00F26F89">
        <w:rPr>
          <w:b/>
          <w:sz w:val="24"/>
          <w:szCs w:val="24"/>
        </w:rPr>
        <w:t xml:space="preserve"> percent</w:t>
      </w:r>
      <w:r w:rsidR="00A47913" w:rsidRPr="003D3156">
        <w:rPr>
          <w:b/>
          <w:sz w:val="24"/>
          <w:szCs w:val="24"/>
        </w:rPr>
        <w:t xml:space="preserve">)   </w:t>
      </w:r>
    </w:p>
    <w:p w14:paraId="11E9A063" w14:textId="2B77C39B" w:rsidR="0079366B" w:rsidRDefault="00FD45C8" w:rsidP="0079366B">
      <w:pPr>
        <w:spacing w:line="360" w:lineRule="auto"/>
        <w:ind w:firstLine="720"/>
        <w:rPr>
          <w:sz w:val="24"/>
          <w:szCs w:val="24"/>
        </w:rPr>
      </w:pPr>
      <w:bookmarkStart w:id="0" w:name="_Hlk174359"/>
      <w:r>
        <w:rPr>
          <w:noProof/>
        </w:rPr>
        <w:drawing>
          <wp:anchor distT="0" distB="0" distL="114300" distR="114300" simplePos="0" relativeHeight="251658240" behindDoc="0" locked="0" layoutInCell="1" allowOverlap="1" wp14:anchorId="081BE7F7" wp14:editId="4CFC6FB8">
            <wp:simplePos x="0" y="0"/>
            <wp:positionH relativeFrom="column">
              <wp:posOffset>4274820</wp:posOffset>
            </wp:positionH>
            <wp:positionV relativeFrom="paragraph">
              <wp:posOffset>6985</wp:posOffset>
            </wp:positionV>
            <wp:extent cx="2413000" cy="2827020"/>
            <wp:effectExtent l="0" t="0" r="6350" b="11430"/>
            <wp:wrapThrough wrapText="bothSides">
              <wp:wrapPolygon edited="0">
                <wp:start x="0" y="0"/>
                <wp:lineTo x="0" y="21542"/>
                <wp:lineTo x="21486" y="21542"/>
                <wp:lineTo x="21486" y="0"/>
                <wp:lineTo x="0" y="0"/>
              </wp:wrapPolygon>
            </wp:wrapThrough>
            <wp:docPr id="1058717708" name="Chart 1">
              <a:extLst xmlns:a="http://schemas.openxmlformats.org/drawingml/2006/main">
                <a:ext uri="{FF2B5EF4-FFF2-40B4-BE49-F238E27FC236}">
                  <a16:creationId xmlns:a16="http://schemas.microsoft.com/office/drawing/2014/main" id="{177F13A5-D7FB-DFA7-3FCA-ED9D286E40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CB1692">
        <w:rPr>
          <w:sz w:val="24"/>
          <w:szCs w:val="24"/>
        </w:rPr>
        <w:t>Return on Net Assets</w:t>
      </w:r>
      <w:r w:rsidR="00A47913" w:rsidRPr="003D3156">
        <w:rPr>
          <w:sz w:val="24"/>
          <w:szCs w:val="24"/>
        </w:rPr>
        <w:t xml:space="preserve"> compares the total earning </w:t>
      </w:r>
      <w:r w:rsidR="003D258A">
        <w:rPr>
          <w:sz w:val="24"/>
          <w:szCs w:val="24"/>
        </w:rPr>
        <w:t>capacity</w:t>
      </w:r>
      <w:r w:rsidR="00A47913" w:rsidRPr="003D3156">
        <w:rPr>
          <w:sz w:val="24"/>
          <w:szCs w:val="24"/>
        </w:rPr>
        <w:t xml:space="preserve"> of the institution to its </w:t>
      </w:r>
      <w:r w:rsidR="003D258A">
        <w:rPr>
          <w:sz w:val="24"/>
          <w:szCs w:val="24"/>
        </w:rPr>
        <w:t xml:space="preserve">actual </w:t>
      </w:r>
      <w:r w:rsidR="00A47913" w:rsidRPr="003D3156">
        <w:rPr>
          <w:sz w:val="24"/>
          <w:szCs w:val="24"/>
        </w:rPr>
        <w:t xml:space="preserve">earnings results. </w:t>
      </w:r>
      <w:r w:rsidR="002F35F4" w:rsidRPr="002F35F4">
        <w:rPr>
          <w:sz w:val="24"/>
          <w:szCs w:val="24"/>
        </w:rPr>
        <w:t xml:space="preserve">It determines whether an institution is financially better off than in the previous year by measuring total economic return. </w:t>
      </w:r>
      <w:r w:rsidR="005C1121" w:rsidRPr="003D3156">
        <w:rPr>
          <w:sz w:val="24"/>
          <w:szCs w:val="24"/>
        </w:rPr>
        <w:t>As this is simply a measure of activity</w:t>
      </w:r>
      <w:r w:rsidR="00CB1692">
        <w:rPr>
          <w:sz w:val="24"/>
          <w:szCs w:val="24"/>
        </w:rPr>
        <w:t xml:space="preserve"> in a single year which is subject to large deviations</w:t>
      </w:r>
      <w:r w:rsidR="005C1121" w:rsidRPr="003D3156">
        <w:rPr>
          <w:sz w:val="24"/>
          <w:szCs w:val="24"/>
        </w:rPr>
        <w:t>,</w:t>
      </w:r>
      <w:r w:rsidR="0072237D">
        <w:rPr>
          <w:sz w:val="24"/>
          <w:szCs w:val="24"/>
        </w:rPr>
        <w:t xml:space="preserve"> </w:t>
      </w:r>
      <w:r w:rsidR="000605AE">
        <w:rPr>
          <w:sz w:val="24"/>
          <w:szCs w:val="24"/>
        </w:rPr>
        <w:t xml:space="preserve">it </w:t>
      </w:r>
      <w:r w:rsidR="005C1121" w:rsidRPr="003D3156">
        <w:rPr>
          <w:sz w:val="24"/>
          <w:szCs w:val="24"/>
        </w:rPr>
        <w:t>compris</w:t>
      </w:r>
      <w:r w:rsidR="000605AE">
        <w:rPr>
          <w:sz w:val="24"/>
          <w:szCs w:val="24"/>
        </w:rPr>
        <w:t>es only</w:t>
      </w:r>
      <w:r w:rsidR="0072237D">
        <w:rPr>
          <w:sz w:val="24"/>
          <w:szCs w:val="24"/>
        </w:rPr>
        <w:t xml:space="preserve"> </w:t>
      </w:r>
      <w:r w:rsidR="00EB3571">
        <w:rPr>
          <w:sz w:val="24"/>
          <w:szCs w:val="24"/>
        </w:rPr>
        <w:t>2</w:t>
      </w:r>
      <w:r w:rsidR="005C1121" w:rsidRPr="003D3156">
        <w:rPr>
          <w:sz w:val="24"/>
          <w:szCs w:val="24"/>
        </w:rPr>
        <w:t>0</w:t>
      </w:r>
      <w:r w:rsidR="00F26F89">
        <w:rPr>
          <w:sz w:val="24"/>
          <w:szCs w:val="24"/>
        </w:rPr>
        <w:t xml:space="preserve"> percent</w:t>
      </w:r>
      <w:r w:rsidR="005C1121" w:rsidRPr="003D3156">
        <w:rPr>
          <w:sz w:val="24"/>
          <w:szCs w:val="24"/>
        </w:rPr>
        <w:t xml:space="preserve"> of the CFI score.  </w:t>
      </w:r>
      <w:r w:rsidR="00A47913" w:rsidRPr="003D3156">
        <w:rPr>
          <w:sz w:val="24"/>
          <w:szCs w:val="24"/>
        </w:rPr>
        <w:t xml:space="preserve">Over the last </w:t>
      </w:r>
      <w:r w:rsidR="0030683B">
        <w:rPr>
          <w:sz w:val="24"/>
          <w:szCs w:val="24"/>
        </w:rPr>
        <w:t>7</w:t>
      </w:r>
      <w:r w:rsidR="00A47913" w:rsidRPr="003D3156">
        <w:rPr>
          <w:sz w:val="24"/>
          <w:szCs w:val="24"/>
        </w:rPr>
        <w:t xml:space="preserve"> years, Texas State University has </w:t>
      </w:r>
      <w:r w:rsidR="005C1121" w:rsidRPr="003D3156">
        <w:rPr>
          <w:sz w:val="24"/>
          <w:szCs w:val="24"/>
        </w:rPr>
        <w:t>return</w:t>
      </w:r>
      <w:r w:rsidR="00714A58">
        <w:rPr>
          <w:sz w:val="24"/>
          <w:szCs w:val="24"/>
        </w:rPr>
        <w:t>ed</w:t>
      </w:r>
      <w:r w:rsidR="005C1121" w:rsidRPr="003D3156">
        <w:rPr>
          <w:sz w:val="24"/>
          <w:szCs w:val="24"/>
        </w:rPr>
        <w:t xml:space="preserve"> </w:t>
      </w:r>
      <w:r w:rsidR="00A47913" w:rsidRPr="003D3156">
        <w:rPr>
          <w:sz w:val="24"/>
          <w:szCs w:val="24"/>
        </w:rPr>
        <w:t xml:space="preserve">an average </w:t>
      </w:r>
      <w:r w:rsidR="00714A58">
        <w:rPr>
          <w:sz w:val="24"/>
          <w:szCs w:val="24"/>
        </w:rPr>
        <w:t>of</w:t>
      </w:r>
      <w:r w:rsidR="00742C9B">
        <w:rPr>
          <w:sz w:val="24"/>
          <w:szCs w:val="24"/>
        </w:rPr>
        <w:t xml:space="preserve"> 7.60</w:t>
      </w:r>
      <w:bookmarkStart w:id="1" w:name="_Hlk165386531"/>
      <w:r w:rsidR="00652307">
        <w:rPr>
          <w:sz w:val="24"/>
          <w:szCs w:val="24"/>
        </w:rPr>
        <w:t xml:space="preserve"> </w:t>
      </w:r>
      <w:r w:rsidR="00652307" w:rsidRPr="00652307">
        <w:rPr>
          <w:sz w:val="24"/>
          <w:szCs w:val="24"/>
          <w:vertAlign w:val="superscript"/>
        </w:rPr>
        <w:t>(</w:t>
      </w:r>
      <w:r w:rsidR="00E44AAB" w:rsidRPr="00E44AAB">
        <w:rPr>
          <w:sz w:val="24"/>
          <w:szCs w:val="24"/>
          <w:vertAlign w:val="superscript"/>
        </w:rPr>
        <w:t>1</w:t>
      </w:r>
      <w:bookmarkEnd w:id="1"/>
      <w:r w:rsidR="00652307">
        <w:rPr>
          <w:sz w:val="24"/>
          <w:szCs w:val="24"/>
          <w:vertAlign w:val="superscript"/>
        </w:rPr>
        <w:t>)</w:t>
      </w:r>
      <w:r w:rsidR="00F26F89">
        <w:rPr>
          <w:sz w:val="24"/>
          <w:szCs w:val="24"/>
        </w:rPr>
        <w:t xml:space="preserve"> percent</w:t>
      </w:r>
      <w:r w:rsidR="00A47913" w:rsidRPr="003D3156">
        <w:rPr>
          <w:sz w:val="24"/>
          <w:szCs w:val="24"/>
        </w:rPr>
        <w:t xml:space="preserve"> </w:t>
      </w:r>
      <w:r w:rsidR="005C1121" w:rsidRPr="003D3156">
        <w:rPr>
          <w:sz w:val="24"/>
          <w:szCs w:val="24"/>
        </w:rPr>
        <w:t xml:space="preserve">on its net assets </w:t>
      </w:r>
      <w:r w:rsidR="00A47913" w:rsidRPr="003D3156">
        <w:rPr>
          <w:sz w:val="24"/>
          <w:szCs w:val="24"/>
        </w:rPr>
        <w:t>annually</w:t>
      </w:r>
      <w:bookmarkEnd w:id="0"/>
      <w:r w:rsidR="00A47913" w:rsidRPr="003D3156">
        <w:rPr>
          <w:sz w:val="24"/>
          <w:szCs w:val="24"/>
        </w:rPr>
        <w:t xml:space="preserve">, with a </w:t>
      </w:r>
      <w:r w:rsidR="005C1121" w:rsidRPr="003D3156">
        <w:rPr>
          <w:sz w:val="24"/>
          <w:szCs w:val="24"/>
        </w:rPr>
        <w:t xml:space="preserve">rate of </w:t>
      </w:r>
      <w:r w:rsidR="00EB3571">
        <w:rPr>
          <w:sz w:val="24"/>
          <w:szCs w:val="24"/>
        </w:rPr>
        <w:t>3.11</w:t>
      </w:r>
      <w:r w:rsidR="00F2559D">
        <w:rPr>
          <w:sz w:val="24"/>
          <w:szCs w:val="24"/>
        </w:rPr>
        <w:t xml:space="preserve"> </w:t>
      </w:r>
      <w:r w:rsidR="006D3DB1">
        <w:rPr>
          <w:sz w:val="24"/>
          <w:szCs w:val="24"/>
          <w:vertAlign w:val="superscript"/>
        </w:rPr>
        <w:t>(1)</w:t>
      </w:r>
      <w:hyperlink r:id="rId11" w:history="1"/>
      <w:r w:rsidR="00255D78">
        <w:rPr>
          <w:rStyle w:val="normaltextrun"/>
          <w:rFonts w:ascii="Calibri" w:hAnsi="Calibri" w:cs="Calibri"/>
          <w:color w:val="FFFFFF"/>
          <w:shd w:val="clear" w:color="auto" w:fill="FFFFFF"/>
        </w:rPr>
        <w:t xml:space="preserve"> </w:t>
      </w:r>
      <w:r w:rsidR="00F26F89">
        <w:rPr>
          <w:sz w:val="24"/>
          <w:szCs w:val="24"/>
        </w:rPr>
        <w:t>percent</w:t>
      </w:r>
      <w:r w:rsidR="00A47913" w:rsidRPr="003D3156">
        <w:rPr>
          <w:sz w:val="24"/>
          <w:szCs w:val="24"/>
        </w:rPr>
        <w:t xml:space="preserve"> for </w:t>
      </w:r>
      <w:r w:rsidR="00F80BE8">
        <w:rPr>
          <w:sz w:val="24"/>
          <w:szCs w:val="24"/>
        </w:rPr>
        <w:t>FY</w:t>
      </w:r>
      <w:r w:rsidR="00A47913" w:rsidRPr="003D3156">
        <w:rPr>
          <w:sz w:val="24"/>
          <w:szCs w:val="24"/>
        </w:rPr>
        <w:t>20</w:t>
      </w:r>
      <w:r w:rsidR="005C1121" w:rsidRPr="003D3156">
        <w:rPr>
          <w:sz w:val="24"/>
          <w:szCs w:val="24"/>
        </w:rPr>
        <w:t>2</w:t>
      </w:r>
      <w:r w:rsidR="00B663D0">
        <w:rPr>
          <w:sz w:val="24"/>
          <w:szCs w:val="24"/>
        </w:rPr>
        <w:t>3</w:t>
      </w:r>
      <w:r w:rsidR="005C1121" w:rsidRPr="003D3156">
        <w:rPr>
          <w:sz w:val="24"/>
          <w:szCs w:val="24"/>
        </w:rPr>
        <w:t xml:space="preserve">. </w:t>
      </w:r>
      <w:r w:rsidR="00CB1692">
        <w:rPr>
          <w:sz w:val="24"/>
          <w:szCs w:val="24"/>
        </w:rPr>
        <w:t xml:space="preserve"> </w:t>
      </w:r>
      <w:r w:rsidR="00CB1692" w:rsidRPr="003D3156">
        <w:rPr>
          <w:sz w:val="24"/>
          <w:szCs w:val="24"/>
        </w:rPr>
        <w:t>Th</w:t>
      </w:r>
      <w:r w:rsidR="00CB1692">
        <w:rPr>
          <w:sz w:val="24"/>
          <w:szCs w:val="24"/>
        </w:rPr>
        <w:t>e</w:t>
      </w:r>
      <w:r w:rsidR="00220C46">
        <w:rPr>
          <w:sz w:val="24"/>
          <w:szCs w:val="24"/>
        </w:rPr>
        <w:t xml:space="preserve"> </w:t>
      </w:r>
      <w:r w:rsidR="0030683B">
        <w:rPr>
          <w:sz w:val="24"/>
          <w:szCs w:val="24"/>
        </w:rPr>
        <w:t>7</w:t>
      </w:r>
      <w:r w:rsidR="00220C46">
        <w:rPr>
          <w:sz w:val="24"/>
          <w:szCs w:val="24"/>
        </w:rPr>
        <w:t xml:space="preserve">-year average is above </w:t>
      </w:r>
      <w:r w:rsidR="00CB1692" w:rsidRPr="003D3156">
        <w:rPr>
          <w:sz w:val="24"/>
          <w:szCs w:val="24"/>
        </w:rPr>
        <w:t>the recommended benchmark threshold value of 6.0</w:t>
      </w:r>
      <w:r w:rsidR="00CB1692">
        <w:rPr>
          <w:sz w:val="24"/>
          <w:szCs w:val="24"/>
        </w:rPr>
        <w:t xml:space="preserve"> percent</w:t>
      </w:r>
      <w:r w:rsidR="00CB1692" w:rsidRPr="003D3156">
        <w:rPr>
          <w:sz w:val="24"/>
          <w:szCs w:val="24"/>
        </w:rPr>
        <w:t xml:space="preserve"> which is indicative of financial health.</w:t>
      </w:r>
      <w:r w:rsidR="00220C46">
        <w:rPr>
          <w:sz w:val="24"/>
          <w:szCs w:val="24"/>
        </w:rPr>
        <w:t xml:space="preserve"> </w:t>
      </w:r>
      <w:r w:rsidR="00A15ECE">
        <w:rPr>
          <w:sz w:val="24"/>
          <w:szCs w:val="24"/>
        </w:rPr>
        <w:t xml:space="preserve"> The lower rate in </w:t>
      </w:r>
      <w:r w:rsidR="00FF279B">
        <w:rPr>
          <w:sz w:val="24"/>
          <w:szCs w:val="24"/>
        </w:rPr>
        <w:t>FY2023 was anticipated as the university made significant strategic investments.</w:t>
      </w:r>
    </w:p>
    <w:p w14:paraId="084EB80A" w14:textId="77777777" w:rsidR="00B85142" w:rsidRDefault="00220C46" w:rsidP="00B85142">
      <w:pPr>
        <w:spacing w:line="360" w:lineRule="auto"/>
        <w:ind w:firstLine="720"/>
        <w:rPr>
          <w:sz w:val="24"/>
          <w:szCs w:val="24"/>
        </w:rPr>
      </w:pPr>
      <w:r>
        <w:rPr>
          <w:sz w:val="24"/>
          <w:szCs w:val="24"/>
        </w:rPr>
        <w:t xml:space="preserve"> </w:t>
      </w:r>
      <w:r w:rsidR="00DE3A2A">
        <w:rPr>
          <w:sz w:val="24"/>
          <w:szCs w:val="24"/>
        </w:rPr>
        <w:t>Texas State reports t</w:t>
      </w:r>
      <w:r w:rsidR="00DE3A2A" w:rsidRPr="00DE3A2A">
        <w:rPr>
          <w:sz w:val="24"/>
          <w:szCs w:val="24"/>
        </w:rPr>
        <w:t xml:space="preserve">he nominal rate of return on net </w:t>
      </w:r>
      <w:r w:rsidR="006A17DD">
        <w:rPr>
          <w:sz w:val="24"/>
          <w:szCs w:val="24"/>
        </w:rPr>
        <w:t xml:space="preserve">assets </w:t>
      </w:r>
      <w:r w:rsidR="00DE3A2A" w:rsidRPr="00DE3A2A">
        <w:rPr>
          <w:sz w:val="24"/>
          <w:szCs w:val="24"/>
        </w:rPr>
        <w:t xml:space="preserve">unadjusted for inflation or other factors.  </w:t>
      </w:r>
      <w:r w:rsidR="006A17DD">
        <w:rPr>
          <w:sz w:val="24"/>
          <w:szCs w:val="24"/>
        </w:rPr>
        <w:t>Some universities present a</w:t>
      </w:r>
      <w:r w:rsidR="00DE3A2A" w:rsidRPr="00DE3A2A">
        <w:rPr>
          <w:sz w:val="24"/>
          <w:szCs w:val="24"/>
        </w:rPr>
        <w:t xml:space="preserve"> real rate of return </w:t>
      </w:r>
      <w:r w:rsidR="006A17DD">
        <w:rPr>
          <w:sz w:val="24"/>
          <w:szCs w:val="24"/>
        </w:rPr>
        <w:t xml:space="preserve">which </w:t>
      </w:r>
      <w:r w:rsidR="00DE3A2A" w:rsidRPr="00DE3A2A">
        <w:rPr>
          <w:sz w:val="24"/>
          <w:szCs w:val="24"/>
        </w:rPr>
        <w:t>adjusts for the effects of inflation.</w:t>
      </w:r>
      <w:r w:rsidR="006A17DD">
        <w:rPr>
          <w:sz w:val="24"/>
          <w:szCs w:val="24"/>
        </w:rPr>
        <w:t xml:space="preserve">  Over the past 30 years, the annual impact of inflation has </w:t>
      </w:r>
      <w:r w:rsidR="00A370EE">
        <w:rPr>
          <w:sz w:val="24"/>
          <w:szCs w:val="24"/>
        </w:rPr>
        <w:t xml:space="preserve">been a relatively minor factor which did not materially change the </w:t>
      </w:r>
      <w:r w:rsidR="00CD5ED9">
        <w:rPr>
          <w:sz w:val="24"/>
          <w:szCs w:val="24"/>
        </w:rPr>
        <w:t>meaning of this measure.</w:t>
      </w:r>
      <w:r w:rsidR="00766D6E">
        <w:rPr>
          <w:sz w:val="24"/>
          <w:szCs w:val="24"/>
        </w:rPr>
        <w:t xml:space="preserve">  With inflation over the past two fiscal years pushing into the 5% and 6% range</w:t>
      </w:r>
      <w:r w:rsidR="00474D64">
        <w:rPr>
          <w:sz w:val="24"/>
          <w:szCs w:val="24"/>
        </w:rPr>
        <w:t xml:space="preserve">, achieving the threshold value of 6% indicates keeping up with inflation.  </w:t>
      </w:r>
      <w:r w:rsidR="006A17DD">
        <w:rPr>
          <w:sz w:val="24"/>
          <w:szCs w:val="24"/>
        </w:rPr>
        <w:t xml:space="preserve">Should </w:t>
      </w:r>
      <w:r w:rsidR="00CD5ED9">
        <w:rPr>
          <w:sz w:val="24"/>
          <w:szCs w:val="24"/>
        </w:rPr>
        <w:t xml:space="preserve">our current </w:t>
      </w:r>
      <w:r w:rsidR="006A17DD">
        <w:rPr>
          <w:sz w:val="24"/>
          <w:szCs w:val="24"/>
        </w:rPr>
        <w:t xml:space="preserve">high inflationary environment persist, Texas State may need to consider using an inflation-adjusted </w:t>
      </w:r>
      <w:r w:rsidR="00474D64">
        <w:rPr>
          <w:sz w:val="24"/>
          <w:szCs w:val="24"/>
        </w:rPr>
        <w:t xml:space="preserve">reporting </w:t>
      </w:r>
      <w:r w:rsidR="006A17DD">
        <w:rPr>
          <w:sz w:val="24"/>
          <w:szCs w:val="24"/>
        </w:rPr>
        <w:t>methodology</w:t>
      </w:r>
      <w:r w:rsidR="0072299C">
        <w:rPr>
          <w:sz w:val="24"/>
          <w:szCs w:val="24"/>
        </w:rPr>
        <w:t xml:space="preserve"> in the future</w:t>
      </w:r>
      <w:r w:rsidR="006A17DD">
        <w:rPr>
          <w:sz w:val="24"/>
          <w:szCs w:val="24"/>
        </w:rPr>
        <w:t>.</w:t>
      </w:r>
    </w:p>
    <w:p w14:paraId="521E25E1" w14:textId="2DFBC779" w:rsidR="002A6C9B" w:rsidRPr="009273AE" w:rsidRDefault="00F87D4F" w:rsidP="00B85142">
      <w:pPr>
        <w:spacing w:line="360" w:lineRule="auto"/>
        <w:ind w:firstLine="720"/>
        <w:rPr>
          <w:sz w:val="24"/>
          <w:szCs w:val="24"/>
        </w:rPr>
      </w:pPr>
      <w:r w:rsidRPr="003D3156">
        <w:rPr>
          <w:b/>
          <w:sz w:val="24"/>
          <w:szCs w:val="24"/>
        </w:rPr>
        <w:t xml:space="preserve">CFI Component </w:t>
      </w:r>
      <w:r w:rsidR="00144117" w:rsidRPr="003D3156">
        <w:rPr>
          <w:b/>
          <w:sz w:val="24"/>
          <w:szCs w:val="24"/>
        </w:rPr>
        <w:t>2</w:t>
      </w:r>
      <w:r w:rsidRPr="003D3156">
        <w:rPr>
          <w:b/>
          <w:sz w:val="24"/>
          <w:szCs w:val="24"/>
        </w:rPr>
        <w:t xml:space="preserve">: </w:t>
      </w:r>
      <w:r w:rsidR="00703AC4" w:rsidRPr="003D3156">
        <w:rPr>
          <w:b/>
          <w:sz w:val="24"/>
          <w:szCs w:val="24"/>
        </w:rPr>
        <w:t>Net Operating Revenue</w:t>
      </w:r>
      <w:r w:rsidR="0033210D">
        <w:rPr>
          <w:b/>
          <w:sz w:val="24"/>
          <w:szCs w:val="24"/>
        </w:rPr>
        <w:t>s</w:t>
      </w:r>
      <w:r w:rsidR="00703AC4" w:rsidRPr="003D3156">
        <w:rPr>
          <w:b/>
          <w:sz w:val="24"/>
          <w:szCs w:val="24"/>
        </w:rPr>
        <w:t xml:space="preserve"> Ratio (Weight </w:t>
      </w:r>
      <w:r w:rsidR="00477D0C">
        <w:rPr>
          <w:b/>
          <w:sz w:val="24"/>
          <w:szCs w:val="24"/>
        </w:rPr>
        <w:t>10</w:t>
      </w:r>
      <w:r w:rsidR="00F26F89">
        <w:rPr>
          <w:b/>
          <w:sz w:val="24"/>
          <w:szCs w:val="24"/>
        </w:rPr>
        <w:t xml:space="preserve"> percent</w:t>
      </w:r>
      <w:r w:rsidR="00703AC4" w:rsidRPr="003D3156">
        <w:rPr>
          <w:b/>
          <w:sz w:val="24"/>
          <w:szCs w:val="24"/>
        </w:rPr>
        <w:t xml:space="preserve">) (Threshold </w:t>
      </w:r>
      <w:r w:rsidR="00996568">
        <w:rPr>
          <w:b/>
          <w:sz w:val="24"/>
          <w:szCs w:val="24"/>
        </w:rPr>
        <w:t>4</w:t>
      </w:r>
      <w:r w:rsidR="00F26F89">
        <w:rPr>
          <w:b/>
          <w:sz w:val="24"/>
          <w:szCs w:val="24"/>
        </w:rPr>
        <w:t xml:space="preserve"> percent</w:t>
      </w:r>
      <w:r w:rsidR="00703AC4" w:rsidRPr="003D3156">
        <w:rPr>
          <w:b/>
          <w:sz w:val="24"/>
          <w:szCs w:val="24"/>
        </w:rPr>
        <w:t>)</w:t>
      </w:r>
    </w:p>
    <w:p w14:paraId="6B04FE9B" w14:textId="0DD087DA" w:rsidR="00DB2450" w:rsidRDefault="00C87C89" w:rsidP="00DB2450">
      <w:pPr>
        <w:spacing w:line="360" w:lineRule="auto"/>
        <w:ind w:firstLine="720"/>
        <w:rPr>
          <w:sz w:val="24"/>
          <w:szCs w:val="24"/>
        </w:rPr>
      </w:pPr>
      <w:r w:rsidRPr="003D3156">
        <w:rPr>
          <w:sz w:val="24"/>
          <w:szCs w:val="24"/>
        </w:rPr>
        <w:t>The Net</w:t>
      </w:r>
      <w:r w:rsidR="00703AC4" w:rsidRPr="003D3156">
        <w:rPr>
          <w:sz w:val="24"/>
          <w:szCs w:val="24"/>
        </w:rPr>
        <w:t xml:space="preserve"> Operating Revenue</w:t>
      </w:r>
      <w:r w:rsidR="0033210D">
        <w:rPr>
          <w:sz w:val="24"/>
          <w:szCs w:val="24"/>
        </w:rPr>
        <w:t>s</w:t>
      </w:r>
      <w:r w:rsidR="00703AC4" w:rsidRPr="003D3156">
        <w:rPr>
          <w:sz w:val="24"/>
          <w:szCs w:val="24"/>
        </w:rPr>
        <w:t xml:space="preserve"> Ratio measur</w:t>
      </w:r>
      <w:r w:rsidRPr="003D3156">
        <w:rPr>
          <w:sz w:val="24"/>
          <w:szCs w:val="24"/>
        </w:rPr>
        <w:t xml:space="preserve">es </w:t>
      </w:r>
      <w:r w:rsidR="00703AC4" w:rsidRPr="003D3156">
        <w:rPr>
          <w:sz w:val="24"/>
          <w:szCs w:val="24"/>
        </w:rPr>
        <w:t>annual operating performance</w:t>
      </w:r>
      <w:r w:rsidR="003D258A">
        <w:rPr>
          <w:sz w:val="24"/>
          <w:szCs w:val="24"/>
        </w:rPr>
        <w:t xml:space="preserve">, or, </w:t>
      </w:r>
      <w:r w:rsidRPr="003D3156">
        <w:rPr>
          <w:sz w:val="24"/>
          <w:szCs w:val="24"/>
        </w:rPr>
        <w:t>put simply</w:t>
      </w:r>
      <w:r w:rsidR="003D258A">
        <w:rPr>
          <w:sz w:val="24"/>
          <w:szCs w:val="24"/>
        </w:rPr>
        <w:t>,</w:t>
      </w:r>
      <w:r w:rsidRPr="003D3156">
        <w:rPr>
          <w:sz w:val="24"/>
          <w:szCs w:val="24"/>
        </w:rPr>
        <w:t xml:space="preserve"> “profit &amp; loss.”</w:t>
      </w:r>
      <w:r w:rsidR="00703AC4" w:rsidRPr="003D3156">
        <w:rPr>
          <w:sz w:val="24"/>
          <w:szCs w:val="24"/>
        </w:rPr>
        <w:t xml:space="preserve"> It answers the question, are we living within our means</w:t>
      </w:r>
      <w:r w:rsidRPr="003D3156">
        <w:rPr>
          <w:sz w:val="24"/>
          <w:szCs w:val="24"/>
        </w:rPr>
        <w:t>?</w:t>
      </w:r>
      <w:r w:rsidR="00703AC4" w:rsidRPr="003D3156">
        <w:rPr>
          <w:sz w:val="24"/>
          <w:szCs w:val="24"/>
        </w:rPr>
        <w:t xml:space="preserve"> </w:t>
      </w:r>
      <w:r w:rsidRPr="003D3156">
        <w:rPr>
          <w:sz w:val="24"/>
          <w:szCs w:val="24"/>
        </w:rPr>
        <w:t xml:space="preserve">Although very important, this ratio is still weighted less than those that follow because it is based only </w:t>
      </w:r>
      <w:r w:rsidR="00F26F89">
        <w:rPr>
          <w:sz w:val="24"/>
          <w:szCs w:val="24"/>
        </w:rPr>
        <w:t xml:space="preserve">on </w:t>
      </w:r>
      <w:r w:rsidR="00AD7C28">
        <w:rPr>
          <w:sz w:val="24"/>
          <w:szCs w:val="24"/>
        </w:rPr>
        <w:t>a</w:t>
      </w:r>
      <w:r w:rsidRPr="003D3156">
        <w:rPr>
          <w:sz w:val="24"/>
          <w:szCs w:val="24"/>
        </w:rPr>
        <w:t xml:space="preserve"> single year’s </w:t>
      </w:r>
      <w:r w:rsidRPr="003D3156">
        <w:rPr>
          <w:sz w:val="24"/>
          <w:szCs w:val="24"/>
        </w:rPr>
        <w:lastRenderedPageBreak/>
        <w:t>performance</w:t>
      </w:r>
      <w:r w:rsidRPr="003D258A">
        <w:rPr>
          <w:sz w:val="24"/>
          <w:szCs w:val="24"/>
        </w:rPr>
        <w:t xml:space="preserve">.  </w:t>
      </w:r>
      <w:r w:rsidR="00F26F89" w:rsidRPr="003D258A">
        <w:rPr>
          <w:sz w:val="24"/>
          <w:szCs w:val="24"/>
        </w:rPr>
        <w:t xml:space="preserve">The </w:t>
      </w:r>
      <w:r w:rsidR="00703AC4" w:rsidRPr="003D258A">
        <w:rPr>
          <w:sz w:val="24"/>
          <w:szCs w:val="24"/>
        </w:rPr>
        <w:t>Net Operating Revenue</w:t>
      </w:r>
      <w:r w:rsidR="003D258A">
        <w:rPr>
          <w:sz w:val="24"/>
          <w:szCs w:val="24"/>
        </w:rPr>
        <w:t>s</w:t>
      </w:r>
      <w:r w:rsidR="00F26F89" w:rsidRPr="003D258A">
        <w:rPr>
          <w:sz w:val="24"/>
          <w:szCs w:val="24"/>
        </w:rPr>
        <w:t xml:space="preserve"> Ratio</w:t>
      </w:r>
      <w:r w:rsidR="00703AC4" w:rsidRPr="003D258A">
        <w:rPr>
          <w:sz w:val="24"/>
          <w:szCs w:val="24"/>
        </w:rPr>
        <w:t xml:space="preserve"> for Texas State ha</w:t>
      </w:r>
      <w:r w:rsidR="00F26F89" w:rsidRPr="003D258A">
        <w:rPr>
          <w:sz w:val="24"/>
          <w:szCs w:val="24"/>
        </w:rPr>
        <w:t>s</w:t>
      </w:r>
      <w:r w:rsidR="00703AC4" w:rsidRPr="003D3156">
        <w:rPr>
          <w:sz w:val="24"/>
          <w:szCs w:val="24"/>
        </w:rPr>
        <w:t xml:space="preserve"> averaged </w:t>
      </w:r>
      <w:r w:rsidR="00742C9B">
        <w:rPr>
          <w:sz w:val="24"/>
          <w:szCs w:val="24"/>
        </w:rPr>
        <w:t>6.90</w:t>
      </w:r>
      <w:r w:rsidR="00F2559D">
        <w:rPr>
          <w:sz w:val="24"/>
          <w:szCs w:val="24"/>
        </w:rPr>
        <w:t xml:space="preserve"> </w:t>
      </w:r>
      <w:r w:rsidR="00F2559D">
        <w:rPr>
          <w:sz w:val="24"/>
          <w:szCs w:val="24"/>
          <w:vertAlign w:val="superscript"/>
        </w:rPr>
        <w:t>(1)</w:t>
      </w:r>
      <w:r w:rsidR="00F2559D">
        <w:rPr>
          <w:sz w:val="24"/>
          <w:szCs w:val="24"/>
        </w:rPr>
        <w:t xml:space="preserve"> </w:t>
      </w:r>
      <w:r w:rsidR="00F26F89">
        <w:rPr>
          <w:sz w:val="24"/>
          <w:szCs w:val="24"/>
        </w:rPr>
        <w:t>percent</w:t>
      </w:r>
      <w:r w:rsidR="00703AC4" w:rsidRPr="003D3156">
        <w:rPr>
          <w:sz w:val="24"/>
          <w:szCs w:val="24"/>
        </w:rPr>
        <w:t xml:space="preserve"> over </w:t>
      </w:r>
      <w:r w:rsidR="001B2A3A" w:rsidRPr="003D3156">
        <w:rPr>
          <w:sz w:val="24"/>
          <w:szCs w:val="24"/>
        </w:rPr>
        <w:t>t</w:t>
      </w:r>
      <w:r w:rsidR="00703AC4" w:rsidRPr="003D3156">
        <w:rPr>
          <w:sz w:val="24"/>
          <w:szCs w:val="24"/>
        </w:rPr>
        <w:t xml:space="preserve">he past </w:t>
      </w:r>
      <w:r w:rsidR="0030683B">
        <w:rPr>
          <w:sz w:val="24"/>
          <w:szCs w:val="24"/>
        </w:rPr>
        <w:t>7</w:t>
      </w:r>
      <w:r w:rsidR="00703AC4" w:rsidRPr="003D3156">
        <w:rPr>
          <w:sz w:val="24"/>
          <w:szCs w:val="24"/>
        </w:rPr>
        <w:t xml:space="preserve"> years, with a </w:t>
      </w:r>
      <w:r w:rsidR="00A375D6">
        <w:rPr>
          <w:sz w:val="24"/>
          <w:szCs w:val="24"/>
        </w:rPr>
        <w:t>4.</w:t>
      </w:r>
      <w:r w:rsidR="00477D0C">
        <w:rPr>
          <w:sz w:val="24"/>
          <w:szCs w:val="24"/>
        </w:rPr>
        <w:t>63</w:t>
      </w:r>
      <w:r w:rsidR="00F2559D">
        <w:rPr>
          <w:sz w:val="24"/>
          <w:szCs w:val="24"/>
        </w:rPr>
        <w:t xml:space="preserve"> </w:t>
      </w:r>
      <w:r w:rsidR="006D3DB1">
        <w:rPr>
          <w:sz w:val="24"/>
          <w:szCs w:val="24"/>
          <w:vertAlign w:val="superscript"/>
        </w:rPr>
        <w:t>(1)</w:t>
      </w:r>
      <w:r w:rsidR="00F26F89">
        <w:rPr>
          <w:sz w:val="24"/>
          <w:szCs w:val="24"/>
        </w:rPr>
        <w:t xml:space="preserve"> percent</w:t>
      </w:r>
      <w:r w:rsidR="00703AC4" w:rsidRPr="003D3156">
        <w:rPr>
          <w:sz w:val="24"/>
          <w:szCs w:val="24"/>
        </w:rPr>
        <w:t xml:space="preserve"> return for </w:t>
      </w:r>
      <w:r w:rsidR="00F80BE8">
        <w:rPr>
          <w:sz w:val="24"/>
          <w:szCs w:val="24"/>
        </w:rPr>
        <w:t>FY</w:t>
      </w:r>
      <w:r w:rsidR="00703AC4" w:rsidRPr="003D3156">
        <w:rPr>
          <w:sz w:val="24"/>
          <w:szCs w:val="24"/>
        </w:rPr>
        <w:t>20</w:t>
      </w:r>
      <w:r w:rsidRPr="003D3156">
        <w:rPr>
          <w:sz w:val="24"/>
          <w:szCs w:val="24"/>
        </w:rPr>
        <w:t>2</w:t>
      </w:r>
      <w:r w:rsidR="00B663D0">
        <w:rPr>
          <w:sz w:val="24"/>
          <w:szCs w:val="24"/>
        </w:rPr>
        <w:t>3</w:t>
      </w:r>
      <w:r w:rsidR="00703AC4" w:rsidRPr="003D3156">
        <w:rPr>
          <w:sz w:val="24"/>
          <w:szCs w:val="24"/>
        </w:rPr>
        <w:t xml:space="preserve">.  </w:t>
      </w:r>
    </w:p>
    <w:p w14:paraId="21A932E1" w14:textId="2F203198" w:rsidR="00703AC4" w:rsidRDefault="004F30E3" w:rsidP="00DB2450">
      <w:pPr>
        <w:spacing w:line="360" w:lineRule="auto"/>
        <w:ind w:firstLine="720"/>
        <w:rPr>
          <w:sz w:val="24"/>
          <w:szCs w:val="24"/>
        </w:rPr>
      </w:pPr>
      <w:r>
        <w:rPr>
          <w:noProof/>
        </w:rPr>
        <w:drawing>
          <wp:anchor distT="0" distB="0" distL="114300" distR="114300" simplePos="0" relativeHeight="251659776" behindDoc="0" locked="0" layoutInCell="1" allowOverlap="1" wp14:anchorId="4025F298" wp14:editId="78D07951">
            <wp:simplePos x="0" y="0"/>
            <wp:positionH relativeFrom="margin">
              <wp:posOffset>-15240</wp:posOffset>
            </wp:positionH>
            <wp:positionV relativeFrom="paragraph">
              <wp:posOffset>135890</wp:posOffset>
            </wp:positionV>
            <wp:extent cx="2115185" cy="2565400"/>
            <wp:effectExtent l="0" t="0" r="18415" b="6350"/>
            <wp:wrapThrough wrapText="bothSides">
              <wp:wrapPolygon edited="0">
                <wp:start x="0" y="0"/>
                <wp:lineTo x="0" y="21493"/>
                <wp:lineTo x="21594" y="21493"/>
                <wp:lineTo x="21594" y="0"/>
                <wp:lineTo x="0" y="0"/>
              </wp:wrapPolygon>
            </wp:wrapThrough>
            <wp:docPr id="52778227" name="Chart 1">
              <a:extLst xmlns:a="http://schemas.openxmlformats.org/drawingml/2006/main">
                <a:ext uri="{FF2B5EF4-FFF2-40B4-BE49-F238E27FC236}">
                  <a16:creationId xmlns:a16="http://schemas.microsoft.com/office/drawing/2014/main" id="{D05A405A-2BF0-FED8-FDE4-BB223B73F5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974F81">
        <w:rPr>
          <w:sz w:val="24"/>
          <w:szCs w:val="24"/>
        </w:rPr>
        <w:t xml:space="preserve">The FY2023 number, while still just above the threshold value, </w:t>
      </w:r>
      <w:r w:rsidR="00DB2450">
        <w:rPr>
          <w:sz w:val="24"/>
          <w:szCs w:val="24"/>
        </w:rPr>
        <w:t xml:space="preserve">is lower than in recent years.  This </w:t>
      </w:r>
      <w:r w:rsidR="00974F81">
        <w:rPr>
          <w:sz w:val="24"/>
          <w:szCs w:val="24"/>
        </w:rPr>
        <w:t>was anticipated as the university is entering a period of planned use</w:t>
      </w:r>
      <w:r w:rsidR="0014683E">
        <w:rPr>
          <w:sz w:val="24"/>
          <w:szCs w:val="24"/>
        </w:rPr>
        <w:t>s</w:t>
      </w:r>
      <w:r w:rsidR="00974F81">
        <w:rPr>
          <w:sz w:val="24"/>
          <w:szCs w:val="24"/>
        </w:rPr>
        <w:t xml:space="preserve"> of reserves to advance numerous strategic initiatives. In fact, the university anticipated the possibility of a negative </w:t>
      </w:r>
      <w:r w:rsidR="00D566A1">
        <w:rPr>
          <w:sz w:val="24"/>
          <w:szCs w:val="24"/>
        </w:rPr>
        <w:t>ratio this year</w:t>
      </w:r>
      <w:r w:rsidR="00974F81">
        <w:rPr>
          <w:sz w:val="24"/>
          <w:szCs w:val="24"/>
        </w:rPr>
        <w:t xml:space="preserve">. </w:t>
      </w:r>
      <w:r w:rsidR="00714A58" w:rsidRPr="00D566A1">
        <w:rPr>
          <w:sz w:val="24"/>
          <w:szCs w:val="24"/>
        </w:rPr>
        <w:t xml:space="preserve">We </w:t>
      </w:r>
      <w:r w:rsidR="0014683E">
        <w:rPr>
          <w:sz w:val="24"/>
          <w:szCs w:val="24"/>
        </w:rPr>
        <w:t xml:space="preserve">continue to </w:t>
      </w:r>
      <w:r w:rsidR="00EE13DF" w:rsidRPr="00D566A1">
        <w:rPr>
          <w:sz w:val="24"/>
          <w:szCs w:val="24"/>
        </w:rPr>
        <w:t>anticipat</w:t>
      </w:r>
      <w:r w:rsidR="0014683E">
        <w:rPr>
          <w:sz w:val="24"/>
          <w:szCs w:val="24"/>
        </w:rPr>
        <w:t>e</w:t>
      </w:r>
      <w:r w:rsidR="00EE13DF" w:rsidRPr="00D566A1">
        <w:rPr>
          <w:sz w:val="24"/>
          <w:szCs w:val="24"/>
        </w:rPr>
        <w:t xml:space="preserve"> </w:t>
      </w:r>
      <w:r w:rsidR="00714A58" w:rsidRPr="00D566A1">
        <w:rPr>
          <w:sz w:val="24"/>
          <w:szCs w:val="24"/>
        </w:rPr>
        <w:t>reduced, and perhaps even negative</w:t>
      </w:r>
      <w:r w:rsidR="00EE13DF" w:rsidRPr="00D566A1">
        <w:rPr>
          <w:sz w:val="24"/>
          <w:szCs w:val="24"/>
        </w:rPr>
        <w:t>,</w:t>
      </w:r>
      <w:r w:rsidR="00714A58" w:rsidRPr="00D566A1">
        <w:rPr>
          <w:sz w:val="24"/>
          <w:szCs w:val="24"/>
        </w:rPr>
        <w:t xml:space="preserve"> operating ratio</w:t>
      </w:r>
      <w:r w:rsidR="0020553F" w:rsidRPr="00D566A1">
        <w:rPr>
          <w:sz w:val="24"/>
          <w:szCs w:val="24"/>
        </w:rPr>
        <w:t>s</w:t>
      </w:r>
      <w:r w:rsidR="00714A58" w:rsidRPr="00D566A1">
        <w:rPr>
          <w:sz w:val="24"/>
          <w:szCs w:val="24"/>
        </w:rPr>
        <w:t xml:space="preserve"> for the next several years as we </w:t>
      </w:r>
      <w:r w:rsidR="0014683E">
        <w:rPr>
          <w:sz w:val="24"/>
          <w:szCs w:val="24"/>
        </w:rPr>
        <w:t>invest in</w:t>
      </w:r>
      <w:r w:rsidR="00714A58" w:rsidRPr="00D566A1">
        <w:rPr>
          <w:sz w:val="24"/>
          <w:szCs w:val="24"/>
        </w:rPr>
        <w:t xml:space="preserve"> </w:t>
      </w:r>
      <w:r w:rsidR="0020553F" w:rsidRPr="00D566A1">
        <w:rPr>
          <w:sz w:val="24"/>
          <w:szCs w:val="24"/>
        </w:rPr>
        <w:t xml:space="preserve">numerous strategic initiatives, including </w:t>
      </w:r>
      <w:r w:rsidR="002F3716" w:rsidRPr="00D566A1">
        <w:rPr>
          <w:sz w:val="24"/>
          <w:szCs w:val="24"/>
        </w:rPr>
        <w:t xml:space="preserve">the launch of 10 new doctoral programs, </w:t>
      </w:r>
      <w:r w:rsidR="006B4476" w:rsidRPr="00D566A1">
        <w:rPr>
          <w:sz w:val="24"/>
          <w:szCs w:val="24"/>
        </w:rPr>
        <w:t xml:space="preserve">more than 30 new online programs, and significant increase in our research investments to </w:t>
      </w:r>
      <w:r w:rsidR="009516B8" w:rsidRPr="00D566A1">
        <w:rPr>
          <w:sz w:val="24"/>
          <w:szCs w:val="24"/>
        </w:rPr>
        <w:t>achieve</w:t>
      </w:r>
      <w:r w:rsidR="0014683E">
        <w:rPr>
          <w:sz w:val="24"/>
          <w:szCs w:val="24"/>
        </w:rPr>
        <w:t>, maintain,</w:t>
      </w:r>
      <w:r w:rsidR="009516B8" w:rsidRPr="00D566A1">
        <w:rPr>
          <w:sz w:val="24"/>
          <w:szCs w:val="24"/>
        </w:rPr>
        <w:t xml:space="preserve"> and exceed R1 status.</w:t>
      </w:r>
      <w:r w:rsidR="001E4B9A">
        <w:rPr>
          <w:sz w:val="24"/>
          <w:szCs w:val="24"/>
        </w:rPr>
        <w:t xml:space="preserve">  </w:t>
      </w:r>
    </w:p>
    <w:p w14:paraId="20017072" w14:textId="4558142A" w:rsidR="0041315A" w:rsidRDefault="00F87D4F" w:rsidP="003D3156">
      <w:pPr>
        <w:spacing w:after="0" w:line="360" w:lineRule="auto"/>
        <w:rPr>
          <w:b/>
          <w:sz w:val="24"/>
          <w:szCs w:val="24"/>
        </w:rPr>
      </w:pPr>
      <w:r w:rsidRPr="003D3156">
        <w:rPr>
          <w:b/>
          <w:sz w:val="24"/>
          <w:szCs w:val="24"/>
        </w:rPr>
        <w:t xml:space="preserve">CFI Component 3: </w:t>
      </w:r>
      <w:r w:rsidR="00746174" w:rsidRPr="003D3156">
        <w:rPr>
          <w:b/>
          <w:sz w:val="24"/>
          <w:szCs w:val="24"/>
        </w:rPr>
        <w:t xml:space="preserve">Viability </w:t>
      </w:r>
      <w:r w:rsidR="00E716E4" w:rsidRPr="003D3156">
        <w:rPr>
          <w:b/>
          <w:sz w:val="24"/>
          <w:szCs w:val="24"/>
        </w:rPr>
        <w:t>Ratio (</w:t>
      </w:r>
      <w:r w:rsidR="00937E43" w:rsidRPr="003D3156">
        <w:rPr>
          <w:b/>
          <w:sz w:val="24"/>
          <w:szCs w:val="24"/>
        </w:rPr>
        <w:t xml:space="preserve">Weight </w:t>
      </w:r>
      <w:r w:rsidR="000B55D4" w:rsidRPr="003D3156">
        <w:rPr>
          <w:b/>
          <w:sz w:val="24"/>
          <w:szCs w:val="24"/>
        </w:rPr>
        <w:t>35</w:t>
      </w:r>
      <w:r w:rsidR="00F26F89">
        <w:rPr>
          <w:b/>
          <w:sz w:val="24"/>
          <w:szCs w:val="24"/>
        </w:rPr>
        <w:t xml:space="preserve"> percent</w:t>
      </w:r>
      <w:r w:rsidR="00937E43" w:rsidRPr="003D3156">
        <w:rPr>
          <w:b/>
          <w:sz w:val="24"/>
          <w:szCs w:val="24"/>
        </w:rPr>
        <w:t>)</w:t>
      </w:r>
      <w:r w:rsidR="000E4E58" w:rsidRPr="003D3156">
        <w:rPr>
          <w:b/>
          <w:sz w:val="24"/>
          <w:szCs w:val="24"/>
        </w:rPr>
        <w:t xml:space="preserve"> (Threshold 1.25x)</w:t>
      </w:r>
    </w:p>
    <w:p w14:paraId="41530356" w14:textId="77777777" w:rsidR="001D51F0" w:rsidRDefault="004F30E3" w:rsidP="0014683E">
      <w:pPr>
        <w:spacing w:line="360" w:lineRule="auto"/>
        <w:ind w:firstLine="720"/>
        <w:rPr>
          <w:sz w:val="24"/>
          <w:szCs w:val="24"/>
        </w:rPr>
      </w:pPr>
      <w:r>
        <w:rPr>
          <w:noProof/>
        </w:rPr>
        <w:drawing>
          <wp:anchor distT="0" distB="0" distL="114300" distR="114300" simplePos="0" relativeHeight="251658752" behindDoc="0" locked="0" layoutInCell="1" allowOverlap="1" wp14:anchorId="37B72F0B" wp14:editId="2C6361C8">
            <wp:simplePos x="0" y="0"/>
            <wp:positionH relativeFrom="margin">
              <wp:align>right</wp:align>
            </wp:positionH>
            <wp:positionV relativeFrom="paragraph">
              <wp:posOffset>7620</wp:posOffset>
            </wp:positionV>
            <wp:extent cx="2149475" cy="2197100"/>
            <wp:effectExtent l="0" t="0" r="3175" b="12700"/>
            <wp:wrapThrough wrapText="bothSides">
              <wp:wrapPolygon edited="0">
                <wp:start x="0" y="0"/>
                <wp:lineTo x="0" y="21538"/>
                <wp:lineTo x="21440" y="21538"/>
                <wp:lineTo x="21440" y="0"/>
                <wp:lineTo x="0" y="0"/>
              </wp:wrapPolygon>
            </wp:wrapThrough>
            <wp:docPr id="861517408" name="Chart 1">
              <a:extLst xmlns:a="http://schemas.openxmlformats.org/drawingml/2006/main">
                <a:ext uri="{FF2B5EF4-FFF2-40B4-BE49-F238E27FC236}">
                  <a16:creationId xmlns:a16="http://schemas.microsoft.com/office/drawing/2014/main" id="{C92E5AFF-E67E-FBE9-E5B8-850674A504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r w:rsidR="00617EFA" w:rsidRPr="003D3156">
        <w:rPr>
          <w:sz w:val="24"/>
          <w:szCs w:val="24"/>
        </w:rPr>
        <w:t>The viability ratio is a</w:t>
      </w:r>
      <w:r w:rsidR="0087431C" w:rsidRPr="003D3156">
        <w:rPr>
          <w:sz w:val="24"/>
          <w:szCs w:val="24"/>
        </w:rPr>
        <w:t xml:space="preserve"> measure of an institution</w:t>
      </w:r>
      <w:r w:rsidR="00937E43" w:rsidRPr="003D3156">
        <w:rPr>
          <w:sz w:val="24"/>
          <w:szCs w:val="24"/>
        </w:rPr>
        <w:t>’</w:t>
      </w:r>
      <w:r w:rsidR="0006338A" w:rsidRPr="003D3156">
        <w:rPr>
          <w:sz w:val="24"/>
          <w:szCs w:val="24"/>
        </w:rPr>
        <w:t>s</w:t>
      </w:r>
      <w:r w:rsidR="0087431C" w:rsidRPr="003D3156">
        <w:rPr>
          <w:sz w:val="24"/>
          <w:szCs w:val="24"/>
        </w:rPr>
        <w:t xml:space="preserve"> </w:t>
      </w:r>
      <w:r w:rsidR="00465BA2" w:rsidRPr="003D3156">
        <w:rPr>
          <w:sz w:val="24"/>
          <w:szCs w:val="24"/>
        </w:rPr>
        <w:t xml:space="preserve">level of </w:t>
      </w:r>
      <w:r w:rsidR="00937E43" w:rsidRPr="003D3156">
        <w:rPr>
          <w:sz w:val="24"/>
          <w:szCs w:val="24"/>
        </w:rPr>
        <w:t>debt</w:t>
      </w:r>
      <w:r w:rsidR="00465BA2" w:rsidRPr="003D3156">
        <w:rPr>
          <w:sz w:val="24"/>
          <w:szCs w:val="24"/>
        </w:rPr>
        <w:t xml:space="preserve"> and is tied with Primary </w:t>
      </w:r>
      <w:r w:rsidR="00DF1679" w:rsidRPr="003D3156">
        <w:rPr>
          <w:sz w:val="24"/>
          <w:szCs w:val="24"/>
        </w:rPr>
        <w:t>R</w:t>
      </w:r>
      <w:r w:rsidR="00465BA2" w:rsidRPr="003D3156">
        <w:rPr>
          <w:sz w:val="24"/>
          <w:szCs w:val="24"/>
        </w:rPr>
        <w:t xml:space="preserve">eserves as the </w:t>
      </w:r>
      <w:r w:rsidR="00DF1679" w:rsidRPr="003D3156">
        <w:rPr>
          <w:sz w:val="24"/>
          <w:szCs w:val="24"/>
        </w:rPr>
        <w:t>highest</w:t>
      </w:r>
      <w:r w:rsidR="0033210D">
        <w:rPr>
          <w:sz w:val="24"/>
          <w:szCs w:val="24"/>
        </w:rPr>
        <w:t>-</w:t>
      </w:r>
      <w:r w:rsidR="00DF1679" w:rsidRPr="003D3156">
        <w:rPr>
          <w:sz w:val="24"/>
          <w:szCs w:val="24"/>
        </w:rPr>
        <w:t xml:space="preserve">weighted </w:t>
      </w:r>
      <w:r w:rsidR="00465BA2" w:rsidRPr="003D3156">
        <w:rPr>
          <w:sz w:val="24"/>
          <w:szCs w:val="24"/>
        </w:rPr>
        <w:t>factor in the CFI calculation</w:t>
      </w:r>
      <w:r w:rsidR="00DF1679" w:rsidRPr="003D3156">
        <w:rPr>
          <w:sz w:val="24"/>
          <w:szCs w:val="24"/>
        </w:rPr>
        <w:t xml:space="preserve"> since it can take decades to change this ratio in a meaningful way</w:t>
      </w:r>
      <w:r w:rsidR="0087431C" w:rsidRPr="003D3156">
        <w:rPr>
          <w:sz w:val="24"/>
          <w:szCs w:val="24"/>
        </w:rPr>
        <w:t xml:space="preserve">.  </w:t>
      </w:r>
      <w:r w:rsidR="00E36F36" w:rsidRPr="00E36F36">
        <w:rPr>
          <w:sz w:val="24"/>
          <w:szCs w:val="24"/>
        </w:rPr>
        <w:t>Th</w:t>
      </w:r>
      <w:r w:rsidR="002A0B7D">
        <w:rPr>
          <w:sz w:val="24"/>
          <w:szCs w:val="24"/>
        </w:rPr>
        <w:t>is</w:t>
      </w:r>
      <w:r w:rsidR="00E36F36" w:rsidRPr="00E36F36">
        <w:rPr>
          <w:sz w:val="24"/>
          <w:szCs w:val="24"/>
        </w:rPr>
        <w:t xml:space="preserve"> </w:t>
      </w:r>
      <w:r w:rsidR="002A0B7D">
        <w:rPr>
          <w:sz w:val="24"/>
          <w:szCs w:val="24"/>
        </w:rPr>
        <w:t>r</w:t>
      </w:r>
      <w:r w:rsidR="00E36F36" w:rsidRPr="00E36F36">
        <w:rPr>
          <w:sz w:val="24"/>
          <w:szCs w:val="24"/>
        </w:rPr>
        <w:t>atio measures expendable resources that are available to cover debt obligations (e.g., capital leases, notes payable, and bonds payable) and generally is regarded as governing an institution’s ability to assume new debt.</w:t>
      </w:r>
      <w:r w:rsidR="002A0B7D">
        <w:rPr>
          <w:sz w:val="24"/>
          <w:szCs w:val="24"/>
        </w:rPr>
        <w:t xml:space="preserve"> </w:t>
      </w:r>
    </w:p>
    <w:p w14:paraId="72438FE4" w14:textId="4BB12E44" w:rsidR="00746174" w:rsidRDefault="00030E78" w:rsidP="0014683E">
      <w:pPr>
        <w:spacing w:line="360" w:lineRule="auto"/>
        <w:ind w:firstLine="720"/>
        <w:rPr>
          <w:sz w:val="24"/>
          <w:szCs w:val="24"/>
        </w:rPr>
      </w:pPr>
      <w:r w:rsidRPr="003D3156">
        <w:rPr>
          <w:sz w:val="24"/>
          <w:szCs w:val="24"/>
        </w:rPr>
        <w:t>T</w:t>
      </w:r>
      <w:r w:rsidR="0045777D" w:rsidRPr="003D3156">
        <w:rPr>
          <w:sz w:val="24"/>
          <w:szCs w:val="24"/>
        </w:rPr>
        <w:t>h</w:t>
      </w:r>
      <w:r w:rsidR="002F137F">
        <w:rPr>
          <w:sz w:val="24"/>
          <w:szCs w:val="24"/>
        </w:rPr>
        <w:t>e</w:t>
      </w:r>
      <w:r w:rsidR="0045777D" w:rsidRPr="003D3156">
        <w:rPr>
          <w:sz w:val="24"/>
          <w:szCs w:val="24"/>
        </w:rPr>
        <w:t xml:space="preserve"> </w:t>
      </w:r>
      <w:r w:rsidR="00DF1679" w:rsidRPr="003D3156">
        <w:rPr>
          <w:sz w:val="24"/>
          <w:szCs w:val="24"/>
        </w:rPr>
        <w:t xml:space="preserve">threshold for financial health for this </w:t>
      </w:r>
      <w:r w:rsidR="0045777D" w:rsidRPr="003D3156">
        <w:rPr>
          <w:sz w:val="24"/>
          <w:szCs w:val="24"/>
        </w:rPr>
        <w:t xml:space="preserve">ratio </w:t>
      </w:r>
      <w:r w:rsidR="00DF1679" w:rsidRPr="003D3156">
        <w:rPr>
          <w:sz w:val="24"/>
          <w:szCs w:val="24"/>
        </w:rPr>
        <w:t>is</w:t>
      </w:r>
      <w:r w:rsidR="0045777D" w:rsidRPr="003D3156">
        <w:rPr>
          <w:sz w:val="24"/>
          <w:szCs w:val="24"/>
        </w:rPr>
        <w:t xml:space="preserve"> 1.25 </w:t>
      </w:r>
      <w:r w:rsidR="00935F93" w:rsidRPr="003D3156">
        <w:rPr>
          <w:sz w:val="24"/>
          <w:szCs w:val="24"/>
        </w:rPr>
        <w:t xml:space="preserve">at a minimum, with </w:t>
      </w:r>
      <w:r w:rsidR="0045777D" w:rsidRPr="003D3156">
        <w:rPr>
          <w:sz w:val="24"/>
          <w:szCs w:val="24"/>
        </w:rPr>
        <w:t>2.0</w:t>
      </w:r>
      <w:r w:rsidR="00935F93" w:rsidRPr="003D3156">
        <w:rPr>
          <w:sz w:val="24"/>
          <w:szCs w:val="24"/>
        </w:rPr>
        <w:t xml:space="preserve"> being ideal</w:t>
      </w:r>
      <w:r w:rsidR="0045777D" w:rsidRPr="003D3156">
        <w:rPr>
          <w:sz w:val="24"/>
          <w:szCs w:val="24"/>
        </w:rPr>
        <w:t>.</w:t>
      </w:r>
      <w:r w:rsidR="00A242CA" w:rsidRPr="003D3156">
        <w:rPr>
          <w:sz w:val="24"/>
          <w:szCs w:val="24"/>
        </w:rPr>
        <w:t xml:space="preserve">  </w:t>
      </w:r>
      <w:r w:rsidR="00DF1679" w:rsidRPr="003D3156">
        <w:rPr>
          <w:sz w:val="24"/>
          <w:szCs w:val="24"/>
        </w:rPr>
        <w:t xml:space="preserve">A ratio of 2.0 would mean that an institution has twice as </w:t>
      </w:r>
      <w:proofErr w:type="gramStart"/>
      <w:r w:rsidR="00DF1679" w:rsidRPr="003D3156">
        <w:rPr>
          <w:sz w:val="24"/>
          <w:szCs w:val="24"/>
        </w:rPr>
        <w:t>much</w:t>
      </w:r>
      <w:r w:rsidR="00C64C74">
        <w:rPr>
          <w:sz w:val="24"/>
          <w:szCs w:val="24"/>
        </w:rPr>
        <w:t xml:space="preserve"> in</w:t>
      </w:r>
      <w:proofErr w:type="gramEnd"/>
      <w:r w:rsidR="00DF1679" w:rsidRPr="003D3156">
        <w:rPr>
          <w:sz w:val="24"/>
          <w:szCs w:val="24"/>
        </w:rPr>
        <w:t xml:space="preserve"> expendable net assets as it does long-term debt.  </w:t>
      </w:r>
      <w:r w:rsidR="007C0A2B" w:rsidRPr="003D3156">
        <w:rPr>
          <w:sz w:val="24"/>
          <w:szCs w:val="24"/>
        </w:rPr>
        <w:t>Texas State</w:t>
      </w:r>
      <w:r w:rsidR="00A316A6" w:rsidRPr="003D3156">
        <w:rPr>
          <w:sz w:val="24"/>
          <w:szCs w:val="24"/>
        </w:rPr>
        <w:t xml:space="preserve"> has carried </w:t>
      </w:r>
      <w:r w:rsidR="00EE7D52" w:rsidRPr="003D3156">
        <w:rPr>
          <w:sz w:val="24"/>
          <w:szCs w:val="24"/>
        </w:rPr>
        <w:t xml:space="preserve">an average </w:t>
      </w:r>
      <w:r w:rsidR="00213596" w:rsidRPr="003D3156">
        <w:rPr>
          <w:sz w:val="24"/>
          <w:szCs w:val="24"/>
        </w:rPr>
        <w:t xml:space="preserve">ratio </w:t>
      </w:r>
      <w:r w:rsidR="00EE7D52" w:rsidRPr="003D3156">
        <w:rPr>
          <w:sz w:val="24"/>
          <w:szCs w:val="24"/>
        </w:rPr>
        <w:t xml:space="preserve">of </w:t>
      </w:r>
      <w:r w:rsidR="00935F93" w:rsidRPr="003D3156">
        <w:rPr>
          <w:sz w:val="24"/>
          <w:szCs w:val="24"/>
        </w:rPr>
        <w:t>0</w:t>
      </w:r>
      <w:r w:rsidR="00694D49" w:rsidRPr="003D3156">
        <w:rPr>
          <w:sz w:val="24"/>
          <w:szCs w:val="24"/>
        </w:rPr>
        <w:t>.</w:t>
      </w:r>
      <w:r w:rsidR="00996568">
        <w:rPr>
          <w:sz w:val="24"/>
          <w:szCs w:val="24"/>
        </w:rPr>
        <w:t>93</w:t>
      </w:r>
      <w:r w:rsidR="00F2559D">
        <w:rPr>
          <w:sz w:val="24"/>
          <w:szCs w:val="24"/>
        </w:rPr>
        <w:t xml:space="preserve"> </w:t>
      </w:r>
      <w:r w:rsidR="006D3DB1">
        <w:rPr>
          <w:sz w:val="24"/>
          <w:szCs w:val="24"/>
          <w:vertAlign w:val="superscript"/>
        </w:rPr>
        <w:t>(1)</w:t>
      </w:r>
      <w:r w:rsidR="00213596" w:rsidRPr="003D3156">
        <w:rPr>
          <w:sz w:val="24"/>
          <w:szCs w:val="24"/>
        </w:rPr>
        <w:t xml:space="preserve"> </w:t>
      </w:r>
      <w:r w:rsidR="00E0655B" w:rsidRPr="003D3156">
        <w:rPr>
          <w:sz w:val="24"/>
          <w:szCs w:val="24"/>
        </w:rPr>
        <w:t>for</w:t>
      </w:r>
      <w:r w:rsidR="00A316A6" w:rsidRPr="003D3156">
        <w:rPr>
          <w:sz w:val="24"/>
          <w:szCs w:val="24"/>
        </w:rPr>
        <w:t xml:space="preserve"> the last </w:t>
      </w:r>
      <w:r w:rsidR="0030683B">
        <w:rPr>
          <w:sz w:val="24"/>
          <w:szCs w:val="24"/>
        </w:rPr>
        <w:t>7</w:t>
      </w:r>
      <w:r w:rsidR="00A06F20" w:rsidRPr="003D3156">
        <w:rPr>
          <w:sz w:val="24"/>
          <w:szCs w:val="24"/>
        </w:rPr>
        <w:t xml:space="preserve"> years</w:t>
      </w:r>
      <w:r w:rsidR="004A2AE1">
        <w:rPr>
          <w:sz w:val="24"/>
          <w:szCs w:val="24"/>
        </w:rPr>
        <w:t xml:space="preserve"> with a value of 1.</w:t>
      </w:r>
      <w:r w:rsidR="00D90244">
        <w:rPr>
          <w:sz w:val="24"/>
          <w:szCs w:val="24"/>
        </w:rPr>
        <w:t>3</w:t>
      </w:r>
      <w:r w:rsidR="00477D0C">
        <w:rPr>
          <w:sz w:val="24"/>
          <w:szCs w:val="24"/>
        </w:rPr>
        <w:t>9</w:t>
      </w:r>
      <w:r w:rsidR="006D3DB1">
        <w:rPr>
          <w:sz w:val="24"/>
          <w:szCs w:val="24"/>
        </w:rPr>
        <w:t xml:space="preserve"> </w:t>
      </w:r>
      <w:r w:rsidR="006D3DB1">
        <w:rPr>
          <w:sz w:val="24"/>
          <w:szCs w:val="24"/>
          <w:vertAlign w:val="superscript"/>
        </w:rPr>
        <w:t>(1)</w:t>
      </w:r>
      <w:r w:rsidR="004A2AE1">
        <w:rPr>
          <w:sz w:val="24"/>
          <w:szCs w:val="24"/>
        </w:rPr>
        <w:t xml:space="preserve"> in </w:t>
      </w:r>
      <w:r w:rsidR="000056BB">
        <w:rPr>
          <w:sz w:val="24"/>
          <w:szCs w:val="24"/>
        </w:rPr>
        <w:t>FY</w:t>
      </w:r>
      <w:r w:rsidR="004A2AE1">
        <w:rPr>
          <w:sz w:val="24"/>
          <w:szCs w:val="24"/>
        </w:rPr>
        <w:t>202</w:t>
      </w:r>
      <w:r w:rsidR="00B663D0">
        <w:rPr>
          <w:sz w:val="24"/>
          <w:szCs w:val="24"/>
        </w:rPr>
        <w:t>3</w:t>
      </w:r>
      <w:r w:rsidR="00A316A6" w:rsidRPr="003D3156">
        <w:rPr>
          <w:sz w:val="24"/>
          <w:szCs w:val="24"/>
        </w:rPr>
        <w:t>.</w:t>
      </w:r>
      <w:r w:rsidR="00A242CA" w:rsidRPr="003D3156">
        <w:rPr>
          <w:sz w:val="24"/>
          <w:szCs w:val="24"/>
        </w:rPr>
        <w:t xml:space="preserve">  This </w:t>
      </w:r>
      <w:r w:rsidR="00DF1679" w:rsidRPr="003D3156">
        <w:rPr>
          <w:sz w:val="24"/>
          <w:szCs w:val="24"/>
        </w:rPr>
        <w:t xml:space="preserve">is the university’s weakest indicator of financial health, </w:t>
      </w:r>
      <w:r w:rsidR="00F26F89">
        <w:rPr>
          <w:sz w:val="24"/>
          <w:szCs w:val="24"/>
        </w:rPr>
        <w:t>al</w:t>
      </w:r>
      <w:r w:rsidR="00DF1679" w:rsidRPr="003D3156">
        <w:rPr>
          <w:sz w:val="24"/>
          <w:szCs w:val="24"/>
        </w:rPr>
        <w:t xml:space="preserve">though it is understandable given our rapid growth and construction in recent decades </w:t>
      </w:r>
      <w:r w:rsidR="00F75620">
        <w:rPr>
          <w:sz w:val="24"/>
          <w:szCs w:val="24"/>
        </w:rPr>
        <w:t>and</w:t>
      </w:r>
      <w:r w:rsidR="00DF1679" w:rsidRPr="003D3156">
        <w:rPr>
          <w:sz w:val="24"/>
          <w:szCs w:val="24"/>
        </w:rPr>
        <w:t xml:space="preserve"> that long-term debt often stretches over </w:t>
      </w:r>
      <w:r w:rsidR="0033210D">
        <w:rPr>
          <w:sz w:val="24"/>
          <w:szCs w:val="24"/>
        </w:rPr>
        <w:t>20-</w:t>
      </w:r>
      <w:r w:rsidR="00DF1679" w:rsidRPr="003D3156">
        <w:rPr>
          <w:sz w:val="24"/>
          <w:szCs w:val="24"/>
        </w:rPr>
        <w:t xml:space="preserve">30 years.  </w:t>
      </w:r>
      <w:r w:rsidR="00465BA2" w:rsidRPr="003D3156">
        <w:rPr>
          <w:sz w:val="24"/>
          <w:szCs w:val="24"/>
        </w:rPr>
        <w:t xml:space="preserve">It is unlikely that the </w:t>
      </w:r>
      <w:r w:rsidR="00623A6B" w:rsidRPr="003D3156">
        <w:rPr>
          <w:sz w:val="24"/>
          <w:szCs w:val="24"/>
        </w:rPr>
        <w:t>university</w:t>
      </w:r>
      <w:r w:rsidR="00465BA2" w:rsidRPr="003D3156">
        <w:rPr>
          <w:sz w:val="24"/>
          <w:szCs w:val="24"/>
        </w:rPr>
        <w:t xml:space="preserve">, given our aggressive growth plans, will be able to improve this ratio </w:t>
      </w:r>
      <w:r w:rsidR="001124BA">
        <w:rPr>
          <w:sz w:val="24"/>
          <w:szCs w:val="24"/>
        </w:rPr>
        <w:t>over FY23’s 1.39 figure for the foreseeable future</w:t>
      </w:r>
      <w:r w:rsidR="00465BA2" w:rsidRPr="003D3156">
        <w:rPr>
          <w:sz w:val="24"/>
          <w:szCs w:val="24"/>
        </w:rPr>
        <w:t xml:space="preserve">. </w:t>
      </w:r>
      <w:r w:rsidR="00F75620">
        <w:rPr>
          <w:sz w:val="24"/>
          <w:szCs w:val="24"/>
        </w:rPr>
        <w:t xml:space="preserve">In fact, the </w:t>
      </w:r>
      <w:r w:rsidR="00F75620" w:rsidRPr="00A81D6C">
        <w:rPr>
          <w:sz w:val="24"/>
          <w:szCs w:val="24"/>
        </w:rPr>
        <w:t>university currently has plans to take on approximately</w:t>
      </w:r>
      <w:r w:rsidR="00A81D6C" w:rsidRPr="00A81D6C">
        <w:rPr>
          <w:sz w:val="24"/>
          <w:szCs w:val="24"/>
        </w:rPr>
        <w:t xml:space="preserve"> </w:t>
      </w:r>
      <w:r w:rsidR="00F75620" w:rsidRPr="00A81D6C">
        <w:rPr>
          <w:sz w:val="24"/>
          <w:szCs w:val="24"/>
        </w:rPr>
        <w:t>$</w:t>
      </w:r>
      <w:r w:rsidR="00A81D6C" w:rsidRPr="00A81D6C">
        <w:rPr>
          <w:sz w:val="24"/>
          <w:szCs w:val="24"/>
        </w:rPr>
        <w:t>740</w:t>
      </w:r>
      <w:r w:rsidR="00F75620" w:rsidRPr="00A81D6C">
        <w:rPr>
          <w:sz w:val="24"/>
          <w:szCs w:val="24"/>
        </w:rPr>
        <w:t xml:space="preserve"> million in additional </w:t>
      </w:r>
      <w:r w:rsidR="00F75620" w:rsidRPr="00A81D6C">
        <w:rPr>
          <w:sz w:val="24"/>
          <w:szCs w:val="24"/>
        </w:rPr>
        <w:lastRenderedPageBreak/>
        <w:t xml:space="preserve">long-term debt, </w:t>
      </w:r>
      <w:r w:rsidR="003E6EDE" w:rsidRPr="00A81D6C">
        <w:rPr>
          <w:sz w:val="24"/>
          <w:szCs w:val="24"/>
        </w:rPr>
        <w:t xml:space="preserve">only </w:t>
      </w:r>
      <w:r w:rsidR="00F75620" w:rsidRPr="00A81D6C">
        <w:rPr>
          <w:sz w:val="24"/>
          <w:szCs w:val="24"/>
        </w:rPr>
        <w:t>$</w:t>
      </w:r>
      <w:r w:rsidR="00A81D6C" w:rsidRPr="00A81D6C">
        <w:rPr>
          <w:sz w:val="24"/>
          <w:szCs w:val="24"/>
        </w:rPr>
        <w:t>89</w:t>
      </w:r>
      <w:r w:rsidR="00F75620" w:rsidRPr="00A81D6C">
        <w:rPr>
          <w:sz w:val="24"/>
          <w:szCs w:val="24"/>
        </w:rPr>
        <w:t xml:space="preserve"> </w:t>
      </w:r>
      <w:r w:rsidR="00F75620" w:rsidRPr="001124BA">
        <w:rPr>
          <w:sz w:val="24"/>
          <w:szCs w:val="24"/>
        </w:rPr>
        <w:t xml:space="preserve">million </w:t>
      </w:r>
      <w:r w:rsidR="003E6EDE" w:rsidRPr="001124BA">
        <w:rPr>
          <w:sz w:val="24"/>
          <w:szCs w:val="24"/>
        </w:rPr>
        <w:t xml:space="preserve">of which will </w:t>
      </w:r>
      <w:r w:rsidR="00F75620" w:rsidRPr="001124BA">
        <w:rPr>
          <w:sz w:val="24"/>
          <w:szCs w:val="24"/>
        </w:rPr>
        <w:t xml:space="preserve">be supported from state appropriations, which will </w:t>
      </w:r>
      <w:r w:rsidR="008515BD" w:rsidRPr="001124BA">
        <w:rPr>
          <w:sz w:val="24"/>
          <w:szCs w:val="24"/>
        </w:rPr>
        <w:t>reduce</w:t>
      </w:r>
      <w:r w:rsidR="00F75620" w:rsidRPr="001124BA">
        <w:rPr>
          <w:sz w:val="24"/>
          <w:szCs w:val="24"/>
        </w:rPr>
        <w:t xml:space="preserve"> this ratio </w:t>
      </w:r>
      <w:r w:rsidR="00936424">
        <w:rPr>
          <w:sz w:val="24"/>
          <w:szCs w:val="24"/>
        </w:rPr>
        <w:t xml:space="preserve">for </w:t>
      </w:r>
      <w:r w:rsidR="001124BA">
        <w:rPr>
          <w:sz w:val="24"/>
          <w:szCs w:val="24"/>
        </w:rPr>
        <w:t xml:space="preserve">the next decade. </w:t>
      </w:r>
      <w:r w:rsidR="00465BA2" w:rsidRPr="003D3156">
        <w:rPr>
          <w:sz w:val="24"/>
          <w:szCs w:val="24"/>
        </w:rPr>
        <w:t xml:space="preserve">We </w:t>
      </w:r>
      <w:r w:rsidR="00F75620">
        <w:rPr>
          <w:sz w:val="24"/>
          <w:szCs w:val="24"/>
        </w:rPr>
        <w:t xml:space="preserve">must </w:t>
      </w:r>
      <w:r w:rsidR="00465BA2" w:rsidRPr="003D3156">
        <w:rPr>
          <w:sz w:val="24"/>
          <w:szCs w:val="24"/>
        </w:rPr>
        <w:t xml:space="preserve">continue </w:t>
      </w:r>
      <w:r w:rsidR="00432308" w:rsidRPr="003D3156">
        <w:rPr>
          <w:sz w:val="24"/>
          <w:szCs w:val="24"/>
        </w:rPr>
        <w:t xml:space="preserve">to </w:t>
      </w:r>
      <w:r w:rsidR="00465BA2" w:rsidRPr="003D3156">
        <w:rPr>
          <w:sz w:val="24"/>
          <w:szCs w:val="24"/>
        </w:rPr>
        <w:t xml:space="preserve">compensate for </w:t>
      </w:r>
      <w:r w:rsidR="00F75620">
        <w:rPr>
          <w:sz w:val="24"/>
          <w:szCs w:val="24"/>
        </w:rPr>
        <w:t>our relative weakness in this respect</w:t>
      </w:r>
      <w:r w:rsidR="00465BA2" w:rsidRPr="003D3156">
        <w:rPr>
          <w:sz w:val="24"/>
          <w:szCs w:val="24"/>
        </w:rPr>
        <w:t xml:space="preserve"> by retaining a healthy Primary Reserve Ratio to bolster our overall financial health.</w:t>
      </w:r>
    </w:p>
    <w:p w14:paraId="00F9F84F" w14:textId="0A8F5637" w:rsidR="002A0B7D" w:rsidRDefault="001E5EB5" w:rsidP="003D3156">
      <w:pPr>
        <w:spacing w:line="360" w:lineRule="auto"/>
        <w:rPr>
          <w:sz w:val="24"/>
          <w:szCs w:val="24"/>
        </w:rPr>
      </w:pPr>
      <w:r w:rsidRPr="001E5EB5">
        <w:rPr>
          <w:noProof/>
          <w:sz w:val="24"/>
          <w:szCs w:val="24"/>
        </w:rPr>
        <w:drawing>
          <wp:inline distT="0" distB="0" distL="0" distR="0" wp14:anchorId="37EB3E25" wp14:editId="1FEBFC96">
            <wp:extent cx="6296297" cy="1584960"/>
            <wp:effectExtent l="0" t="0" r="9525" b="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14"/>
                    <a:stretch>
                      <a:fillRect/>
                    </a:stretch>
                  </pic:blipFill>
                  <pic:spPr>
                    <a:xfrm>
                      <a:off x="0" y="0"/>
                      <a:ext cx="6300780" cy="1586089"/>
                    </a:xfrm>
                    <a:prstGeom prst="rect">
                      <a:avLst/>
                    </a:prstGeom>
                  </pic:spPr>
                </pic:pic>
              </a:graphicData>
            </a:graphic>
          </wp:inline>
        </w:drawing>
      </w:r>
    </w:p>
    <w:p w14:paraId="066AC76F" w14:textId="77777777" w:rsidR="003C25BF" w:rsidRDefault="003C25BF" w:rsidP="00EE13DF">
      <w:pPr>
        <w:spacing w:after="0" w:line="360" w:lineRule="auto"/>
        <w:rPr>
          <w:b/>
          <w:sz w:val="24"/>
          <w:szCs w:val="24"/>
        </w:rPr>
      </w:pPr>
    </w:p>
    <w:p w14:paraId="4F33E6C9" w14:textId="47986884" w:rsidR="00703AC4" w:rsidRPr="003D3156" w:rsidRDefault="0060563A" w:rsidP="00EE13DF">
      <w:pPr>
        <w:spacing w:after="0" w:line="360" w:lineRule="auto"/>
        <w:rPr>
          <w:b/>
          <w:sz w:val="24"/>
          <w:szCs w:val="24"/>
        </w:rPr>
      </w:pPr>
      <w:r>
        <w:rPr>
          <w:noProof/>
        </w:rPr>
        <w:drawing>
          <wp:anchor distT="0" distB="0" distL="114300" distR="114300" simplePos="0" relativeHeight="251658245" behindDoc="0" locked="0" layoutInCell="1" allowOverlap="1" wp14:anchorId="3CEE67FF" wp14:editId="50DFC7D5">
            <wp:simplePos x="0" y="0"/>
            <wp:positionH relativeFrom="column">
              <wp:posOffset>2512</wp:posOffset>
            </wp:positionH>
            <wp:positionV relativeFrom="paragraph">
              <wp:posOffset>2589</wp:posOffset>
            </wp:positionV>
            <wp:extent cx="2600983" cy="3220764"/>
            <wp:effectExtent l="0" t="0" r="8890" b="17780"/>
            <wp:wrapThrough wrapText="bothSides">
              <wp:wrapPolygon edited="0">
                <wp:start x="0" y="0"/>
                <wp:lineTo x="0" y="21591"/>
                <wp:lineTo x="21516" y="21591"/>
                <wp:lineTo x="21516" y="0"/>
                <wp:lineTo x="0" y="0"/>
              </wp:wrapPolygon>
            </wp:wrapThrough>
            <wp:docPr id="1190606026" name="Chart 1">
              <a:extLst xmlns:a="http://schemas.openxmlformats.org/drawingml/2006/main">
                <a:ext uri="{FF2B5EF4-FFF2-40B4-BE49-F238E27FC236}">
                  <a16:creationId xmlns:a16="http://schemas.microsoft.com/office/drawing/2014/main" id="{6CBD4B61-21CF-1BF6-B7CA-F3E6E83C46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F87D4F" w:rsidRPr="003D3156">
        <w:rPr>
          <w:b/>
          <w:sz w:val="24"/>
          <w:szCs w:val="24"/>
        </w:rPr>
        <w:t xml:space="preserve">CFI Component 4: </w:t>
      </w:r>
      <w:r w:rsidR="00703AC4" w:rsidRPr="003D3156">
        <w:rPr>
          <w:b/>
          <w:sz w:val="24"/>
          <w:szCs w:val="24"/>
        </w:rPr>
        <w:t>Primary Reserve Ratio (Weight 35</w:t>
      </w:r>
      <w:r w:rsidR="00F26F89">
        <w:rPr>
          <w:b/>
          <w:sz w:val="24"/>
          <w:szCs w:val="24"/>
        </w:rPr>
        <w:t xml:space="preserve"> percent</w:t>
      </w:r>
      <w:r w:rsidR="00703AC4" w:rsidRPr="003D3156">
        <w:rPr>
          <w:b/>
          <w:sz w:val="24"/>
          <w:szCs w:val="24"/>
        </w:rPr>
        <w:t>) (Threshold 0.4 or 146 days)</w:t>
      </w:r>
      <w:r w:rsidR="002A6C9B" w:rsidRPr="003D3156">
        <w:rPr>
          <w:b/>
          <w:sz w:val="24"/>
          <w:szCs w:val="24"/>
        </w:rPr>
        <w:t xml:space="preserve">       </w:t>
      </w:r>
    </w:p>
    <w:p w14:paraId="26A668A2" w14:textId="77777777" w:rsidR="00BF1AF0" w:rsidRDefault="00F26F89" w:rsidP="0060563A">
      <w:pPr>
        <w:spacing w:after="0" w:line="360" w:lineRule="auto"/>
        <w:rPr>
          <w:sz w:val="24"/>
          <w:szCs w:val="24"/>
        </w:rPr>
      </w:pPr>
      <w:bookmarkStart w:id="2" w:name="_Hlk174303"/>
      <w:r>
        <w:rPr>
          <w:sz w:val="24"/>
          <w:szCs w:val="24"/>
        </w:rPr>
        <w:t>T</w:t>
      </w:r>
      <w:r w:rsidR="00703AC4" w:rsidRPr="003D3156">
        <w:rPr>
          <w:sz w:val="24"/>
          <w:szCs w:val="24"/>
        </w:rPr>
        <w:t xml:space="preserve">his ratio indicates how long an institution can operate on its reserves without needing to generate additional </w:t>
      </w:r>
      <w:r w:rsidR="001A4A8A" w:rsidRPr="003D3156">
        <w:rPr>
          <w:sz w:val="24"/>
          <w:szCs w:val="24"/>
        </w:rPr>
        <w:t>income.  It is tied for the highest</w:t>
      </w:r>
      <w:r w:rsidR="00811E73">
        <w:rPr>
          <w:sz w:val="24"/>
          <w:szCs w:val="24"/>
        </w:rPr>
        <w:t>-</w:t>
      </w:r>
      <w:r w:rsidR="003D258A">
        <w:rPr>
          <w:sz w:val="24"/>
          <w:szCs w:val="24"/>
        </w:rPr>
        <w:t xml:space="preserve">weighted </w:t>
      </w:r>
      <w:r w:rsidR="001A4A8A" w:rsidRPr="003D3156">
        <w:rPr>
          <w:sz w:val="24"/>
          <w:szCs w:val="24"/>
        </w:rPr>
        <w:t xml:space="preserve">indicator of financial strength </w:t>
      </w:r>
      <w:r w:rsidR="003D258A">
        <w:rPr>
          <w:sz w:val="24"/>
          <w:szCs w:val="24"/>
        </w:rPr>
        <w:t xml:space="preserve">because </w:t>
      </w:r>
      <w:r w:rsidR="001A4A8A" w:rsidRPr="003D3156">
        <w:rPr>
          <w:sz w:val="24"/>
          <w:szCs w:val="24"/>
        </w:rPr>
        <w:t xml:space="preserve">these reserves have taken, in our case, </w:t>
      </w:r>
      <w:r w:rsidR="00811E73">
        <w:rPr>
          <w:sz w:val="24"/>
          <w:szCs w:val="24"/>
        </w:rPr>
        <w:t xml:space="preserve">since </w:t>
      </w:r>
      <w:r w:rsidR="00274D22">
        <w:rPr>
          <w:sz w:val="24"/>
          <w:szCs w:val="24"/>
        </w:rPr>
        <w:t xml:space="preserve">our founding in </w:t>
      </w:r>
      <w:r w:rsidR="00811E73">
        <w:rPr>
          <w:sz w:val="24"/>
          <w:szCs w:val="24"/>
        </w:rPr>
        <w:t>1899</w:t>
      </w:r>
      <w:r w:rsidR="001A4A8A" w:rsidRPr="003D3156">
        <w:rPr>
          <w:sz w:val="24"/>
          <w:szCs w:val="24"/>
        </w:rPr>
        <w:t xml:space="preserve"> to amass.  </w:t>
      </w:r>
      <w:r w:rsidR="00703AC4" w:rsidRPr="003D3156">
        <w:rPr>
          <w:sz w:val="24"/>
          <w:szCs w:val="24"/>
        </w:rPr>
        <w:t xml:space="preserve">Texas State University has maintained an average </w:t>
      </w:r>
      <w:r w:rsidR="00274D22">
        <w:rPr>
          <w:sz w:val="24"/>
          <w:szCs w:val="24"/>
        </w:rPr>
        <w:t xml:space="preserve">of </w:t>
      </w:r>
      <w:r w:rsidR="0060563A">
        <w:rPr>
          <w:sz w:val="24"/>
          <w:szCs w:val="24"/>
        </w:rPr>
        <w:t>255</w:t>
      </w:r>
      <w:r w:rsidR="00F2559D">
        <w:rPr>
          <w:sz w:val="24"/>
          <w:szCs w:val="24"/>
        </w:rPr>
        <w:t xml:space="preserve"> </w:t>
      </w:r>
      <w:r w:rsidR="006D3DB1">
        <w:rPr>
          <w:sz w:val="24"/>
          <w:szCs w:val="24"/>
          <w:vertAlign w:val="superscript"/>
        </w:rPr>
        <w:t>(1)</w:t>
      </w:r>
      <w:r w:rsidR="00703AC4" w:rsidRPr="003D3156">
        <w:rPr>
          <w:sz w:val="24"/>
          <w:szCs w:val="24"/>
        </w:rPr>
        <w:t xml:space="preserve"> days of reserves over the last </w:t>
      </w:r>
      <w:r w:rsidR="0030683B">
        <w:rPr>
          <w:sz w:val="24"/>
          <w:szCs w:val="24"/>
        </w:rPr>
        <w:t>7</w:t>
      </w:r>
      <w:r w:rsidR="00703AC4" w:rsidRPr="003D3156">
        <w:rPr>
          <w:sz w:val="24"/>
          <w:szCs w:val="24"/>
        </w:rPr>
        <w:t xml:space="preserve"> years.  The recommended benchmark is 146 days</w:t>
      </w:r>
      <w:r w:rsidR="003D258A">
        <w:rPr>
          <w:sz w:val="24"/>
          <w:szCs w:val="24"/>
        </w:rPr>
        <w:t>,</w:t>
      </w:r>
      <w:r w:rsidR="00703AC4" w:rsidRPr="003D3156">
        <w:rPr>
          <w:sz w:val="24"/>
          <w:szCs w:val="24"/>
        </w:rPr>
        <w:t xml:space="preserve"> or approximately five months.  The university had </w:t>
      </w:r>
      <w:r w:rsidR="00DF0413">
        <w:rPr>
          <w:sz w:val="24"/>
          <w:szCs w:val="24"/>
        </w:rPr>
        <w:t>3</w:t>
      </w:r>
      <w:r w:rsidR="002634AC">
        <w:rPr>
          <w:sz w:val="24"/>
          <w:szCs w:val="24"/>
        </w:rPr>
        <w:t>01</w:t>
      </w:r>
      <w:r w:rsidR="00F2559D">
        <w:rPr>
          <w:sz w:val="24"/>
          <w:szCs w:val="24"/>
        </w:rPr>
        <w:t xml:space="preserve"> </w:t>
      </w:r>
      <w:r w:rsidR="006D3DB1">
        <w:rPr>
          <w:sz w:val="24"/>
          <w:szCs w:val="24"/>
          <w:vertAlign w:val="superscript"/>
        </w:rPr>
        <w:t>(1)</w:t>
      </w:r>
      <w:r w:rsidR="00703AC4" w:rsidRPr="003D3156">
        <w:rPr>
          <w:sz w:val="24"/>
          <w:szCs w:val="24"/>
        </w:rPr>
        <w:t xml:space="preserve"> days in reserves </w:t>
      </w:r>
      <w:r w:rsidR="001A4A8A" w:rsidRPr="003D3156">
        <w:rPr>
          <w:sz w:val="24"/>
          <w:szCs w:val="24"/>
        </w:rPr>
        <w:t xml:space="preserve">at the end of </w:t>
      </w:r>
      <w:r w:rsidR="000056BB">
        <w:rPr>
          <w:sz w:val="24"/>
          <w:szCs w:val="24"/>
        </w:rPr>
        <w:t>FY</w:t>
      </w:r>
      <w:r w:rsidR="001A4A8A" w:rsidRPr="003D3156">
        <w:rPr>
          <w:sz w:val="24"/>
          <w:szCs w:val="24"/>
        </w:rPr>
        <w:t>202</w:t>
      </w:r>
      <w:r w:rsidR="00B663D0">
        <w:rPr>
          <w:sz w:val="24"/>
          <w:szCs w:val="24"/>
        </w:rPr>
        <w:t>3</w:t>
      </w:r>
      <w:r w:rsidR="00703AC4" w:rsidRPr="003D3156">
        <w:rPr>
          <w:sz w:val="24"/>
          <w:szCs w:val="24"/>
        </w:rPr>
        <w:t>.</w:t>
      </w:r>
    </w:p>
    <w:p w14:paraId="444411F3" w14:textId="77777777" w:rsidR="00BF1AF0" w:rsidRDefault="00703AC4" w:rsidP="0060563A">
      <w:pPr>
        <w:spacing w:after="0" w:line="360" w:lineRule="auto"/>
        <w:rPr>
          <w:sz w:val="24"/>
          <w:szCs w:val="24"/>
        </w:rPr>
      </w:pPr>
      <w:r w:rsidRPr="003D3156">
        <w:rPr>
          <w:sz w:val="24"/>
          <w:szCs w:val="24"/>
        </w:rPr>
        <w:t xml:space="preserve">  </w:t>
      </w:r>
    </w:p>
    <w:p w14:paraId="62750D6A" w14:textId="50C0A05D" w:rsidR="0060563A" w:rsidRDefault="00703AC4" w:rsidP="00BF1AF0">
      <w:pPr>
        <w:spacing w:after="0" w:line="360" w:lineRule="auto"/>
        <w:ind w:firstLine="720"/>
        <w:rPr>
          <w:sz w:val="24"/>
          <w:szCs w:val="24"/>
        </w:rPr>
      </w:pPr>
      <w:r w:rsidRPr="003D3156">
        <w:rPr>
          <w:sz w:val="24"/>
          <w:szCs w:val="24"/>
        </w:rPr>
        <w:t xml:space="preserve">Carrying reserves at these </w:t>
      </w:r>
      <w:r w:rsidR="001A4A8A" w:rsidRPr="003D3156">
        <w:rPr>
          <w:sz w:val="24"/>
          <w:szCs w:val="24"/>
        </w:rPr>
        <w:t xml:space="preserve">healthy </w:t>
      </w:r>
      <w:r w:rsidRPr="003D3156">
        <w:rPr>
          <w:sz w:val="24"/>
          <w:szCs w:val="24"/>
        </w:rPr>
        <w:t xml:space="preserve">levels </w:t>
      </w:r>
      <w:r w:rsidR="001A4A8A" w:rsidRPr="003D3156">
        <w:rPr>
          <w:sz w:val="24"/>
          <w:szCs w:val="24"/>
        </w:rPr>
        <w:t xml:space="preserve">serves as a direct counterbalance to our relatively weak Viability Ratio.  It also </w:t>
      </w:r>
      <w:r w:rsidRPr="003D3156">
        <w:rPr>
          <w:sz w:val="24"/>
          <w:szCs w:val="24"/>
        </w:rPr>
        <w:t xml:space="preserve">means </w:t>
      </w:r>
      <w:r w:rsidR="002F137F">
        <w:rPr>
          <w:sz w:val="24"/>
          <w:szCs w:val="24"/>
        </w:rPr>
        <w:t xml:space="preserve">that </w:t>
      </w:r>
      <w:r w:rsidRPr="003D3156">
        <w:rPr>
          <w:sz w:val="24"/>
          <w:szCs w:val="24"/>
        </w:rPr>
        <w:t>Texas State can weather most unforeseen adverse financial events</w:t>
      </w:r>
      <w:r w:rsidR="001A4A8A" w:rsidRPr="003D3156">
        <w:rPr>
          <w:sz w:val="24"/>
          <w:szCs w:val="24"/>
        </w:rPr>
        <w:t xml:space="preserve"> and </w:t>
      </w:r>
      <w:r w:rsidR="0033210D">
        <w:rPr>
          <w:sz w:val="24"/>
          <w:szCs w:val="24"/>
        </w:rPr>
        <w:t xml:space="preserve">implement </w:t>
      </w:r>
      <w:r w:rsidR="001A4A8A" w:rsidRPr="003D3156">
        <w:rPr>
          <w:sz w:val="24"/>
          <w:szCs w:val="24"/>
        </w:rPr>
        <w:t xml:space="preserve">its strategic </w:t>
      </w:r>
      <w:r w:rsidR="0033210D">
        <w:rPr>
          <w:sz w:val="24"/>
          <w:szCs w:val="24"/>
        </w:rPr>
        <w:t>plans</w:t>
      </w:r>
      <w:r w:rsidRPr="003D3156">
        <w:rPr>
          <w:sz w:val="24"/>
          <w:szCs w:val="24"/>
        </w:rPr>
        <w:t xml:space="preserve">.  </w:t>
      </w:r>
      <w:r w:rsidR="00A81215">
        <w:rPr>
          <w:sz w:val="24"/>
          <w:szCs w:val="24"/>
        </w:rPr>
        <w:t>I</w:t>
      </w:r>
      <w:r w:rsidRPr="003D3156">
        <w:rPr>
          <w:sz w:val="24"/>
          <w:szCs w:val="24"/>
        </w:rPr>
        <w:t>t is importan</w:t>
      </w:r>
      <w:r w:rsidR="001E4B9A">
        <w:rPr>
          <w:sz w:val="24"/>
          <w:szCs w:val="24"/>
        </w:rPr>
        <w:t>t</w:t>
      </w:r>
      <w:r w:rsidRPr="003D3156">
        <w:rPr>
          <w:sz w:val="24"/>
          <w:szCs w:val="24"/>
        </w:rPr>
        <w:t xml:space="preserve"> that we maintain </w:t>
      </w:r>
      <w:r w:rsidR="00F4434E">
        <w:rPr>
          <w:sz w:val="24"/>
          <w:szCs w:val="24"/>
        </w:rPr>
        <w:t xml:space="preserve">primary </w:t>
      </w:r>
      <w:r w:rsidRPr="003D3156">
        <w:rPr>
          <w:sz w:val="24"/>
          <w:szCs w:val="24"/>
        </w:rPr>
        <w:t xml:space="preserve">reserves </w:t>
      </w:r>
      <w:r w:rsidR="00F4434E">
        <w:rPr>
          <w:sz w:val="24"/>
          <w:szCs w:val="24"/>
        </w:rPr>
        <w:t xml:space="preserve">sufficiently </w:t>
      </w:r>
      <w:r w:rsidRPr="003D3156">
        <w:rPr>
          <w:sz w:val="24"/>
          <w:szCs w:val="24"/>
        </w:rPr>
        <w:t xml:space="preserve">above the benchmark </w:t>
      </w:r>
      <w:proofErr w:type="gramStart"/>
      <w:r w:rsidRPr="003D3156">
        <w:rPr>
          <w:sz w:val="24"/>
          <w:szCs w:val="24"/>
        </w:rPr>
        <w:t>in order to</w:t>
      </w:r>
      <w:proofErr w:type="gramEnd"/>
      <w:r w:rsidRPr="003D3156">
        <w:rPr>
          <w:sz w:val="24"/>
          <w:szCs w:val="24"/>
        </w:rPr>
        <w:t xml:space="preserve"> offset our </w:t>
      </w:r>
      <w:r w:rsidR="00F4434E">
        <w:rPr>
          <w:sz w:val="24"/>
          <w:szCs w:val="24"/>
        </w:rPr>
        <w:t xml:space="preserve">plans to </w:t>
      </w:r>
      <w:r w:rsidR="00552EC7">
        <w:rPr>
          <w:sz w:val="24"/>
          <w:szCs w:val="24"/>
        </w:rPr>
        <w:t xml:space="preserve">increase our </w:t>
      </w:r>
      <w:r w:rsidRPr="003D3156">
        <w:rPr>
          <w:sz w:val="24"/>
          <w:szCs w:val="24"/>
        </w:rPr>
        <w:t>debt</w:t>
      </w:r>
      <w:bookmarkEnd w:id="2"/>
      <w:r w:rsidR="001E4B9A">
        <w:rPr>
          <w:sz w:val="24"/>
          <w:szCs w:val="24"/>
        </w:rPr>
        <w:t xml:space="preserve"> over the next </w:t>
      </w:r>
      <w:r w:rsidR="00A81215">
        <w:rPr>
          <w:sz w:val="24"/>
          <w:szCs w:val="24"/>
        </w:rPr>
        <w:t>twenty years</w:t>
      </w:r>
      <w:r w:rsidR="001E4B9A">
        <w:rPr>
          <w:sz w:val="24"/>
          <w:szCs w:val="24"/>
        </w:rPr>
        <w:t>.</w:t>
      </w:r>
      <w:r w:rsidR="002C5D2D">
        <w:rPr>
          <w:sz w:val="24"/>
          <w:szCs w:val="24"/>
        </w:rPr>
        <w:t xml:space="preserve"> Note that the 301 days includes funds that would not normally or legally be available </w:t>
      </w:r>
      <w:r w:rsidR="00C60F51">
        <w:rPr>
          <w:sz w:val="24"/>
          <w:szCs w:val="24"/>
        </w:rPr>
        <w:t>t</w:t>
      </w:r>
      <w:r w:rsidR="002C5D2D">
        <w:rPr>
          <w:sz w:val="24"/>
          <w:szCs w:val="24"/>
        </w:rPr>
        <w:t xml:space="preserve">o spend short of an exigent </w:t>
      </w:r>
      <w:r w:rsidR="00DB11EC">
        <w:rPr>
          <w:sz w:val="24"/>
          <w:szCs w:val="24"/>
        </w:rPr>
        <w:t>circumstance, like bankruptcy. Please see the following discussion of avail</w:t>
      </w:r>
      <w:r w:rsidR="00C60F51">
        <w:rPr>
          <w:sz w:val="24"/>
          <w:szCs w:val="24"/>
        </w:rPr>
        <w:t>a</w:t>
      </w:r>
      <w:r w:rsidR="00DB11EC">
        <w:rPr>
          <w:sz w:val="24"/>
          <w:szCs w:val="24"/>
        </w:rPr>
        <w:t xml:space="preserve">ble reserves </w:t>
      </w:r>
      <w:r w:rsidR="00C60F51">
        <w:rPr>
          <w:sz w:val="24"/>
          <w:szCs w:val="24"/>
        </w:rPr>
        <w:t>for a better understanding of the types of funds included in this calculation.</w:t>
      </w:r>
    </w:p>
    <w:p w14:paraId="24F40CCD" w14:textId="07F64591" w:rsidR="00B74A28" w:rsidRPr="003D3156" w:rsidRDefault="00B74A28" w:rsidP="003D3156">
      <w:pPr>
        <w:spacing w:line="360" w:lineRule="auto"/>
        <w:rPr>
          <w:b/>
          <w:sz w:val="24"/>
          <w:szCs w:val="24"/>
        </w:rPr>
      </w:pPr>
      <w:r w:rsidRPr="003D3156">
        <w:rPr>
          <w:b/>
          <w:sz w:val="24"/>
          <w:szCs w:val="24"/>
        </w:rPr>
        <w:lastRenderedPageBreak/>
        <w:t>Composite Financial Index</w:t>
      </w:r>
      <w:r w:rsidR="000B55D4" w:rsidRPr="003D3156">
        <w:rPr>
          <w:b/>
          <w:sz w:val="24"/>
          <w:szCs w:val="24"/>
        </w:rPr>
        <w:t xml:space="preserve"> Summary Analysis</w:t>
      </w:r>
    </w:p>
    <w:p w14:paraId="419BC866" w14:textId="18298A81" w:rsidR="00030E78" w:rsidRPr="003D3156" w:rsidRDefault="00F01ED9" w:rsidP="003D3156">
      <w:pPr>
        <w:spacing w:line="360" w:lineRule="auto"/>
        <w:rPr>
          <w:sz w:val="24"/>
          <w:szCs w:val="24"/>
        </w:rPr>
      </w:pPr>
      <w:r>
        <w:rPr>
          <w:noProof/>
        </w:rPr>
        <w:drawing>
          <wp:anchor distT="0" distB="0" distL="114300" distR="114300" simplePos="0" relativeHeight="251658243" behindDoc="0" locked="0" layoutInCell="1" allowOverlap="1" wp14:anchorId="410E7B27" wp14:editId="0A847527">
            <wp:simplePos x="0" y="0"/>
            <wp:positionH relativeFrom="column">
              <wp:posOffset>4111388</wp:posOffset>
            </wp:positionH>
            <wp:positionV relativeFrom="paragraph">
              <wp:posOffset>54079</wp:posOffset>
            </wp:positionV>
            <wp:extent cx="2651760" cy="3031083"/>
            <wp:effectExtent l="0" t="0" r="15240" b="17145"/>
            <wp:wrapThrough wrapText="bothSides">
              <wp:wrapPolygon edited="0">
                <wp:start x="0" y="0"/>
                <wp:lineTo x="0" y="21586"/>
                <wp:lineTo x="21569" y="21586"/>
                <wp:lineTo x="21569" y="0"/>
                <wp:lineTo x="0" y="0"/>
              </wp:wrapPolygon>
            </wp:wrapThrough>
            <wp:docPr id="1304427348" name="Chart 1">
              <a:extLst xmlns:a="http://schemas.openxmlformats.org/drawingml/2006/main">
                <a:ext uri="{FF2B5EF4-FFF2-40B4-BE49-F238E27FC236}">
                  <a16:creationId xmlns:a16="http://schemas.microsoft.com/office/drawing/2014/main" id="{B26BBE8B-7482-7782-7209-83FCC40ED5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r w:rsidR="00B74A28" w:rsidRPr="003D3156">
        <w:rPr>
          <w:sz w:val="24"/>
          <w:szCs w:val="24"/>
        </w:rPr>
        <w:tab/>
      </w:r>
      <w:r w:rsidR="00551A39" w:rsidRPr="003D3156">
        <w:rPr>
          <w:sz w:val="24"/>
          <w:szCs w:val="24"/>
        </w:rPr>
        <w:t>Texas State</w:t>
      </w:r>
      <w:r w:rsidR="000B50E4" w:rsidRPr="003D3156">
        <w:rPr>
          <w:sz w:val="24"/>
          <w:szCs w:val="24"/>
        </w:rPr>
        <w:t>,</w:t>
      </w:r>
      <w:r w:rsidR="00551A39" w:rsidRPr="003D3156">
        <w:rPr>
          <w:sz w:val="24"/>
          <w:szCs w:val="24"/>
        </w:rPr>
        <w:t xml:space="preserve"> on average</w:t>
      </w:r>
      <w:r w:rsidR="000B50E4" w:rsidRPr="003D3156">
        <w:rPr>
          <w:sz w:val="24"/>
          <w:szCs w:val="24"/>
        </w:rPr>
        <w:t>,</w:t>
      </w:r>
      <w:r w:rsidR="00551A39" w:rsidRPr="003D3156">
        <w:rPr>
          <w:sz w:val="24"/>
          <w:szCs w:val="24"/>
        </w:rPr>
        <w:t xml:space="preserve"> earned a </w:t>
      </w:r>
      <w:r w:rsidR="00A71C3F" w:rsidRPr="003D3156">
        <w:rPr>
          <w:sz w:val="24"/>
          <w:szCs w:val="24"/>
        </w:rPr>
        <w:t xml:space="preserve">CFI </w:t>
      </w:r>
      <w:r w:rsidR="000B5CA1" w:rsidRPr="003D3156">
        <w:rPr>
          <w:sz w:val="24"/>
          <w:szCs w:val="24"/>
        </w:rPr>
        <w:t>score</w:t>
      </w:r>
      <w:r w:rsidR="00551A39" w:rsidRPr="003D3156">
        <w:rPr>
          <w:sz w:val="24"/>
          <w:szCs w:val="24"/>
        </w:rPr>
        <w:t xml:space="preserve"> of </w:t>
      </w:r>
      <w:r w:rsidR="00CA5520">
        <w:rPr>
          <w:sz w:val="24"/>
          <w:szCs w:val="24"/>
        </w:rPr>
        <w:t>3.</w:t>
      </w:r>
      <w:r w:rsidR="004B31B7">
        <w:rPr>
          <w:sz w:val="24"/>
          <w:szCs w:val="24"/>
        </w:rPr>
        <w:t>91</w:t>
      </w:r>
      <w:r w:rsidR="00F2559D">
        <w:rPr>
          <w:sz w:val="24"/>
          <w:szCs w:val="24"/>
        </w:rPr>
        <w:t xml:space="preserve"> </w:t>
      </w:r>
      <w:r w:rsidR="006D3DB1">
        <w:rPr>
          <w:sz w:val="24"/>
          <w:szCs w:val="24"/>
          <w:vertAlign w:val="superscript"/>
        </w:rPr>
        <w:t>(1)</w:t>
      </w:r>
      <w:r w:rsidR="00551A39" w:rsidRPr="003D3156">
        <w:rPr>
          <w:sz w:val="24"/>
          <w:szCs w:val="24"/>
        </w:rPr>
        <w:t xml:space="preserve"> over the last </w:t>
      </w:r>
      <w:r w:rsidR="0030683B">
        <w:rPr>
          <w:sz w:val="24"/>
          <w:szCs w:val="24"/>
        </w:rPr>
        <w:t>7</w:t>
      </w:r>
      <w:r w:rsidR="00551A39" w:rsidRPr="003D3156">
        <w:rPr>
          <w:sz w:val="24"/>
          <w:szCs w:val="24"/>
        </w:rPr>
        <w:t xml:space="preserve"> years</w:t>
      </w:r>
      <w:r w:rsidR="00432308" w:rsidRPr="003D3156">
        <w:rPr>
          <w:sz w:val="24"/>
          <w:szCs w:val="24"/>
        </w:rPr>
        <w:t xml:space="preserve"> and a score of</w:t>
      </w:r>
      <w:r w:rsidR="00420A12" w:rsidRPr="003D3156">
        <w:rPr>
          <w:noProof/>
          <w:sz w:val="24"/>
          <w:szCs w:val="24"/>
        </w:rPr>
        <w:t xml:space="preserve"> </w:t>
      </w:r>
      <w:r w:rsidR="004B31B7">
        <w:rPr>
          <w:noProof/>
          <w:sz w:val="24"/>
          <w:szCs w:val="24"/>
        </w:rPr>
        <w:t>4.06</w:t>
      </w:r>
      <w:r w:rsidR="006D3DB1">
        <w:rPr>
          <w:sz w:val="24"/>
          <w:szCs w:val="24"/>
          <w:vertAlign w:val="superscript"/>
        </w:rPr>
        <w:t>(1)</w:t>
      </w:r>
      <w:r w:rsidR="00432308" w:rsidRPr="003D3156">
        <w:rPr>
          <w:sz w:val="24"/>
          <w:szCs w:val="24"/>
        </w:rPr>
        <w:t xml:space="preserve"> for </w:t>
      </w:r>
      <w:r w:rsidR="00005A8F">
        <w:rPr>
          <w:sz w:val="24"/>
          <w:szCs w:val="24"/>
        </w:rPr>
        <w:t>the most recent five years</w:t>
      </w:r>
      <w:r w:rsidR="00551A39" w:rsidRPr="003D3156">
        <w:rPr>
          <w:sz w:val="24"/>
          <w:szCs w:val="24"/>
        </w:rPr>
        <w:t>.</w:t>
      </w:r>
      <w:r w:rsidR="0058603B" w:rsidRPr="003D3156">
        <w:rPr>
          <w:sz w:val="24"/>
          <w:szCs w:val="24"/>
        </w:rPr>
        <w:t xml:space="preserve">  </w:t>
      </w:r>
      <w:r w:rsidR="00420A12" w:rsidRPr="003D3156">
        <w:rPr>
          <w:sz w:val="24"/>
          <w:szCs w:val="24"/>
        </w:rPr>
        <w:t xml:space="preserve">While </w:t>
      </w:r>
      <w:r w:rsidR="006D1145">
        <w:rPr>
          <w:sz w:val="24"/>
          <w:szCs w:val="24"/>
        </w:rPr>
        <w:t xml:space="preserve">both of these exceed </w:t>
      </w:r>
      <w:r w:rsidR="00420A12" w:rsidRPr="003D3156">
        <w:rPr>
          <w:sz w:val="24"/>
          <w:szCs w:val="24"/>
        </w:rPr>
        <w:t>the threshold value for financial health of 3.0, our more recent 5-year average indicates the university</w:t>
      </w:r>
      <w:r w:rsidR="006D1145">
        <w:rPr>
          <w:sz w:val="24"/>
          <w:szCs w:val="24"/>
        </w:rPr>
        <w:t>’s financial health</w:t>
      </w:r>
      <w:r w:rsidR="00420A12" w:rsidRPr="003D3156">
        <w:rPr>
          <w:sz w:val="24"/>
          <w:szCs w:val="24"/>
        </w:rPr>
        <w:t xml:space="preserve"> is improving.</w:t>
      </w:r>
      <w:r w:rsidR="0058603B" w:rsidRPr="003D3156">
        <w:rPr>
          <w:sz w:val="24"/>
          <w:szCs w:val="24"/>
        </w:rPr>
        <w:t xml:space="preserve"> </w:t>
      </w:r>
      <w:r w:rsidR="00420A12" w:rsidRPr="003D3156">
        <w:rPr>
          <w:sz w:val="24"/>
          <w:szCs w:val="24"/>
        </w:rPr>
        <w:t xml:space="preserve">In short, </w:t>
      </w:r>
      <w:r w:rsidR="00FD3FA4" w:rsidRPr="003D3156">
        <w:rPr>
          <w:sz w:val="24"/>
          <w:szCs w:val="24"/>
        </w:rPr>
        <w:t xml:space="preserve">Texas State </w:t>
      </w:r>
      <w:r w:rsidR="00030E78" w:rsidRPr="003D3156">
        <w:rPr>
          <w:sz w:val="24"/>
          <w:szCs w:val="24"/>
        </w:rPr>
        <w:t xml:space="preserve">has adequate </w:t>
      </w:r>
      <w:r w:rsidR="00FD3FA4" w:rsidRPr="003D3156">
        <w:rPr>
          <w:sz w:val="24"/>
          <w:szCs w:val="24"/>
        </w:rPr>
        <w:t>financial health</w:t>
      </w:r>
      <w:r w:rsidR="00030E78" w:rsidRPr="003D3156">
        <w:rPr>
          <w:sz w:val="24"/>
          <w:szCs w:val="24"/>
        </w:rPr>
        <w:t xml:space="preserve"> for a large public university.  Our Primary Reserve</w:t>
      </w:r>
      <w:r w:rsidR="00EB7911">
        <w:rPr>
          <w:sz w:val="24"/>
          <w:szCs w:val="24"/>
        </w:rPr>
        <w:t xml:space="preserve">s </w:t>
      </w:r>
      <w:r w:rsidR="00030E78" w:rsidRPr="003D3156">
        <w:rPr>
          <w:sz w:val="24"/>
          <w:szCs w:val="24"/>
        </w:rPr>
        <w:t xml:space="preserve">of </w:t>
      </w:r>
      <w:r w:rsidR="00BE41E7">
        <w:rPr>
          <w:sz w:val="24"/>
          <w:szCs w:val="24"/>
        </w:rPr>
        <w:t>3</w:t>
      </w:r>
      <w:r w:rsidR="008756B3">
        <w:rPr>
          <w:sz w:val="24"/>
          <w:szCs w:val="24"/>
        </w:rPr>
        <w:t>01</w:t>
      </w:r>
      <w:r w:rsidR="00F2559D">
        <w:rPr>
          <w:sz w:val="24"/>
          <w:szCs w:val="24"/>
        </w:rPr>
        <w:t xml:space="preserve"> </w:t>
      </w:r>
      <w:r w:rsidR="006D3DB1">
        <w:rPr>
          <w:sz w:val="24"/>
          <w:szCs w:val="24"/>
          <w:vertAlign w:val="superscript"/>
        </w:rPr>
        <w:t>(1)</w:t>
      </w:r>
      <w:r w:rsidR="00420A12" w:rsidRPr="003D3156">
        <w:rPr>
          <w:sz w:val="24"/>
          <w:szCs w:val="24"/>
        </w:rPr>
        <w:t xml:space="preserve"> </w:t>
      </w:r>
      <w:r w:rsidR="00FD3FA4" w:rsidRPr="003D3156">
        <w:rPr>
          <w:sz w:val="24"/>
          <w:szCs w:val="24"/>
        </w:rPr>
        <w:t xml:space="preserve">days </w:t>
      </w:r>
      <w:r w:rsidR="00ED341F" w:rsidRPr="003D3156">
        <w:rPr>
          <w:sz w:val="24"/>
          <w:szCs w:val="24"/>
        </w:rPr>
        <w:t xml:space="preserve">of </w:t>
      </w:r>
      <w:r w:rsidR="00ED341F" w:rsidRPr="00EB7911">
        <w:rPr>
          <w:sz w:val="24"/>
          <w:szCs w:val="24"/>
        </w:rPr>
        <w:t>expense</w:t>
      </w:r>
      <w:r w:rsidR="00F26F89" w:rsidRPr="00EB7911">
        <w:rPr>
          <w:sz w:val="24"/>
          <w:szCs w:val="24"/>
        </w:rPr>
        <w:t xml:space="preserve"> coverage</w:t>
      </w:r>
      <w:r w:rsidR="00ED341F" w:rsidRPr="003D3156">
        <w:rPr>
          <w:sz w:val="24"/>
          <w:szCs w:val="24"/>
        </w:rPr>
        <w:t xml:space="preserve"> </w:t>
      </w:r>
      <w:r w:rsidR="00EB7911">
        <w:rPr>
          <w:sz w:val="24"/>
          <w:szCs w:val="24"/>
        </w:rPr>
        <w:t xml:space="preserve">would allow us </w:t>
      </w:r>
      <w:r w:rsidR="006F1F55" w:rsidRPr="003D3156">
        <w:rPr>
          <w:sz w:val="24"/>
          <w:szCs w:val="24"/>
        </w:rPr>
        <w:t xml:space="preserve">to </w:t>
      </w:r>
      <w:r w:rsidR="00EB7911">
        <w:rPr>
          <w:sz w:val="24"/>
          <w:szCs w:val="24"/>
        </w:rPr>
        <w:t xml:space="preserve">meet </w:t>
      </w:r>
      <w:r w:rsidR="006F1F55" w:rsidRPr="003D3156">
        <w:rPr>
          <w:sz w:val="24"/>
          <w:szCs w:val="24"/>
        </w:rPr>
        <w:t>operating obligation</w:t>
      </w:r>
      <w:r w:rsidR="00030E78" w:rsidRPr="003D3156">
        <w:rPr>
          <w:sz w:val="24"/>
          <w:szCs w:val="24"/>
        </w:rPr>
        <w:t>s</w:t>
      </w:r>
      <w:r w:rsidR="006F1F55" w:rsidRPr="003D3156">
        <w:rPr>
          <w:sz w:val="24"/>
          <w:szCs w:val="24"/>
        </w:rPr>
        <w:t xml:space="preserve"> in the event of an emergency or catastrophe</w:t>
      </w:r>
      <w:r w:rsidR="00C138EB" w:rsidRPr="003D3156">
        <w:rPr>
          <w:sz w:val="24"/>
          <w:szCs w:val="24"/>
        </w:rPr>
        <w:t xml:space="preserve">.  We </w:t>
      </w:r>
      <w:r w:rsidR="00944933" w:rsidRPr="003D3156">
        <w:rPr>
          <w:sz w:val="24"/>
          <w:szCs w:val="24"/>
        </w:rPr>
        <w:t xml:space="preserve">continue to grow </w:t>
      </w:r>
      <w:r w:rsidR="007347A5" w:rsidRPr="003D3156">
        <w:rPr>
          <w:sz w:val="24"/>
          <w:szCs w:val="24"/>
        </w:rPr>
        <w:t xml:space="preserve">net assets </w:t>
      </w:r>
      <w:r w:rsidR="00944933" w:rsidRPr="003D3156">
        <w:rPr>
          <w:sz w:val="24"/>
          <w:szCs w:val="24"/>
        </w:rPr>
        <w:t xml:space="preserve">by maintaining </w:t>
      </w:r>
      <w:r w:rsidR="00F917E3">
        <w:rPr>
          <w:sz w:val="24"/>
          <w:szCs w:val="24"/>
        </w:rPr>
        <w:t>positive</w:t>
      </w:r>
      <w:r w:rsidR="007347A5" w:rsidRPr="003D3156">
        <w:rPr>
          <w:sz w:val="24"/>
          <w:szCs w:val="24"/>
        </w:rPr>
        <w:t xml:space="preserve"> annual operating returns</w:t>
      </w:r>
      <w:r w:rsidR="000B32ED">
        <w:rPr>
          <w:sz w:val="24"/>
          <w:szCs w:val="24"/>
        </w:rPr>
        <w:t xml:space="preserve">, though we anticipate some negative years are possible </w:t>
      </w:r>
      <w:proofErr w:type="gramStart"/>
      <w:r w:rsidR="000B32ED">
        <w:rPr>
          <w:sz w:val="24"/>
          <w:szCs w:val="24"/>
        </w:rPr>
        <w:t>in the near future</w:t>
      </w:r>
      <w:proofErr w:type="gramEnd"/>
      <w:r w:rsidR="007347A5" w:rsidRPr="003D3156">
        <w:rPr>
          <w:sz w:val="24"/>
          <w:szCs w:val="24"/>
        </w:rPr>
        <w:t xml:space="preserve">.  </w:t>
      </w:r>
    </w:p>
    <w:p w14:paraId="1ED24A15" w14:textId="31A777FE" w:rsidR="00FB2222" w:rsidRDefault="00737E30" w:rsidP="00F26F89">
      <w:pPr>
        <w:spacing w:line="360" w:lineRule="auto"/>
        <w:ind w:firstLine="720"/>
        <w:rPr>
          <w:sz w:val="24"/>
          <w:szCs w:val="24"/>
          <w:vertAlign w:val="superscript"/>
        </w:rPr>
      </w:pPr>
      <w:r w:rsidRPr="003D3156">
        <w:rPr>
          <w:sz w:val="24"/>
          <w:szCs w:val="24"/>
        </w:rPr>
        <w:t xml:space="preserve">In conclusion, Texas State has </w:t>
      </w:r>
      <w:r w:rsidR="00742BD9" w:rsidRPr="003D3156">
        <w:rPr>
          <w:sz w:val="24"/>
          <w:szCs w:val="24"/>
        </w:rPr>
        <w:t>enough</w:t>
      </w:r>
      <w:r w:rsidRPr="003D3156">
        <w:rPr>
          <w:sz w:val="24"/>
          <w:szCs w:val="24"/>
        </w:rPr>
        <w:t xml:space="preserve"> wealth and access to capital resources to finance </w:t>
      </w:r>
      <w:r w:rsidR="00F0519C" w:rsidRPr="003D3156">
        <w:rPr>
          <w:sz w:val="24"/>
          <w:szCs w:val="24"/>
        </w:rPr>
        <w:t xml:space="preserve">its strategic </w:t>
      </w:r>
      <w:r w:rsidR="0033210D">
        <w:rPr>
          <w:sz w:val="24"/>
          <w:szCs w:val="24"/>
        </w:rPr>
        <w:t>plan</w:t>
      </w:r>
      <w:r w:rsidR="00F0519C" w:rsidRPr="003D3156">
        <w:rPr>
          <w:sz w:val="24"/>
          <w:szCs w:val="24"/>
        </w:rPr>
        <w:t xml:space="preserve">s </w:t>
      </w:r>
      <w:r w:rsidR="006F51EC" w:rsidRPr="003D3156">
        <w:rPr>
          <w:sz w:val="24"/>
          <w:szCs w:val="24"/>
        </w:rPr>
        <w:t xml:space="preserve">and endure </w:t>
      </w:r>
      <w:r w:rsidR="0033210D">
        <w:rPr>
          <w:sz w:val="24"/>
          <w:szCs w:val="24"/>
        </w:rPr>
        <w:t>un</w:t>
      </w:r>
      <w:r w:rsidR="00510FDB" w:rsidRPr="003D3156">
        <w:rPr>
          <w:sz w:val="24"/>
          <w:szCs w:val="24"/>
        </w:rPr>
        <w:t xml:space="preserve">anticipated </w:t>
      </w:r>
      <w:r w:rsidR="006F51EC" w:rsidRPr="003D3156">
        <w:rPr>
          <w:sz w:val="24"/>
          <w:szCs w:val="24"/>
        </w:rPr>
        <w:t>financial challenges.</w:t>
      </w:r>
      <w:r w:rsidR="00510FDB" w:rsidRPr="003D3156">
        <w:rPr>
          <w:sz w:val="24"/>
          <w:szCs w:val="24"/>
        </w:rPr>
        <w:t xml:space="preserve">  </w:t>
      </w:r>
      <w:r w:rsidR="00F03307" w:rsidRPr="003D3156">
        <w:rPr>
          <w:sz w:val="24"/>
          <w:szCs w:val="24"/>
        </w:rPr>
        <w:t>It is imperative that we</w:t>
      </w:r>
      <w:r w:rsidR="00FE1D3B" w:rsidRPr="003D3156">
        <w:rPr>
          <w:sz w:val="24"/>
          <w:szCs w:val="24"/>
        </w:rPr>
        <w:t xml:space="preserve"> </w:t>
      </w:r>
      <w:r w:rsidR="00432308" w:rsidRPr="003D3156">
        <w:rPr>
          <w:sz w:val="24"/>
          <w:szCs w:val="24"/>
        </w:rPr>
        <w:t>carefully manag</w:t>
      </w:r>
      <w:r w:rsidR="00F03307" w:rsidRPr="003D3156">
        <w:rPr>
          <w:sz w:val="24"/>
          <w:szCs w:val="24"/>
        </w:rPr>
        <w:t>e</w:t>
      </w:r>
      <w:r w:rsidR="00432308" w:rsidRPr="003D3156">
        <w:rPr>
          <w:sz w:val="24"/>
          <w:szCs w:val="24"/>
        </w:rPr>
        <w:t xml:space="preserve"> </w:t>
      </w:r>
      <w:r w:rsidR="00FE1D3B" w:rsidRPr="003D3156">
        <w:rPr>
          <w:sz w:val="24"/>
          <w:szCs w:val="24"/>
        </w:rPr>
        <w:t xml:space="preserve">debt </w:t>
      </w:r>
      <w:r w:rsidR="00F03307" w:rsidRPr="003D3156">
        <w:rPr>
          <w:sz w:val="24"/>
          <w:szCs w:val="24"/>
        </w:rPr>
        <w:t>and reserves in tandem</w:t>
      </w:r>
      <w:r w:rsidR="00BE41E7">
        <w:rPr>
          <w:sz w:val="24"/>
          <w:szCs w:val="24"/>
        </w:rPr>
        <w:t xml:space="preserve"> with our plans to take on significant debt in the near future and use reserves to balance the budget over the next </w:t>
      </w:r>
      <w:r w:rsidR="00E044AB">
        <w:rPr>
          <w:sz w:val="24"/>
          <w:szCs w:val="24"/>
        </w:rPr>
        <w:t>several</w:t>
      </w:r>
      <w:r w:rsidR="00BE41E7">
        <w:rPr>
          <w:sz w:val="24"/>
          <w:szCs w:val="24"/>
        </w:rPr>
        <w:t xml:space="preserve"> years, and perhaps longer if we do not achieve anticipated enrollment growth</w:t>
      </w:r>
      <w:r w:rsidR="00E044AB">
        <w:rPr>
          <w:sz w:val="24"/>
          <w:szCs w:val="24"/>
        </w:rPr>
        <w:t xml:space="preserve"> or receive additional support from the Texas Legislature</w:t>
      </w:r>
      <w:r w:rsidR="004660BC" w:rsidRPr="003D3156">
        <w:rPr>
          <w:sz w:val="24"/>
          <w:szCs w:val="24"/>
        </w:rPr>
        <w:t xml:space="preserve">.  </w:t>
      </w:r>
      <w:r w:rsidR="00F03307" w:rsidRPr="003D3156">
        <w:rPr>
          <w:sz w:val="24"/>
          <w:szCs w:val="24"/>
        </w:rPr>
        <w:t>T</w:t>
      </w:r>
      <w:r w:rsidR="004660BC" w:rsidRPr="003D3156">
        <w:rPr>
          <w:sz w:val="24"/>
          <w:szCs w:val="24"/>
        </w:rPr>
        <w:t xml:space="preserve">he university </w:t>
      </w:r>
      <w:r w:rsidR="00F03307" w:rsidRPr="003D3156">
        <w:rPr>
          <w:sz w:val="24"/>
          <w:szCs w:val="24"/>
        </w:rPr>
        <w:t>has sufficient financial strength to</w:t>
      </w:r>
      <w:r w:rsidR="004660BC" w:rsidRPr="003D3156">
        <w:rPr>
          <w:sz w:val="24"/>
          <w:szCs w:val="24"/>
        </w:rPr>
        <w:t xml:space="preserve"> continue to pursue its </w:t>
      </w:r>
      <w:r w:rsidR="0033210D" w:rsidRPr="003D3156">
        <w:rPr>
          <w:sz w:val="24"/>
          <w:szCs w:val="24"/>
        </w:rPr>
        <w:t xml:space="preserve">aggressive </w:t>
      </w:r>
      <w:r w:rsidR="004660BC" w:rsidRPr="003D3156">
        <w:rPr>
          <w:sz w:val="24"/>
          <w:szCs w:val="24"/>
        </w:rPr>
        <w:t xml:space="preserve">plans for growth </w:t>
      </w:r>
      <w:r w:rsidR="00F03307" w:rsidRPr="003D3156">
        <w:rPr>
          <w:sz w:val="24"/>
          <w:szCs w:val="24"/>
        </w:rPr>
        <w:t xml:space="preserve">in total enrollment, </w:t>
      </w:r>
      <w:r w:rsidR="003A0C4B">
        <w:rPr>
          <w:sz w:val="24"/>
          <w:szCs w:val="24"/>
        </w:rPr>
        <w:t>improvements to student success</w:t>
      </w:r>
      <w:r w:rsidR="00F03307" w:rsidRPr="003D3156">
        <w:rPr>
          <w:sz w:val="24"/>
          <w:szCs w:val="24"/>
        </w:rPr>
        <w:t xml:space="preserve">, and pursuit of </w:t>
      </w:r>
      <w:r w:rsidR="004900EE">
        <w:rPr>
          <w:sz w:val="24"/>
          <w:szCs w:val="24"/>
        </w:rPr>
        <w:t>becoming a Carnegie R1</w:t>
      </w:r>
      <w:r w:rsidR="003A0C4B">
        <w:rPr>
          <w:sz w:val="24"/>
          <w:szCs w:val="24"/>
        </w:rPr>
        <w:t xml:space="preserve"> </w:t>
      </w:r>
      <w:r w:rsidR="004900EE">
        <w:rPr>
          <w:sz w:val="24"/>
          <w:szCs w:val="24"/>
        </w:rPr>
        <w:t>U</w:t>
      </w:r>
      <w:r w:rsidR="00F03307" w:rsidRPr="003D3156">
        <w:rPr>
          <w:sz w:val="24"/>
          <w:szCs w:val="24"/>
        </w:rPr>
        <w:t>niversity</w:t>
      </w:r>
      <w:r w:rsidR="004660BC" w:rsidRPr="003D3156">
        <w:rPr>
          <w:sz w:val="24"/>
          <w:szCs w:val="24"/>
        </w:rPr>
        <w:t>.</w:t>
      </w:r>
      <w:r w:rsidR="00E44AAB" w:rsidRPr="00E44AAB">
        <w:rPr>
          <w:sz w:val="24"/>
          <w:szCs w:val="24"/>
          <w:vertAlign w:val="superscript"/>
        </w:rPr>
        <w:t xml:space="preserve"> </w:t>
      </w:r>
    </w:p>
    <w:p w14:paraId="03269057" w14:textId="2F7B2CCB" w:rsidR="00326473" w:rsidRDefault="00326473" w:rsidP="00113718">
      <w:pPr>
        <w:spacing w:before="240" w:line="360" w:lineRule="auto"/>
        <w:rPr>
          <w:b/>
          <w:bCs/>
          <w:sz w:val="24"/>
          <w:szCs w:val="24"/>
        </w:rPr>
      </w:pPr>
      <w:r>
        <w:rPr>
          <w:b/>
          <w:bCs/>
          <w:sz w:val="24"/>
          <w:szCs w:val="24"/>
        </w:rPr>
        <w:t>The Available Reserves Ratio</w:t>
      </w:r>
    </w:p>
    <w:p w14:paraId="64454657" w14:textId="38EF9613" w:rsidR="00326473" w:rsidRDefault="00326473" w:rsidP="00326473">
      <w:pPr>
        <w:spacing w:line="360" w:lineRule="auto"/>
        <w:ind w:firstLine="720"/>
        <w:rPr>
          <w:sz w:val="24"/>
          <w:szCs w:val="24"/>
        </w:rPr>
      </w:pPr>
      <w:r>
        <w:rPr>
          <w:sz w:val="24"/>
          <w:szCs w:val="24"/>
        </w:rPr>
        <w:t>While the Primary Reserve Ratio used in the CFI measures the amount of funding we could access in an emergency, it is misleading as it includes funds from many sources that are typically restricted to very specific uses. In other words, a good portion of Primary Reserves is not available short of a financial calamity which threatens the existence of the institution.</w:t>
      </w:r>
    </w:p>
    <w:p w14:paraId="50A8648D" w14:textId="77777777" w:rsidR="00326473" w:rsidRDefault="00326473" w:rsidP="00326473">
      <w:pPr>
        <w:spacing w:line="360" w:lineRule="auto"/>
        <w:ind w:firstLine="720"/>
        <w:rPr>
          <w:sz w:val="24"/>
          <w:szCs w:val="24"/>
        </w:rPr>
      </w:pPr>
      <w:r>
        <w:rPr>
          <w:sz w:val="24"/>
          <w:szCs w:val="24"/>
        </w:rPr>
        <w:t xml:space="preserve">For this reason, Texas State still uses Available Reserves, as explained in </w:t>
      </w:r>
      <w:hyperlink r:id="rId17" w:history="1">
        <w:r>
          <w:rPr>
            <w:rStyle w:val="Hyperlink"/>
            <w:sz w:val="24"/>
            <w:szCs w:val="24"/>
          </w:rPr>
          <w:t>University Policy Statement 03.02.01</w:t>
        </w:r>
      </w:hyperlink>
      <w:r>
        <w:rPr>
          <w:sz w:val="24"/>
          <w:szCs w:val="24"/>
        </w:rPr>
        <w:t xml:space="preserve"> and first detailed in </w:t>
      </w:r>
      <w:hyperlink r:id="rId18" w:history="1">
        <w:r>
          <w:rPr>
            <w:rStyle w:val="Hyperlink"/>
            <w:sz w:val="24"/>
            <w:szCs w:val="24"/>
          </w:rPr>
          <w:t>NACUBO</w:t>
        </w:r>
      </w:hyperlink>
      <w:r>
        <w:rPr>
          <w:sz w:val="24"/>
          <w:szCs w:val="24"/>
        </w:rPr>
        <w:t xml:space="preserve">’s </w:t>
      </w:r>
      <w:hyperlink r:id="rId19" w:history="1">
        <w:r>
          <w:rPr>
            <w:rStyle w:val="Hyperlink"/>
            <w:i/>
            <w:iCs/>
            <w:sz w:val="24"/>
            <w:szCs w:val="24"/>
          </w:rPr>
          <w:t>Financial Self-Assessment: A Workbook for Colleges</w:t>
        </w:r>
      </w:hyperlink>
      <w:r>
        <w:rPr>
          <w:sz w:val="24"/>
          <w:szCs w:val="24"/>
        </w:rPr>
        <w:t xml:space="preserve">, as a measure of financial health in addition to the CFI.  Available Reserves more adequately represents </w:t>
      </w:r>
      <w:r>
        <w:rPr>
          <w:sz w:val="24"/>
          <w:szCs w:val="24"/>
        </w:rPr>
        <w:lastRenderedPageBreak/>
        <w:t>reserves as most people would use the term in that it excludes funds that are restricted in use.  Our policy goal for Available Reserves is to maintain a ratio of 0.</w:t>
      </w:r>
      <w:r w:rsidRPr="00A95762">
        <w:rPr>
          <w:sz w:val="24"/>
          <w:szCs w:val="24"/>
        </w:rPr>
        <w:t xml:space="preserve">25 </w:t>
      </w:r>
      <w:r>
        <w:rPr>
          <w:sz w:val="24"/>
          <w:szCs w:val="24"/>
        </w:rPr>
        <w:t xml:space="preserve">or </w:t>
      </w:r>
      <w:r w:rsidRPr="00A95762">
        <w:rPr>
          <w:sz w:val="24"/>
          <w:szCs w:val="24"/>
        </w:rPr>
        <w:t>90 days of reserves.</w:t>
      </w:r>
      <w:r>
        <w:rPr>
          <w:sz w:val="24"/>
          <w:szCs w:val="24"/>
        </w:rPr>
        <w:t xml:space="preserve">  </w:t>
      </w:r>
    </w:p>
    <w:p w14:paraId="444F2380" w14:textId="43E4C408" w:rsidR="00326473" w:rsidRDefault="00326473" w:rsidP="00326473">
      <w:pPr>
        <w:spacing w:line="360" w:lineRule="auto"/>
        <w:ind w:firstLine="720"/>
        <w:rPr>
          <w:sz w:val="24"/>
          <w:szCs w:val="24"/>
        </w:rPr>
      </w:pPr>
      <w:r w:rsidRPr="00A95762">
        <w:rPr>
          <w:sz w:val="24"/>
          <w:szCs w:val="24"/>
        </w:rPr>
        <w:t>As demonstrated in the chart below, Texas State prior to 2020 had averaged an Available Reserve Ratio of 0.1463 representing only 53 days of expense coverage.  Only since 2020, have we achieved our goal of 90 days in Available Reserves</w:t>
      </w:r>
      <w:r>
        <w:rPr>
          <w:sz w:val="24"/>
          <w:szCs w:val="24"/>
        </w:rPr>
        <w:t>, and we ended</w:t>
      </w:r>
      <w:r w:rsidRPr="00A95762">
        <w:rPr>
          <w:sz w:val="24"/>
          <w:szCs w:val="24"/>
        </w:rPr>
        <w:t xml:space="preserve"> 2023 at 113 days</w:t>
      </w:r>
      <w:r>
        <w:rPr>
          <w:sz w:val="24"/>
          <w:szCs w:val="24"/>
        </w:rPr>
        <w:t xml:space="preserve"> or an Available Reserve Ratio of .3085</w:t>
      </w:r>
      <w:r w:rsidRPr="00A95762">
        <w:rPr>
          <w:sz w:val="24"/>
          <w:szCs w:val="24"/>
        </w:rPr>
        <w:t>.</w:t>
      </w:r>
      <w:r>
        <w:rPr>
          <w:sz w:val="24"/>
          <w:szCs w:val="24"/>
        </w:rPr>
        <w:t>  Noticeably, 2023 marked a significant reduction from 2022 as we made significant investments in our new vision for the future of Texas State, including support for our Run to R1 initiative. As we celebrate the 125</w:t>
      </w:r>
      <w:r w:rsidRPr="000B3680">
        <w:rPr>
          <w:sz w:val="24"/>
          <w:szCs w:val="24"/>
          <w:vertAlign w:val="superscript"/>
        </w:rPr>
        <w:t>th</w:t>
      </w:r>
      <w:r>
        <w:rPr>
          <w:sz w:val="24"/>
          <w:szCs w:val="24"/>
        </w:rPr>
        <w:t xml:space="preserve"> anniversary of Texas State University in 2024, we expect to continue to make strategic investments to ensure its viability for another 125 years which may further decrease Available Reserves, though we will endeavor to maintain our 90-day target.  </w:t>
      </w:r>
    </w:p>
    <w:p w14:paraId="63FA31DC" w14:textId="77777777" w:rsidR="00326473" w:rsidRDefault="00326473" w:rsidP="00326473">
      <w:pPr>
        <w:spacing w:line="360" w:lineRule="auto"/>
        <w:jc w:val="center"/>
        <w:rPr>
          <w:b/>
          <w:bCs/>
          <w:sz w:val="24"/>
          <w:szCs w:val="24"/>
        </w:rPr>
      </w:pPr>
      <w:r>
        <w:rPr>
          <w:b/>
          <w:bCs/>
          <w:sz w:val="24"/>
          <w:szCs w:val="24"/>
        </w:rPr>
        <w:t>Texas State University Available Reserves 2013-2023</w:t>
      </w:r>
    </w:p>
    <w:p w14:paraId="1057B8B0" w14:textId="77777777" w:rsidR="00326473" w:rsidRDefault="00326473" w:rsidP="00326473">
      <w:pPr>
        <w:spacing w:line="360" w:lineRule="auto"/>
        <w:rPr>
          <w:sz w:val="24"/>
          <w:szCs w:val="24"/>
        </w:rPr>
      </w:pPr>
      <w:r w:rsidRPr="00EE317A">
        <w:rPr>
          <w:noProof/>
        </w:rPr>
        <w:t xml:space="preserve"> </w:t>
      </w:r>
      <w:r>
        <w:rPr>
          <w:noProof/>
        </w:rPr>
        <w:drawing>
          <wp:inline distT="0" distB="0" distL="0" distR="0" wp14:anchorId="31FF2871" wp14:editId="24BF33BF">
            <wp:extent cx="6210300" cy="2190750"/>
            <wp:effectExtent l="0" t="0" r="0" b="0"/>
            <wp:docPr id="1908311510" name="Chart 1">
              <a:extLst xmlns:a="http://schemas.openxmlformats.org/drawingml/2006/main">
                <a:ext uri="{FF2B5EF4-FFF2-40B4-BE49-F238E27FC236}">
                  <a16:creationId xmlns:a16="http://schemas.microsoft.com/office/drawing/2014/main" id="{8278379A-031A-4D36-AEC5-0C032B8C2F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05503C5" w14:textId="77777777" w:rsidR="00326473" w:rsidRDefault="00326473" w:rsidP="00326473">
      <w:pPr>
        <w:spacing w:line="360" w:lineRule="auto"/>
        <w:ind w:firstLine="720"/>
        <w:rPr>
          <w:sz w:val="24"/>
          <w:szCs w:val="24"/>
        </w:rPr>
      </w:pPr>
      <w:r>
        <w:rPr>
          <w:noProof/>
        </w:rPr>
        <w:drawing>
          <wp:anchor distT="0" distB="0" distL="114300" distR="114300" simplePos="0" relativeHeight="251660800" behindDoc="1" locked="0" layoutInCell="1" allowOverlap="1" wp14:anchorId="5630DECF" wp14:editId="2BE07C6C">
            <wp:simplePos x="0" y="0"/>
            <wp:positionH relativeFrom="margin">
              <wp:align>right</wp:align>
            </wp:positionH>
            <wp:positionV relativeFrom="paragraph">
              <wp:posOffset>6985</wp:posOffset>
            </wp:positionV>
            <wp:extent cx="5943600" cy="628650"/>
            <wp:effectExtent l="0" t="0" r="0" b="0"/>
            <wp:wrapNone/>
            <wp:docPr id="2" name="Picture 2" descr="Background pattern&#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628650"/>
                    </a:xfrm>
                    <a:prstGeom prst="rect">
                      <a:avLst/>
                    </a:prstGeom>
                    <a:noFill/>
                  </pic:spPr>
                </pic:pic>
              </a:graphicData>
            </a:graphic>
            <wp14:sizeRelH relativeFrom="page">
              <wp14:pctWidth>0</wp14:pctWidth>
            </wp14:sizeRelH>
            <wp14:sizeRelV relativeFrom="page">
              <wp14:pctHeight>0</wp14:pctHeight>
            </wp14:sizeRelV>
          </wp:anchor>
        </w:drawing>
      </w:r>
    </w:p>
    <w:p w14:paraId="287E4927" w14:textId="77777777" w:rsidR="00326473" w:rsidRDefault="00326473" w:rsidP="00326473">
      <w:pPr>
        <w:spacing w:line="360" w:lineRule="auto"/>
        <w:ind w:firstLine="720"/>
        <w:rPr>
          <w:sz w:val="24"/>
          <w:szCs w:val="24"/>
        </w:rPr>
      </w:pPr>
    </w:p>
    <w:p w14:paraId="30007692" w14:textId="77777777" w:rsidR="00326473" w:rsidRDefault="00326473" w:rsidP="00326473">
      <w:pPr>
        <w:spacing w:line="360" w:lineRule="auto"/>
        <w:ind w:firstLine="720"/>
        <w:rPr>
          <w:sz w:val="24"/>
          <w:szCs w:val="24"/>
        </w:rPr>
      </w:pPr>
      <w:r>
        <w:rPr>
          <w:sz w:val="24"/>
          <w:szCs w:val="24"/>
        </w:rPr>
        <w:t xml:space="preserve">Putting this in context, </w:t>
      </w:r>
      <w:r w:rsidRPr="00991E1A">
        <w:rPr>
          <w:sz w:val="24"/>
          <w:szCs w:val="24"/>
        </w:rPr>
        <w:t>Texas State University is an institution with over $2 billion in total assets</w:t>
      </w:r>
      <w:r w:rsidRPr="000B3680">
        <w:rPr>
          <w:sz w:val="24"/>
          <w:szCs w:val="24"/>
        </w:rPr>
        <w:t>.  As such, 113 days of Available Reserves is still a large sum, $161,113,542 to be exact</w:t>
      </w:r>
      <w:r w:rsidRPr="008D045D">
        <w:rPr>
          <w:sz w:val="24"/>
          <w:szCs w:val="24"/>
        </w:rPr>
        <w:t xml:space="preserve">.  </w:t>
      </w:r>
      <w:r>
        <w:rPr>
          <w:sz w:val="24"/>
          <w:szCs w:val="24"/>
        </w:rPr>
        <w:t xml:space="preserve">This amount is not in a </w:t>
      </w:r>
      <w:r w:rsidRPr="008D045D">
        <w:rPr>
          <w:sz w:val="24"/>
          <w:szCs w:val="24"/>
        </w:rPr>
        <w:t xml:space="preserve">single account at Texas State called “Reserves”.  Rather, this amount lives in the account balances of hundreds of operating units across the institution.  For example, small parts of this sum live in every college and school, every academic program, every administrative office, and every student support area.  </w:t>
      </w:r>
      <w:r>
        <w:rPr>
          <w:sz w:val="24"/>
          <w:szCs w:val="24"/>
        </w:rPr>
        <w:t>While all</w:t>
      </w:r>
      <w:r w:rsidRPr="00991E1A">
        <w:rPr>
          <w:sz w:val="24"/>
          <w:szCs w:val="24"/>
        </w:rPr>
        <w:t xml:space="preserve"> the funds in our Available Reserves are unrestricted from a legal </w:t>
      </w:r>
      <w:r w:rsidRPr="00991E1A">
        <w:rPr>
          <w:sz w:val="24"/>
          <w:szCs w:val="24"/>
        </w:rPr>
        <w:lastRenderedPageBreak/>
        <w:t xml:space="preserve">standpoint, </w:t>
      </w:r>
      <w:r>
        <w:rPr>
          <w:sz w:val="24"/>
          <w:szCs w:val="24"/>
        </w:rPr>
        <w:t>and</w:t>
      </w:r>
      <w:r w:rsidRPr="00991E1A">
        <w:rPr>
          <w:sz w:val="24"/>
          <w:szCs w:val="24"/>
        </w:rPr>
        <w:t xml:space="preserve"> we can use them for other things</w:t>
      </w:r>
      <w:r>
        <w:rPr>
          <w:sz w:val="24"/>
          <w:szCs w:val="24"/>
        </w:rPr>
        <w:t>,</w:t>
      </w:r>
      <w:r w:rsidRPr="00991E1A">
        <w:rPr>
          <w:sz w:val="24"/>
          <w:szCs w:val="24"/>
        </w:rPr>
        <w:t xml:space="preserve"> one should not have the notion that there are no plans for the funds.  </w:t>
      </w:r>
      <w:r>
        <w:rPr>
          <w:sz w:val="24"/>
          <w:szCs w:val="24"/>
        </w:rPr>
        <w:t>T</w:t>
      </w:r>
      <w:r w:rsidRPr="00991E1A">
        <w:rPr>
          <w:sz w:val="24"/>
          <w:szCs w:val="24"/>
        </w:rPr>
        <w:t>hose offices and departments have annual goals and strategic plans that they are counting on using these funds to accomplish</w:t>
      </w:r>
      <w:r w:rsidRPr="008D045D">
        <w:rPr>
          <w:sz w:val="24"/>
          <w:szCs w:val="24"/>
        </w:rPr>
        <w:t xml:space="preserve">.  The FY 2023 budget approved by the Board of Regents of the Texas State University System does include a single budget account called “Institutional Reserves” that is completely unallocated and is set aside for unexpected needs.  The amount in that account is $2,500,000, or </w:t>
      </w:r>
      <w:r>
        <w:rPr>
          <w:sz w:val="24"/>
          <w:szCs w:val="24"/>
        </w:rPr>
        <w:t>a fraction of</w:t>
      </w:r>
      <w:r w:rsidRPr="008D045D">
        <w:rPr>
          <w:sz w:val="24"/>
          <w:szCs w:val="24"/>
        </w:rPr>
        <w:t xml:space="preserve"> one percent of our </w:t>
      </w:r>
      <w:r>
        <w:rPr>
          <w:sz w:val="24"/>
          <w:szCs w:val="24"/>
        </w:rPr>
        <w:t xml:space="preserve">all-funds </w:t>
      </w:r>
      <w:r w:rsidRPr="008D045D">
        <w:rPr>
          <w:sz w:val="24"/>
          <w:szCs w:val="24"/>
        </w:rPr>
        <w:t xml:space="preserve">budget of </w:t>
      </w:r>
      <w:r w:rsidRPr="00D9099F">
        <w:rPr>
          <w:sz w:val="24"/>
          <w:szCs w:val="24"/>
        </w:rPr>
        <w:t>more than $1 billion.</w:t>
      </w:r>
    </w:p>
    <w:p w14:paraId="4ACE17CC" w14:textId="17FE5CAA" w:rsidR="00326473" w:rsidRDefault="00326473" w:rsidP="00487185">
      <w:pPr>
        <w:spacing w:line="360" w:lineRule="auto"/>
        <w:ind w:firstLine="720"/>
        <w:rPr>
          <w:sz w:val="24"/>
          <w:szCs w:val="24"/>
        </w:rPr>
      </w:pPr>
      <w:r w:rsidRPr="00991E1A">
        <w:rPr>
          <w:sz w:val="24"/>
          <w:szCs w:val="24"/>
        </w:rPr>
        <w:t xml:space="preserve">Finally, it is important to ensure that the university is transparent </w:t>
      </w:r>
      <w:r>
        <w:rPr>
          <w:sz w:val="24"/>
          <w:szCs w:val="24"/>
        </w:rPr>
        <w:t xml:space="preserve">and accurate </w:t>
      </w:r>
      <w:r w:rsidRPr="00991E1A">
        <w:rPr>
          <w:sz w:val="24"/>
          <w:szCs w:val="24"/>
        </w:rPr>
        <w:t xml:space="preserve">with regards to Primary Reserves and Available Reserves.  Primary Reserves are comprised of the university’s Unrestricted Net Assets as reported in the Annual Audited Financial Statement. That amount is $588,877,770 for FY 2023.  Below is </w:t>
      </w:r>
      <w:proofErr w:type="gramStart"/>
      <w:r w:rsidRPr="00991E1A">
        <w:rPr>
          <w:sz w:val="24"/>
          <w:szCs w:val="24"/>
        </w:rPr>
        <w:t>high</w:t>
      </w:r>
      <w:proofErr w:type="gramEnd"/>
      <w:r w:rsidRPr="00991E1A">
        <w:rPr>
          <w:sz w:val="24"/>
          <w:szCs w:val="24"/>
        </w:rPr>
        <w:t xml:space="preserve">-level summary that explains the seven types of funds that makes up </w:t>
      </w:r>
      <w:r>
        <w:rPr>
          <w:sz w:val="24"/>
          <w:szCs w:val="24"/>
        </w:rPr>
        <w:t xml:space="preserve">a little over </w:t>
      </w:r>
      <w:r w:rsidRPr="00991E1A">
        <w:rPr>
          <w:sz w:val="24"/>
          <w:szCs w:val="24"/>
        </w:rPr>
        <w:t>9</w:t>
      </w:r>
      <w:r>
        <w:rPr>
          <w:sz w:val="24"/>
          <w:szCs w:val="24"/>
        </w:rPr>
        <w:t>6</w:t>
      </w:r>
      <w:r w:rsidRPr="00991E1A">
        <w:rPr>
          <w:sz w:val="24"/>
          <w:szCs w:val="24"/>
        </w:rPr>
        <w:t xml:space="preserve"> percent of Primary Reserves, including Available Reserves which is one of the eight.  M</w:t>
      </w:r>
      <w:r>
        <w:rPr>
          <w:sz w:val="24"/>
          <w:szCs w:val="24"/>
        </w:rPr>
        <w:t>ost</w:t>
      </w:r>
      <w:r w:rsidRPr="00991E1A">
        <w:rPr>
          <w:sz w:val="24"/>
          <w:szCs w:val="24"/>
        </w:rPr>
        <w:t xml:space="preserve"> of the funds in Primary Reserves have restrictions on their use.</w:t>
      </w:r>
    </w:p>
    <w:p w14:paraId="5F73BB1C" w14:textId="77777777" w:rsidR="00326473" w:rsidRDefault="00326473" w:rsidP="00326473">
      <w:pPr>
        <w:ind w:left="720" w:firstLine="720"/>
        <w:rPr>
          <w:b/>
          <w:bCs/>
          <w:sz w:val="24"/>
          <w:szCs w:val="24"/>
        </w:rPr>
      </w:pPr>
      <w:r>
        <w:rPr>
          <w:b/>
          <w:bCs/>
          <w:sz w:val="24"/>
          <w:szCs w:val="24"/>
        </w:rPr>
        <w:t>          High Level Breakdown of Primary Reserves FY 2023</w:t>
      </w:r>
    </w:p>
    <w:tbl>
      <w:tblPr>
        <w:tblW w:w="8910" w:type="dxa"/>
        <w:tblCellMar>
          <w:left w:w="0" w:type="dxa"/>
          <w:right w:w="0" w:type="dxa"/>
        </w:tblCellMar>
        <w:tblLook w:val="04A0" w:firstRow="1" w:lastRow="0" w:firstColumn="1" w:lastColumn="0" w:noHBand="0" w:noVBand="1"/>
      </w:tblPr>
      <w:tblGrid>
        <w:gridCol w:w="328"/>
        <w:gridCol w:w="690"/>
        <w:gridCol w:w="6362"/>
        <w:gridCol w:w="1530"/>
      </w:tblGrid>
      <w:tr w:rsidR="00326473" w14:paraId="2B8373A8" w14:textId="77777777" w:rsidTr="00390BD7">
        <w:trPr>
          <w:trHeight w:hRule="exact" w:val="360"/>
        </w:trPr>
        <w:tc>
          <w:tcPr>
            <w:tcW w:w="328" w:type="dxa"/>
            <w:noWrap/>
            <w:tcMar>
              <w:top w:w="0" w:type="dxa"/>
              <w:left w:w="108" w:type="dxa"/>
              <w:bottom w:w="0" w:type="dxa"/>
              <w:right w:w="108" w:type="dxa"/>
            </w:tcMar>
            <w:vAlign w:val="bottom"/>
          </w:tcPr>
          <w:p w14:paraId="75DDFE61" w14:textId="77777777" w:rsidR="00326473" w:rsidRDefault="00326473" w:rsidP="008020F6">
            <w:pPr>
              <w:jc w:val="right"/>
              <w:rPr>
                <w:color w:val="000000"/>
              </w:rPr>
            </w:pPr>
          </w:p>
        </w:tc>
        <w:tc>
          <w:tcPr>
            <w:tcW w:w="7052" w:type="dxa"/>
            <w:gridSpan w:val="2"/>
            <w:tcBorders>
              <w:top w:val="single" w:sz="8" w:space="0" w:color="auto"/>
              <w:left w:val="single" w:sz="8" w:space="0" w:color="auto"/>
              <w:bottom w:val="nil"/>
              <w:right w:val="nil"/>
            </w:tcBorders>
            <w:tcMar>
              <w:top w:w="0" w:type="dxa"/>
              <w:left w:w="108" w:type="dxa"/>
              <w:bottom w:w="0" w:type="dxa"/>
              <w:right w:w="108" w:type="dxa"/>
            </w:tcMar>
            <w:vAlign w:val="bottom"/>
            <w:hideMark/>
          </w:tcPr>
          <w:p w14:paraId="6074CDF1" w14:textId="77777777" w:rsidR="00326473" w:rsidRDefault="00326473" w:rsidP="008020F6">
            <w:pPr>
              <w:rPr>
                <w:b/>
                <w:bCs/>
                <w:color w:val="000000"/>
              </w:rPr>
            </w:pPr>
            <w:r>
              <w:rPr>
                <w:b/>
                <w:bCs/>
                <w:color w:val="000000"/>
              </w:rPr>
              <w:t>Fund Type</w:t>
            </w:r>
          </w:p>
        </w:tc>
        <w:tc>
          <w:tcPr>
            <w:tcW w:w="1530"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7C0D7661" w14:textId="77777777" w:rsidR="00326473" w:rsidRDefault="00326473" w:rsidP="008020F6">
            <w:pPr>
              <w:jc w:val="center"/>
              <w:rPr>
                <w:b/>
                <w:bCs/>
                <w:color w:val="000000"/>
              </w:rPr>
            </w:pPr>
            <w:r>
              <w:rPr>
                <w:b/>
                <w:bCs/>
                <w:color w:val="000000"/>
              </w:rPr>
              <w:t>FY 2023</w:t>
            </w:r>
          </w:p>
        </w:tc>
      </w:tr>
      <w:tr w:rsidR="00326473" w14:paraId="02E1BA40" w14:textId="77777777" w:rsidTr="00390BD7">
        <w:trPr>
          <w:trHeight w:hRule="exact" w:val="360"/>
        </w:trPr>
        <w:tc>
          <w:tcPr>
            <w:tcW w:w="328" w:type="dxa"/>
            <w:noWrap/>
            <w:tcMar>
              <w:top w:w="0" w:type="dxa"/>
              <w:left w:w="108" w:type="dxa"/>
              <w:bottom w:w="0" w:type="dxa"/>
              <w:right w:w="108" w:type="dxa"/>
            </w:tcMar>
            <w:vAlign w:val="bottom"/>
            <w:hideMark/>
          </w:tcPr>
          <w:p w14:paraId="6CF8B6CA" w14:textId="77777777" w:rsidR="00326473" w:rsidRDefault="00326473" w:rsidP="008020F6">
            <w:pPr>
              <w:jc w:val="right"/>
              <w:rPr>
                <w:color w:val="000000"/>
              </w:rPr>
            </w:pPr>
            <w:r>
              <w:rPr>
                <w:color w:val="000000"/>
              </w:rPr>
              <w:t>1</w:t>
            </w:r>
          </w:p>
        </w:tc>
        <w:tc>
          <w:tcPr>
            <w:tcW w:w="7052" w:type="dxa"/>
            <w:gridSpan w:val="2"/>
            <w:tcBorders>
              <w:top w:val="single" w:sz="8" w:space="0" w:color="auto"/>
              <w:left w:val="single" w:sz="8" w:space="0" w:color="auto"/>
              <w:bottom w:val="nil"/>
              <w:right w:val="nil"/>
            </w:tcBorders>
            <w:tcMar>
              <w:top w:w="0" w:type="dxa"/>
              <w:left w:w="108" w:type="dxa"/>
              <w:bottom w:w="0" w:type="dxa"/>
              <w:right w:w="108" w:type="dxa"/>
            </w:tcMar>
            <w:vAlign w:val="bottom"/>
            <w:hideMark/>
          </w:tcPr>
          <w:p w14:paraId="1C895D85" w14:textId="77777777" w:rsidR="00326473" w:rsidRDefault="00326473" w:rsidP="008020F6">
            <w:pPr>
              <w:rPr>
                <w:b/>
                <w:bCs/>
                <w:color w:val="000000"/>
              </w:rPr>
            </w:pPr>
            <w:r>
              <w:rPr>
                <w:b/>
                <w:bCs/>
                <w:color w:val="000000"/>
              </w:rPr>
              <w:t>Available Reserves</w:t>
            </w:r>
          </w:p>
        </w:tc>
        <w:tc>
          <w:tcPr>
            <w:tcW w:w="1530"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5CD56DCA" w14:textId="77777777" w:rsidR="00326473" w:rsidRDefault="00326473" w:rsidP="008020F6">
            <w:pPr>
              <w:rPr>
                <w:color w:val="000000"/>
              </w:rPr>
            </w:pPr>
            <w:r>
              <w:rPr>
                <w:color w:val="000000"/>
              </w:rPr>
              <w:t> </w:t>
            </w:r>
          </w:p>
        </w:tc>
      </w:tr>
      <w:tr w:rsidR="00326473" w14:paraId="7DC3D3A4" w14:textId="77777777" w:rsidTr="00390BD7">
        <w:trPr>
          <w:trHeight w:hRule="exact" w:val="360"/>
        </w:trPr>
        <w:tc>
          <w:tcPr>
            <w:tcW w:w="328" w:type="dxa"/>
            <w:noWrap/>
            <w:tcMar>
              <w:top w:w="0" w:type="dxa"/>
              <w:left w:w="108" w:type="dxa"/>
              <w:bottom w:w="0" w:type="dxa"/>
              <w:right w:w="108" w:type="dxa"/>
            </w:tcMar>
            <w:vAlign w:val="bottom"/>
            <w:hideMark/>
          </w:tcPr>
          <w:p w14:paraId="28B2D0E4" w14:textId="77777777" w:rsidR="00326473" w:rsidRDefault="00326473" w:rsidP="008020F6">
            <w:pPr>
              <w:rPr>
                <w:color w:val="000000"/>
              </w:rPr>
            </w:pPr>
          </w:p>
        </w:tc>
        <w:tc>
          <w:tcPr>
            <w:tcW w:w="7052" w:type="dxa"/>
            <w:gridSpan w:val="2"/>
            <w:tcBorders>
              <w:top w:val="nil"/>
              <w:left w:val="single" w:sz="8" w:space="0" w:color="auto"/>
              <w:bottom w:val="nil"/>
              <w:right w:val="nil"/>
            </w:tcBorders>
            <w:noWrap/>
            <w:tcMar>
              <w:top w:w="0" w:type="dxa"/>
              <w:left w:w="108" w:type="dxa"/>
              <w:bottom w:w="0" w:type="dxa"/>
              <w:right w:w="108" w:type="dxa"/>
            </w:tcMar>
            <w:vAlign w:val="bottom"/>
            <w:hideMark/>
          </w:tcPr>
          <w:p w14:paraId="6F0471AD" w14:textId="77777777" w:rsidR="00326473" w:rsidRDefault="00326473" w:rsidP="008020F6">
            <w:pPr>
              <w:jc w:val="right"/>
              <w:rPr>
                <w:i/>
                <w:iCs/>
                <w:color w:val="000000"/>
              </w:rPr>
            </w:pPr>
            <w:r>
              <w:rPr>
                <w:i/>
                <w:iCs/>
                <w:color w:val="000000"/>
              </w:rPr>
              <w:t>Primarily Tuition Revenue</w:t>
            </w:r>
          </w:p>
        </w:tc>
        <w:tc>
          <w:tcPr>
            <w:tcW w:w="1530" w:type="dxa"/>
            <w:tcBorders>
              <w:top w:val="nil"/>
              <w:left w:val="nil"/>
              <w:bottom w:val="nil"/>
              <w:right w:val="single" w:sz="8" w:space="0" w:color="auto"/>
            </w:tcBorders>
            <w:noWrap/>
            <w:tcMar>
              <w:top w:w="0" w:type="dxa"/>
              <w:left w:w="108" w:type="dxa"/>
              <w:bottom w:w="0" w:type="dxa"/>
              <w:right w:w="108" w:type="dxa"/>
            </w:tcMar>
            <w:vAlign w:val="bottom"/>
            <w:hideMark/>
          </w:tcPr>
          <w:p w14:paraId="1889E932" w14:textId="77777777" w:rsidR="00326473" w:rsidRDefault="00326473" w:rsidP="008020F6">
            <w:pPr>
              <w:rPr>
                <w:color w:val="000000"/>
              </w:rPr>
            </w:pPr>
            <w:r>
              <w:rPr>
                <w:color w:val="000000"/>
              </w:rPr>
              <w:t xml:space="preserve">$161,113,542 </w:t>
            </w:r>
          </w:p>
        </w:tc>
      </w:tr>
      <w:tr w:rsidR="00326473" w14:paraId="727DB39B" w14:textId="77777777" w:rsidTr="00390BD7">
        <w:trPr>
          <w:trHeight w:hRule="exact" w:val="360"/>
        </w:trPr>
        <w:tc>
          <w:tcPr>
            <w:tcW w:w="328" w:type="dxa"/>
            <w:noWrap/>
            <w:tcMar>
              <w:top w:w="0" w:type="dxa"/>
              <w:left w:w="108" w:type="dxa"/>
              <w:bottom w:w="0" w:type="dxa"/>
              <w:right w:w="108" w:type="dxa"/>
            </w:tcMar>
            <w:vAlign w:val="bottom"/>
            <w:hideMark/>
          </w:tcPr>
          <w:p w14:paraId="5C9B286C" w14:textId="77777777" w:rsidR="00326473" w:rsidRDefault="00326473" w:rsidP="008020F6">
            <w:pPr>
              <w:jc w:val="right"/>
              <w:rPr>
                <w:color w:val="000000"/>
              </w:rPr>
            </w:pPr>
            <w:r>
              <w:rPr>
                <w:color w:val="000000"/>
              </w:rPr>
              <w:t>2</w:t>
            </w:r>
          </w:p>
        </w:tc>
        <w:tc>
          <w:tcPr>
            <w:tcW w:w="7052" w:type="dxa"/>
            <w:gridSpan w:val="2"/>
            <w:tcBorders>
              <w:top w:val="nil"/>
              <w:left w:val="single" w:sz="8" w:space="0" w:color="auto"/>
              <w:bottom w:val="nil"/>
              <w:right w:val="nil"/>
            </w:tcBorders>
            <w:noWrap/>
            <w:tcMar>
              <w:top w:w="0" w:type="dxa"/>
              <w:left w:w="108" w:type="dxa"/>
              <w:bottom w:w="0" w:type="dxa"/>
              <w:right w:w="108" w:type="dxa"/>
            </w:tcMar>
            <w:vAlign w:val="bottom"/>
            <w:hideMark/>
          </w:tcPr>
          <w:p w14:paraId="476A9C2A" w14:textId="77777777" w:rsidR="00326473" w:rsidRDefault="00326473" w:rsidP="008020F6">
            <w:pPr>
              <w:rPr>
                <w:b/>
                <w:bCs/>
                <w:color w:val="000000"/>
              </w:rPr>
            </w:pPr>
            <w:r>
              <w:rPr>
                <w:b/>
                <w:bCs/>
                <w:color w:val="000000"/>
              </w:rPr>
              <w:t>Other Restricted Account Balances</w:t>
            </w:r>
          </w:p>
        </w:tc>
        <w:tc>
          <w:tcPr>
            <w:tcW w:w="1530" w:type="dxa"/>
            <w:tcBorders>
              <w:top w:val="nil"/>
              <w:left w:val="nil"/>
              <w:bottom w:val="nil"/>
              <w:right w:val="single" w:sz="8" w:space="0" w:color="auto"/>
            </w:tcBorders>
            <w:noWrap/>
            <w:tcMar>
              <w:top w:w="0" w:type="dxa"/>
              <w:left w:w="108" w:type="dxa"/>
              <w:bottom w:w="0" w:type="dxa"/>
              <w:right w:w="108" w:type="dxa"/>
            </w:tcMar>
            <w:vAlign w:val="bottom"/>
            <w:hideMark/>
          </w:tcPr>
          <w:p w14:paraId="5FF5C46F" w14:textId="77777777" w:rsidR="00326473" w:rsidRDefault="00326473" w:rsidP="008020F6">
            <w:pPr>
              <w:rPr>
                <w:color w:val="000000"/>
              </w:rPr>
            </w:pPr>
            <w:r>
              <w:rPr>
                <w:color w:val="000000"/>
              </w:rPr>
              <w:t> </w:t>
            </w:r>
          </w:p>
        </w:tc>
      </w:tr>
      <w:tr w:rsidR="00326473" w14:paraId="65F8B9F5" w14:textId="77777777" w:rsidTr="00390BD7">
        <w:trPr>
          <w:trHeight w:hRule="exact" w:val="360"/>
        </w:trPr>
        <w:tc>
          <w:tcPr>
            <w:tcW w:w="328" w:type="dxa"/>
            <w:noWrap/>
            <w:tcMar>
              <w:top w:w="0" w:type="dxa"/>
              <w:left w:w="108" w:type="dxa"/>
              <w:bottom w:w="0" w:type="dxa"/>
              <w:right w:w="108" w:type="dxa"/>
            </w:tcMar>
            <w:vAlign w:val="bottom"/>
            <w:hideMark/>
          </w:tcPr>
          <w:p w14:paraId="5B6046FB" w14:textId="77777777" w:rsidR="00326473" w:rsidRDefault="00326473" w:rsidP="008020F6">
            <w:pPr>
              <w:rPr>
                <w:color w:val="000000"/>
              </w:rPr>
            </w:pPr>
          </w:p>
        </w:tc>
        <w:tc>
          <w:tcPr>
            <w:tcW w:w="7052" w:type="dxa"/>
            <w:gridSpan w:val="2"/>
            <w:tcBorders>
              <w:top w:val="nil"/>
              <w:left w:val="single" w:sz="8" w:space="0" w:color="auto"/>
              <w:bottom w:val="nil"/>
              <w:right w:val="nil"/>
            </w:tcBorders>
            <w:noWrap/>
            <w:tcMar>
              <w:top w:w="0" w:type="dxa"/>
              <w:left w:w="108" w:type="dxa"/>
              <w:bottom w:w="0" w:type="dxa"/>
              <w:right w:w="108" w:type="dxa"/>
            </w:tcMar>
            <w:vAlign w:val="bottom"/>
            <w:hideMark/>
          </w:tcPr>
          <w:p w14:paraId="178FE6D3" w14:textId="77777777" w:rsidR="00326473" w:rsidRDefault="00326473" w:rsidP="008020F6">
            <w:pPr>
              <w:jc w:val="right"/>
              <w:rPr>
                <w:i/>
                <w:iCs/>
                <w:color w:val="000000"/>
              </w:rPr>
            </w:pPr>
            <w:r>
              <w:rPr>
                <w:i/>
                <w:iCs/>
                <w:color w:val="000000"/>
              </w:rPr>
              <w:t>Primarily Fee, Sales &amp; Service, and Research Revenue</w:t>
            </w:r>
          </w:p>
        </w:tc>
        <w:tc>
          <w:tcPr>
            <w:tcW w:w="1530" w:type="dxa"/>
            <w:tcBorders>
              <w:top w:val="nil"/>
              <w:left w:val="nil"/>
              <w:bottom w:val="nil"/>
              <w:right w:val="single" w:sz="8" w:space="0" w:color="auto"/>
            </w:tcBorders>
            <w:noWrap/>
            <w:tcMar>
              <w:top w:w="0" w:type="dxa"/>
              <w:left w:w="108" w:type="dxa"/>
              <w:bottom w:w="0" w:type="dxa"/>
              <w:right w:w="108" w:type="dxa"/>
            </w:tcMar>
            <w:vAlign w:val="bottom"/>
            <w:hideMark/>
          </w:tcPr>
          <w:p w14:paraId="0696E5C0" w14:textId="77777777" w:rsidR="00326473" w:rsidRDefault="00326473" w:rsidP="008020F6">
            <w:pPr>
              <w:rPr>
                <w:color w:val="000000"/>
              </w:rPr>
            </w:pPr>
            <w:r>
              <w:rPr>
                <w:color w:val="000000"/>
              </w:rPr>
              <w:t xml:space="preserve">$53,788,445 </w:t>
            </w:r>
          </w:p>
        </w:tc>
      </w:tr>
      <w:tr w:rsidR="00326473" w14:paraId="3105498A" w14:textId="77777777" w:rsidTr="00390BD7">
        <w:trPr>
          <w:trHeight w:hRule="exact" w:val="360"/>
        </w:trPr>
        <w:tc>
          <w:tcPr>
            <w:tcW w:w="328" w:type="dxa"/>
            <w:noWrap/>
            <w:tcMar>
              <w:top w:w="0" w:type="dxa"/>
              <w:left w:w="108" w:type="dxa"/>
              <w:bottom w:w="0" w:type="dxa"/>
              <w:right w:w="108" w:type="dxa"/>
            </w:tcMar>
            <w:vAlign w:val="bottom"/>
            <w:hideMark/>
          </w:tcPr>
          <w:p w14:paraId="1202E996" w14:textId="77777777" w:rsidR="00326473" w:rsidRDefault="00326473" w:rsidP="008020F6">
            <w:pPr>
              <w:jc w:val="right"/>
              <w:rPr>
                <w:color w:val="000000"/>
              </w:rPr>
            </w:pPr>
            <w:r>
              <w:rPr>
                <w:color w:val="000000"/>
              </w:rPr>
              <w:t>3</w:t>
            </w:r>
          </w:p>
        </w:tc>
        <w:tc>
          <w:tcPr>
            <w:tcW w:w="7052" w:type="dxa"/>
            <w:gridSpan w:val="2"/>
            <w:tcBorders>
              <w:top w:val="nil"/>
              <w:left w:val="single" w:sz="8" w:space="0" w:color="auto"/>
              <w:bottom w:val="nil"/>
              <w:right w:val="nil"/>
            </w:tcBorders>
            <w:noWrap/>
            <w:tcMar>
              <w:top w:w="0" w:type="dxa"/>
              <w:left w:w="108" w:type="dxa"/>
              <w:bottom w:w="0" w:type="dxa"/>
              <w:right w:w="108" w:type="dxa"/>
            </w:tcMar>
            <w:vAlign w:val="bottom"/>
            <w:hideMark/>
          </w:tcPr>
          <w:p w14:paraId="14C7E375" w14:textId="77777777" w:rsidR="00326473" w:rsidRDefault="00326473" w:rsidP="008020F6">
            <w:pPr>
              <w:rPr>
                <w:b/>
                <w:bCs/>
                <w:color w:val="000000"/>
              </w:rPr>
            </w:pPr>
            <w:r>
              <w:rPr>
                <w:b/>
                <w:bCs/>
                <w:color w:val="000000"/>
              </w:rPr>
              <w:t>Auxiliary Account Balances</w:t>
            </w:r>
          </w:p>
        </w:tc>
        <w:tc>
          <w:tcPr>
            <w:tcW w:w="1530" w:type="dxa"/>
            <w:tcBorders>
              <w:top w:val="nil"/>
              <w:left w:val="nil"/>
              <w:bottom w:val="nil"/>
              <w:right w:val="single" w:sz="8" w:space="0" w:color="auto"/>
            </w:tcBorders>
            <w:noWrap/>
            <w:tcMar>
              <w:top w:w="0" w:type="dxa"/>
              <w:left w:w="108" w:type="dxa"/>
              <w:bottom w:w="0" w:type="dxa"/>
              <w:right w:w="108" w:type="dxa"/>
            </w:tcMar>
            <w:vAlign w:val="bottom"/>
            <w:hideMark/>
          </w:tcPr>
          <w:p w14:paraId="536DA950" w14:textId="77777777" w:rsidR="00326473" w:rsidRDefault="00326473" w:rsidP="008020F6">
            <w:pPr>
              <w:rPr>
                <w:color w:val="000000"/>
              </w:rPr>
            </w:pPr>
            <w:r>
              <w:rPr>
                <w:color w:val="000000"/>
              </w:rPr>
              <w:t> </w:t>
            </w:r>
          </w:p>
        </w:tc>
      </w:tr>
      <w:tr w:rsidR="00326473" w14:paraId="0F6D4473" w14:textId="77777777" w:rsidTr="00390BD7">
        <w:trPr>
          <w:trHeight w:hRule="exact" w:val="360"/>
        </w:trPr>
        <w:tc>
          <w:tcPr>
            <w:tcW w:w="328" w:type="dxa"/>
            <w:noWrap/>
            <w:tcMar>
              <w:top w:w="0" w:type="dxa"/>
              <w:left w:w="108" w:type="dxa"/>
              <w:bottom w:w="0" w:type="dxa"/>
              <w:right w:w="108" w:type="dxa"/>
            </w:tcMar>
            <w:vAlign w:val="bottom"/>
            <w:hideMark/>
          </w:tcPr>
          <w:p w14:paraId="32E3070E" w14:textId="77777777" w:rsidR="00326473" w:rsidRDefault="00326473" w:rsidP="008020F6">
            <w:pPr>
              <w:rPr>
                <w:color w:val="000000"/>
              </w:rPr>
            </w:pPr>
          </w:p>
        </w:tc>
        <w:tc>
          <w:tcPr>
            <w:tcW w:w="7052" w:type="dxa"/>
            <w:gridSpan w:val="2"/>
            <w:tcBorders>
              <w:top w:val="nil"/>
              <w:left w:val="single" w:sz="8" w:space="0" w:color="auto"/>
              <w:bottom w:val="nil"/>
              <w:right w:val="nil"/>
            </w:tcBorders>
            <w:noWrap/>
            <w:tcMar>
              <w:top w:w="0" w:type="dxa"/>
              <w:left w:w="108" w:type="dxa"/>
              <w:bottom w:w="0" w:type="dxa"/>
              <w:right w:w="108" w:type="dxa"/>
            </w:tcMar>
            <w:vAlign w:val="bottom"/>
            <w:hideMark/>
          </w:tcPr>
          <w:p w14:paraId="4A926858" w14:textId="77777777" w:rsidR="00326473" w:rsidRDefault="00326473" w:rsidP="008020F6">
            <w:pPr>
              <w:jc w:val="right"/>
              <w:rPr>
                <w:i/>
                <w:iCs/>
                <w:color w:val="000000"/>
              </w:rPr>
            </w:pPr>
            <w:r>
              <w:rPr>
                <w:i/>
                <w:iCs/>
                <w:color w:val="000000"/>
              </w:rPr>
              <w:t>Primarily Housing, Athletics, Parking and Transit</w:t>
            </w:r>
          </w:p>
        </w:tc>
        <w:tc>
          <w:tcPr>
            <w:tcW w:w="1530" w:type="dxa"/>
            <w:tcBorders>
              <w:top w:val="nil"/>
              <w:left w:val="nil"/>
              <w:bottom w:val="nil"/>
              <w:right w:val="single" w:sz="8" w:space="0" w:color="auto"/>
            </w:tcBorders>
            <w:noWrap/>
            <w:tcMar>
              <w:top w:w="0" w:type="dxa"/>
              <w:left w:w="108" w:type="dxa"/>
              <w:bottom w:w="0" w:type="dxa"/>
              <w:right w:w="108" w:type="dxa"/>
            </w:tcMar>
            <w:vAlign w:val="bottom"/>
            <w:hideMark/>
          </w:tcPr>
          <w:p w14:paraId="6DB9E403" w14:textId="77777777" w:rsidR="00326473" w:rsidRDefault="00326473" w:rsidP="008020F6">
            <w:pPr>
              <w:rPr>
                <w:color w:val="000000"/>
              </w:rPr>
            </w:pPr>
            <w:r>
              <w:rPr>
                <w:color w:val="000000"/>
              </w:rPr>
              <w:t xml:space="preserve">$44,497,583 </w:t>
            </w:r>
          </w:p>
        </w:tc>
      </w:tr>
      <w:tr w:rsidR="00326473" w14:paraId="4E87081C" w14:textId="77777777" w:rsidTr="00390BD7">
        <w:trPr>
          <w:trHeight w:hRule="exact" w:val="360"/>
        </w:trPr>
        <w:tc>
          <w:tcPr>
            <w:tcW w:w="328" w:type="dxa"/>
            <w:noWrap/>
            <w:tcMar>
              <w:top w:w="0" w:type="dxa"/>
              <w:left w:w="108" w:type="dxa"/>
              <w:bottom w:w="0" w:type="dxa"/>
              <w:right w:w="108" w:type="dxa"/>
            </w:tcMar>
            <w:vAlign w:val="bottom"/>
            <w:hideMark/>
          </w:tcPr>
          <w:p w14:paraId="6DE79EE8" w14:textId="77777777" w:rsidR="00326473" w:rsidRDefault="00326473" w:rsidP="008020F6">
            <w:pPr>
              <w:jc w:val="right"/>
              <w:rPr>
                <w:color w:val="000000"/>
              </w:rPr>
            </w:pPr>
            <w:r>
              <w:rPr>
                <w:color w:val="000000"/>
              </w:rPr>
              <w:t>4</w:t>
            </w:r>
          </w:p>
        </w:tc>
        <w:tc>
          <w:tcPr>
            <w:tcW w:w="7052" w:type="dxa"/>
            <w:gridSpan w:val="2"/>
            <w:tcBorders>
              <w:top w:val="nil"/>
              <w:left w:val="single" w:sz="8" w:space="0" w:color="auto"/>
              <w:bottom w:val="nil"/>
              <w:right w:val="nil"/>
            </w:tcBorders>
            <w:noWrap/>
            <w:tcMar>
              <w:top w:w="0" w:type="dxa"/>
              <w:left w:w="108" w:type="dxa"/>
              <w:bottom w:w="0" w:type="dxa"/>
              <w:right w:w="108" w:type="dxa"/>
            </w:tcMar>
            <w:vAlign w:val="bottom"/>
            <w:hideMark/>
          </w:tcPr>
          <w:p w14:paraId="69C80DC9" w14:textId="77777777" w:rsidR="00326473" w:rsidRDefault="00326473" w:rsidP="008020F6">
            <w:pPr>
              <w:rPr>
                <w:b/>
                <w:bCs/>
                <w:color w:val="000000"/>
              </w:rPr>
            </w:pPr>
            <w:r>
              <w:rPr>
                <w:b/>
                <w:bCs/>
                <w:color w:val="000000"/>
              </w:rPr>
              <w:t>Committed Plant Funds</w:t>
            </w:r>
          </w:p>
        </w:tc>
        <w:tc>
          <w:tcPr>
            <w:tcW w:w="1530" w:type="dxa"/>
            <w:tcBorders>
              <w:top w:val="nil"/>
              <w:left w:val="nil"/>
              <w:bottom w:val="nil"/>
              <w:right w:val="single" w:sz="8" w:space="0" w:color="auto"/>
            </w:tcBorders>
            <w:noWrap/>
            <w:tcMar>
              <w:top w:w="0" w:type="dxa"/>
              <w:left w:w="108" w:type="dxa"/>
              <w:bottom w:w="0" w:type="dxa"/>
              <w:right w:w="108" w:type="dxa"/>
            </w:tcMar>
            <w:vAlign w:val="bottom"/>
            <w:hideMark/>
          </w:tcPr>
          <w:p w14:paraId="3AC5BA40" w14:textId="77777777" w:rsidR="00326473" w:rsidRDefault="00326473" w:rsidP="008020F6">
            <w:pPr>
              <w:rPr>
                <w:color w:val="000000"/>
              </w:rPr>
            </w:pPr>
          </w:p>
        </w:tc>
      </w:tr>
      <w:tr w:rsidR="00326473" w14:paraId="61447332" w14:textId="77777777" w:rsidTr="00390BD7">
        <w:trPr>
          <w:trHeight w:hRule="exact" w:val="360"/>
        </w:trPr>
        <w:tc>
          <w:tcPr>
            <w:tcW w:w="328" w:type="dxa"/>
            <w:noWrap/>
            <w:tcMar>
              <w:top w:w="0" w:type="dxa"/>
              <w:left w:w="108" w:type="dxa"/>
              <w:bottom w:w="0" w:type="dxa"/>
              <w:right w:w="108" w:type="dxa"/>
            </w:tcMar>
            <w:vAlign w:val="bottom"/>
            <w:hideMark/>
          </w:tcPr>
          <w:p w14:paraId="2D4EF25D" w14:textId="77777777" w:rsidR="00326473" w:rsidRDefault="00326473" w:rsidP="008020F6">
            <w:pPr>
              <w:rPr>
                <w:color w:val="000000"/>
              </w:rPr>
            </w:pPr>
          </w:p>
        </w:tc>
        <w:tc>
          <w:tcPr>
            <w:tcW w:w="7052" w:type="dxa"/>
            <w:gridSpan w:val="2"/>
            <w:tcBorders>
              <w:top w:val="nil"/>
              <w:left w:val="single" w:sz="8" w:space="0" w:color="auto"/>
              <w:bottom w:val="nil"/>
              <w:right w:val="nil"/>
            </w:tcBorders>
            <w:noWrap/>
            <w:tcMar>
              <w:top w:w="0" w:type="dxa"/>
              <w:left w:w="108" w:type="dxa"/>
              <w:bottom w:w="0" w:type="dxa"/>
              <w:right w:w="108" w:type="dxa"/>
            </w:tcMar>
            <w:vAlign w:val="bottom"/>
            <w:hideMark/>
          </w:tcPr>
          <w:p w14:paraId="48B4AB9B" w14:textId="77777777" w:rsidR="00326473" w:rsidRDefault="00326473" w:rsidP="008020F6">
            <w:pPr>
              <w:jc w:val="right"/>
              <w:rPr>
                <w:i/>
                <w:iCs/>
                <w:color w:val="000000"/>
              </w:rPr>
            </w:pPr>
            <w:r>
              <w:rPr>
                <w:i/>
                <w:iCs/>
                <w:color w:val="000000"/>
              </w:rPr>
              <w:t>Primarily Auxiliary and HEF facility reserves</w:t>
            </w:r>
          </w:p>
        </w:tc>
        <w:tc>
          <w:tcPr>
            <w:tcW w:w="1530" w:type="dxa"/>
            <w:tcBorders>
              <w:top w:val="nil"/>
              <w:left w:val="nil"/>
              <w:bottom w:val="nil"/>
              <w:right w:val="single" w:sz="8" w:space="0" w:color="auto"/>
            </w:tcBorders>
            <w:noWrap/>
            <w:tcMar>
              <w:top w:w="0" w:type="dxa"/>
              <w:left w:w="108" w:type="dxa"/>
              <w:bottom w:w="0" w:type="dxa"/>
              <w:right w:w="108" w:type="dxa"/>
            </w:tcMar>
            <w:vAlign w:val="bottom"/>
            <w:hideMark/>
          </w:tcPr>
          <w:p w14:paraId="562840A2" w14:textId="77777777" w:rsidR="00326473" w:rsidRDefault="00326473" w:rsidP="008020F6">
            <w:pPr>
              <w:rPr>
                <w:color w:val="000000"/>
              </w:rPr>
            </w:pPr>
            <w:r>
              <w:rPr>
                <w:color w:val="000000"/>
              </w:rPr>
              <w:t>$111,670,834</w:t>
            </w:r>
          </w:p>
        </w:tc>
      </w:tr>
      <w:tr w:rsidR="00326473" w14:paraId="77DE4257" w14:textId="77777777" w:rsidTr="00390BD7">
        <w:trPr>
          <w:trHeight w:hRule="exact" w:val="360"/>
        </w:trPr>
        <w:tc>
          <w:tcPr>
            <w:tcW w:w="328" w:type="dxa"/>
            <w:noWrap/>
            <w:tcMar>
              <w:top w:w="0" w:type="dxa"/>
              <w:left w:w="108" w:type="dxa"/>
              <w:bottom w:w="0" w:type="dxa"/>
              <w:right w:w="108" w:type="dxa"/>
            </w:tcMar>
            <w:vAlign w:val="bottom"/>
            <w:hideMark/>
          </w:tcPr>
          <w:p w14:paraId="1A043808" w14:textId="77777777" w:rsidR="00326473" w:rsidRDefault="00326473" w:rsidP="008020F6">
            <w:pPr>
              <w:jc w:val="right"/>
              <w:rPr>
                <w:color w:val="000000"/>
              </w:rPr>
            </w:pPr>
            <w:r>
              <w:rPr>
                <w:color w:val="000000"/>
              </w:rPr>
              <w:t>5</w:t>
            </w:r>
          </w:p>
        </w:tc>
        <w:tc>
          <w:tcPr>
            <w:tcW w:w="7052" w:type="dxa"/>
            <w:gridSpan w:val="2"/>
            <w:tcBorders>
              <w:top w:val="nil"/>
              <w:left w:val="single" w:sz="8" w:space="0" w:color="auto"/>
              <w:bottom w:val="nil"/>
              <w:right w:val="nil"/>
            </w:tcBorders>
            <w:noWrap/>
            <w:tcMar>
              <w:top w:w="0" w:type="dxa"/>
              <w:left w:w="108" w:type="dxa"/>
              <w:bottom w:w="0" w:type="dxa"/>
              <w:right w:w="108" w:type="dxa"/>
            </w:tcMar>
            <w:vAlign w:val="bottom"/>
            <w:hideMark/>
          </w:tcPr>
          <w:p w14:paraId="2EE64FD7" w14:textId="77777777" w:rsidR="00326473" w:rsidRDefault="00326473" w:rsidP="008020F6">
            <w:pPr>
              <w:jc w:val="both"/>
              <w:rPr>
                <w:b/>
                <w:bCs/>
                <w:color w:val="000000"/>
              </w:rPr>
            </w:pPr>
            <w:r>
              <w:rPr>
                <w:b/>
                <w:bCs/>
                <w:color w:val="000000"/>
              </w:rPr>
              <w:t xml:space="preserve">Quasi-Endowments                       </w:t>
            </w:r>
          </w:p>
        </w:tc>
        <w:tc>
          <w:tcPr>
            <w:tcW w:w="1530" w:type="dxa"/>
            <w:tcBorders>
              <w:top w:val="nil"/>
              <w:left w:val="nil"/>
              <w:bottom w:val="nil"/>
              <w:right w:val="single" w:sz="8" w:space="0" w:color="auto"/>
            </w:tcBorders>
            <w:noWrap/>
            <w:tcMar>
              <w:top w:w="0" w:type="dxa"/>
              <w:left w:w="108" w:type="dxa"/>
              <w:bottom w:w="0" w:type="dxa"/>
              <w:right w:w="108" w:type="dxa"/>
            </w:tcMar>
            <w:vAlign w:val="bottom"/>
            <w:hideMark/>
          </w:tcPr>
          <w:p w14:paraId="5491C924" w14:textId="77777777" w:rsidR="00326473" w:rsidRDefault="00326473" w:rsidP="008020F6">
            <w:pPr>
              <w:rPr>
                <w:color w:val="000000"/>
              </w:rPr>
            </w:pPr>
          </w:p>
        </w:tc>
      </w:tr>
      <w:tr w:rsidR="00326473" w14:paraId="48120DB2" w14:textId="77777777" w:rsidTr="00390BD7">
        <w:trPr>
          <w:trHeight w:hRule="exact" w:val="360"/>
        </w:trPr>
        <w:tc>
          <w:tcPr>
            <w:tcW w:w="328" w:type="dxa"/>
            <w:noWrap/>
            <w:tcMar>
              <w:top w:w="0" w:type="dxa"/>
              <w:left w:w="108" w:type="dxa"/>
              <w:bottom w:w="0" w:type="dxa"/>
              <w:right w:w="108" w:type="dxa"/>
            </w:tcMar>
            <w:vAlign w:val="bottom"/>
          </w:tcPr>
          <w:p w14:paraId="24A402C3" w14:textId="77777777" w:rsidR="00326473" w:rsidRDefault="00326473" w:rsidP="008020F6">
            <w:pPr>
              <w:jc w:val="right"/>
              <w:rPr>
                <w:color w:val="000000"/>
              </w:rPr>
            </w:pPr>
          </w:p>
        </w:tc>
        <w:tc>
          <w:tcPr>
            <w:tcW w:w="7052" w:type="dxa"/>
            <w:gridSpan w:val="2"/>
            <w:tcBorders>
              <w:top w:val="nil"/>
              <w:left w:val="single" w:sz="8" w:space="0" w:color="auto"/>
              <w:bottom w:val="nil"/>
              <w:right w:val="nil"/>
            </w:tcBorders>
            <w:noWrap/>
            <w:tcMar>
              <w:top w:w="0" w:type="dxa"/>
              <w:left w:w="108" w:type="dxa"/>
              <w:bottom w:w="0" w:type="dxa"/>
              <w:right w:w="108" w:type="dxa"/>
            </w:tcMar>
            <w:vAlign w:val="bottom"/>
          </w:tcPr>
          <w:p w14:paraId="430AAFC2" w14:textId="77777777" w:rsidR="00326473" w:rsidRDefault="00326473" w:rsidP="008020F6">
            <w:pPr>
              <w:jc w:val="right"/>
              <w:rPr>
                <w:b/>
                <w:bCs/>
                <w:color w:val="000000"/>
              </w:rPr>
            </w:pPr>
            <w:r w:rsidRPr="00BF0A54">
              <w:rPr>
                <w:i/>
                <w:iCs/>
                <w:color w:val="000000"/>
              </w:rPr>
              <w:t>Requir</w:t>
            </w:r>
            <w:r>
              <w:rPr>
                <w:i/>
                <w:iCs/>
                <w:color w:val="000000"/>
              </w:rPr>
              <w:t xml:space="preserve">e </w:t>
            </w:r>
            <w:r w:rsidRPr="00BF0A54">
              <w:rPr>
                <w:i/>
                <w:iCs/>
                <w:color w:val="000000"/>
              </w:rPr>
              <w:t>Board of Regents Approval to spend</w:t>
            </w:r>
          </w:p>
        </w:tc>
        <w:tc>
          <w:tcPr>
            <w:tcW w:w="1530" w:type="dxa"/>
            <w:tcBorders>
              <w:top w:val="nil"/>
              <w:left w:val="nil"/>
              <w:bottom w:val="nil"/>
              <w:right w:val="single" w:sz="8" w:space="0" w:color="auto"/>
            </w:tcBorders>
            <w:noWrap/>
            <w:tcMar>
              <w:top w:w="0" w:type="dxa"/>
              <w:left w:w="108" w:type="dxa"/>
              <w:bottom w:w="0" w:type="dxa"/>
              <w:right w:w="108" w:type="dxa"/>
            </w:tcMar>
            <w:vAlign w:val="bottom"/>
          </w:tcPr>
          <w:p w14:paraId="0C0572CE" w14:textId="77777777" w:rsidR="00326473" w:rsidRDefault="00326473" w:rsidP="008020F6">
            <w:pPr>
              <w:rPr>
                <w:color w:val="000000"/>
              </w:rPr>
            </w:pPr>
            <w:r>
              <w:rPr>
                <w:color w:val="000000"/>
              </w:rPr>
              <w:t>$138,544,914</w:t>
            </w:r>
          </w:p>
        </w:tc>
      </w:tr>
      <w:tr w:rsidR="00326473" w14:paraId="674D8990" w14:textId="77777777" w:rsidTr="00390BD7">
        <w:trPr>
          <w:trHeight w:hRule="exact" w:val="360"/>
        </w:trPr>
        <w:tc>
          <w:tcPr>
            <w:tcW w:w="328" w:type="dxa"/>
            <w:noWrap/>
            <w:tcMar>
              <w:top w:w="0" w:type="dxa"/>
              <w:left w:w="108" w:type="dxa"/>
              <w:bottom w:w="0" w:type="dxa"/>
              <w:right w:w="108" w:type="dxa"/>
            </w:tcMar>
            <w:vAlign w:val="bottom"/>
            <w:hideMark/>
          </w:tcPr>
          <w:p w14:paraId="77A43CBA" w14:textId="77777777" w:rsidR="00326473" w:rsidRDefault="00326473" w:rsidP="008020F6">
            <w:pPr>
              <w:jc w:val="right"/>
              <w:rPr>
                <w:color w:val="000000"/>
              </w:rPr>
            </w:pPr>
            <w:r>
              <w:rPr>
                <w:color w:val="000000"/>
              </w:rPr>
              <w:t>6</w:t>
            </w:r>
          </w:p>
        </w:tc>
        <w:tc>
          <w:tcPr>
            <w:tcW w:w="7052" w:type="dxa"/>
            <w:gridSpan w:val="2"/>
            <w:tcBorders>
              <w:top w:val="nil"/>
              <w:left w:val="single" w:sz="8" w:space="0" w:color="auto"/>
              <w:bottom w:val="nil"/>
              <w:right w:val="nil"/>
            </w:tcBorders>
            <w:noWrap/>
            <w:tcMar>
              <w:top w:w="0" w:type="dxa"/>
              <w:left w:w="108" w:type="dxa"/>
              <w:bottom w:w="0" w:type="dxa"/>
              <w:right w:w="108" w:type="dxa"/>
            </w:tcMar>
            <w:vAlign w:val="bottom"/>
            <w:hideMark/>
          </w:tcPr>
          <w:p w14:paraId="72BAAE51" w14:textId="77777777" w:rsidR="00326473" w:rsidRDefault="00326473" w:rsidP="008020F6">
            <w:pPr>
              <w:rPr>
                <w:b/>
                <w:bCs/>
                <w:color w:val="000000"/>
              </w:rPr>
            </w:pPr>
            <w:r>
              <w:rPr>
                <w:b/>
                <w:bCs/>
                <w:color w:val="000000"/>
              </w:rPr>
              <w:t>Prepaid Items</w:t>
            </w:r>
          </w:p>
        </w:tc>
        <w:tc>
          <w:tcPr>
            <w:tcW w:w="1530" w:type="dxa"/>
            <w:tcBorders>
              <w:top w:val="nil"/>
              <w:left w:val="nil"/>
              <w:bottom w:val="nil"/>
              <w:right w:val="single" w:sz="8" w:space="0" w:color="auto"/>
            </w:tcBorders>
            <w:noWrap/>
            <w:tcMar>
              <w:top w:w="0" w:type="dxa"/>
              <w:left w:w="108" w:type="dxa"/>
              <w:bottom w:w="0" w:type="dxa"/>
              <w:right w:w="108" w:type="dxa"/>
            </w:tcMar>
            <w:vAlign w:val="bottom"/>
            <w:hideMark/>
          </w:tcPr>
          <w:p w14:paraId="7EBE5847" w14:textId="77777777" w:rsidR="00326473" w:rsidRDefault="00326473" w:rsidP="008020F6">
            <w:pPr>
              <w:rPr>
                <w:color w:val="000000"/>
              </w:rPr>
            </w:pPr>
          </w:p>
        </w:tc>
      </w:tr>
      <w:tr w:rsidR="00326473" w14:paraId="3C919E50" w14:textId="77777777" w:rsidTr="00390BD7">
        <w:trPr>
          <w:trHeight w:hRule="exact" w:val="360"/>
        </w:trPr>
        <w:tc>
          <w:tcPr>
            <w:tcW w:w="328" w:type="dxa"/>
            <w:noWrap/>
            <w:tcMar>
              <w:top w:w="0" w:type="dxa"/>
              <w:left w:w="108" w:type="dxa"/>
              <w:bottom w:w="0" w:type="dxa"/>
              <w:right w:w="108" w:type="dxa"/>
            </w:tcMar>
            <w:vAlign w:val="bottom"/>
            <w:hideMark/>
          </w:tcPr>
          <w:p w14:paraId="24A33733" w14:textId="77777777" w:rsidR="00326473" w:rsidRDefault="00326473" w:rsidP="008020F6">
            <w:pPr>
              <w:rPr>
                <w:color w:val="000000"/>
              </w:rPr>
            </w:pPr>
          </w:p>
        </w:tc>
        <w:tc>
          <w:tcPr>
            <w:tcW w:w="7052" w:type="dxa"/>
            <w:gridSpan w:val="2"/>
            <w:tcBorders>
              <w:top w:val="nil"/>
              <w:left w:val="single" w:sz="8" w:space="0" w:color="auto"/>
              <w:bottom w:val="nil"/>
              <w:right w:val="nil"/>
            </w:tcBorders>
            <w:noWrap/>
            <w:tcMar>
              <w:top w:w="0" w:type="dxa"/>
              <w:left w:w="108" w:type="dxa"/>
              <w:bottom w:w="0" w:type="dxa"/>
              <w:right w:w="108" w:type="dxa"/>
            </w:tcMar>
            <w:vAlign w:val="bottom"/>
            <w:hideMark/>
          </w:tcPr>
          <w:p w14:paraId="248969DC" w14:textId="77777777" w:rsidR="00326473" w:rsidRDefault="00326473" w:rsidP="008020F6">
            <w:pPr>
              <w:jc w:val="right"/>
              <w:rPr>
                <w:i/>
                <w:iCs/>
                <w:color w:val="000000"/>
              </w:rPr>
            </w:pPr>
            <w:r>
              <w:rPr>
                <w:i/>
                <w:iCs/>
                <w:color w:val="000000"/>
              </w:rPr>
              <w:t>Primarily Commitments to Student Scholarships</w:t>
            </w:r>
          </w:p>
        </w:tc>
        <w:tc>
          <w:tcPr>
            <w:tcW w:w="1530" w:type="dxa"/>
            <w:tcBorders>
              <w:top w:val="nil"/>
              <w:left w:val="nil"/>
              <w:bottom w:val="nil"/>
              <w:right w:val="single" w:sz="8" w:space="0" w:color="auto"/>
            </w:tcBorders>
            <w:noWrap/>
            <w:tcMar>
              <w:top w:w="0" w:type="dxa"/>
              <w:left w:w="108" w:type="dxa"/>
              <w:bottom w:w="0" w:type="dxa"/>
              <w:right w:w="108" w:type="dxa"/>
            </w:tcMar>
            <w:vAlign w:val="bottom"/>
            <w:hideMark/>
          </w:tcPr>
          <w:p w14:paraId="46AED797" w14:textId="77777777" w:rsidR="00326473" w:rsidRDefault="00326473" w:rsidP="008020F6">
            <w:pPr>
              <w:rPr>
                <w:color w:val="000000"/>
              </w:rPr>
            </w:pPr>
            <w:r>
              <w:rPr>
                <w:color w:val="000000"/>
              </w:rPr>
              <w:t>$44,500,986 </w:t>
            </w:r>
          </w:p>
        </w:tc>
      </w:tr>
      <w:tr w:rsidR="00326473" w14:paraId="5FEAE273" w14:textId="77777777" w:rsidTr="00390BD7">
        <w:trPr>
          <w:trHeight w:hRule="exact" w:val="360"/>
        </w:trPr>
        <w:tc>
          <w:tcPr>
            <w:tcW w:w="328" w:type="dxa"/>
            <w:noWrap/>
            <w:tcMar>
              <w:top w:w="0" w:type="dxa"/>
              <w:left w:w="108" w:type="dxa"/>
              <w:bottom w:w="0" w:type="dxa"/>
              <w:right w:w="108" w:type="dxa"/>
            </w:tcMar>
            <w:vAlign w:val="bottom"/>
            <w:hideMark/>
          </w:tcPr>
          <w:p w14:paraId="39733077" w14:textId="77777777" w:rsidR="00326473" w:rsidRDefault="00326473" w:rsidP="008020F6">
            <w:pPr>
              <w:jc w:val="right"/>
              <w:rPr>
                <w:color w:val="000000"/>
              </w:rPr>
            </w:pPr>
            <w:r>
              <w:rPr>
                <w:color w:val="000000"/>
              </w:rPr>
              <w:t>7</w:t>
            </w:r>
          </w:p>
        </w:tc>
        <w:tc>
          <w:tcPr>
            <w:tcW w:w="7052" w:type="dxa"/>
            <w:gridSpan w:val="2"/>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13171110" w14:textId="77777777" w:rsidR="00326473" w:rsidRDefault="00326473" w:rsidP="008020F6">
            <w:pPr>
              <w:rPr>
                <w:b/>
                <w:bCs/>
                <w:color w:val="000000"/>
              </w:rPr>
            </w:pPr>
            <w:r>
              <w:rPr>
                <w:b/>
                <w:bCs/>
                <w:color w:val="000000"/>
              </w:rPr>
              <w:t>Encumbered Funds Awaiting Expense at Year-End</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F63F64" w14:textId="77777777" w:rsidR="00326473" w:rsidRDefault="00326473" w:rsidP="008020F6">
            <w:pPr>
              <w:rPr>
                <w:color w:val="000000"/>
              </w:rPr>
            </w:pPr>
            <w:r>
              <w:rPr>
                <w:color w:val="000000"/>
              </w:rPr>
              <w:t xml:space="preserve">$12,983,028 </w:t>
            </w:r>
          </w:p>
        </w:tc>
      </w:tr>
      <w:tr w:rsidR="00326473" w14:paraId="6D1DF486" w14:textId="77777777" w:rsidTr="008020F6">
        <w:trPr>
          <w:trHeight w:val="430"/>
        </w:trPr>
        <w:tc>
          <w:tcPr>
            <w:tcW w:w="1018" w:type="dxa"/>
            <w:gridSpan w:val="2"/>
            <w:noWrap/>
            <w:tcMar>
              <w:top w:w="0" w:type="dxa"/>
              <w:left w:w="108" w:type="dxa"/>
              <w:bottom w:w="0" w:type="dxa"/>
              <w:right w:w="108" w:type="dxa"/>
            </w:tcMar>
            <w:vAlign w:val="bottom"/>
            <w:hideMark/>
          </w:tcPr>
          <w:p w14:paraId="50FE512F" w14:textId="77777777" w:rsidR="00326473" w:rsidRDefault="00326473" w:rsidP="008020F6">
            <w:pPr>
              <w:rPr>
                <w:color w:val="000000"/>
              </w:rPr>
            </w:pPr>
          </w:p>
        </w:tc>
        <w:tc>
          <w:tcPr>
            <w:tcW w:w="6362" w:type="dxa"/>
            <w:noWrap/>
            <w:tcMar>
              <w:top w:w="0" w:type="dxa"/>
              <w:left w:w="108" w:type="dxa"/>
              <w:bottom w:w="0" w:type="dxa"/>
              <w:right w:w="108" w:type="dxa"/>
            </w:tcMar>
            <w:vAlign w:val="bottom"/>
            <w:hideMark/>
          </w:tcPr>
          <w:p w14:paraId="477D5822" w14:textId="77777777" w:rsidR="00326473" w:rsidRDefault="00326473" w:rsidP="008020F6">
            <w:pPr>
              <w:jc w:val="both"/>
              <w:rPr>
                <w:b/>
                <w:bCs/>
                <w:color w:val="000000"/>
              </w:rPr>
            </w:pPr>
            <w:r>
              <w:rPr>
                <w:b/>
                <w:bCs/>
                <w:color w:val="000000"/>
              </w:rPr>
              <w:t>Totals to 96.3 percent of Unrestricted Net Assets</w:t>
            </w:r>
          </w:p>
        </w:tc>
        <w:tc>
          <w:tcPr>
            <w:tcW w:w="1530" w:type="dxa"/>
            <w:noWrap/>
            <w:tcMar>
              <w:top w:w="0" w:type="dxa"/>
              <w:left w:w="108" w:type="dxa"/>
              <w:bottom w:w="0" w:type="dxa"/>
              <w:right w:w="108" w:type="dxa"/>
            </w:tcMar>
            <w:vAlign w:val="bottom"/>
            <w:hideMark/>
          </w:tcPr>
          <w:p w14:paraId="2EAAE4F2" w14:textId="77777777" w:rsidR="00326473" w:rsidRDefault="00326473" w:rsidP="008020F6">
            <w:pPr>
              <w:rPr>
                <w:b/>
                <w:bCs/>
                <w:color w:val="000000"/>
              </w:rPr>
            </w:pPr>
            <w:r>
              <w:rPr>
                <w:b/>
                <w:bCs/>
                <w:color w:val="000000"/>
              </w:rPr>
              <w:t xml:space="preserve">$567,099,331 </w:t>
            </w:r>
          </w:p>
        </w:tc>
      </w:tr>
    </w:tbl>
    <w:p w14:paraId="05C5513E" w14:textId="77777777" w:rsidR="000D0E3D" w:rsidRDefault="000D0E3D" w:rsidP="00113718">
      <w:pPr>
        <w:spacing w:line="360" w:lineRule="auto"/>
        <w:rPr>
          <w:sz w:val="24"/>
          <w:szCs w:val="24"/>
          <w:vertAlign w:val="superscript"/>
        </w:rPr>
      </w:pPr>
    </w:p>
    <w:sectPr w:rsidR="000D0E3D" w:rsidSect="00027954">
      <w:footerReference w:type="default" r:id="rId22"/>
      <w:footerReference w:type="first" r:id="rId2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8512F" w14:textId="77777777" w:rsidR="00027954" w:rsidRDefault="00027954" w:rsidP="005F79D9">
      <w:pPr>
        <w:spacing w:after="0" w:line="240" w:lineRule="auto"/>
      </w:pPr>
      <w:r>
        <w:separator/>
      </w:r>
    </w:p>
  </w:endnote>
  <w:endnote w:type="continuationSeparator" w:id="0">
    <w:p w14:paraId="4F4BEA10" w14:textId="77777777" w:rsidR="00027954" w:rsidRDefault="00027954" w:rsidP="005F79D9">
      <w:pPr>
        <w:spacing w:after="0" w:line="240" w:lineRule="auto"/>
      </w:pPr>
      <w:r>
        <w:continuationSeparator/>
      </w:r>
    </w:p>
  </w:endnote>
  <w:endnote w:type="continuationNotice" w:id="1">
    <w:p w14:paraId="16D6BBCF" w14:textId="77777777" w:rsidR="00027954" w:rsidRDefault="000279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48037" w14:textId="587B1E85" w:rsidR="003658EA" w:rsidRDefault="003658EA" w:rsidP="003658EA">
    <w:pPr>
      <w:pStyle w:val="Footer"/>
    </w:pPr>
    <w:r>
      <w:t>Texas State University Financial Health Assessment Fiscal Year 202</w:t>
    </w:r>
    <w:r w:rsidR="00477D0C">
      <w:t>3</w:t>
    </w:r>
    <w:r>
      <w:tab/>
    </w:r>
    <w:sdt>
      <w:sdtPr>
        <w:id w:val="-15193773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72C6104" w14:textId="1376FF80" w:rsidR="008A6A3A" w:rsidRDefault="008A6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62031" w14:textId="34CFF6CF" w:rsidR="003658EA" w:rsidRDefault="0058784A">
    <w:pPr>
      <w:pStyle w:val="Footer"/>
    </w:pPr>
    <w:r>
      <w:tab/>
    </w:r>
    <w:r>
      <w:tab/>
    </w:r>
    <w:r w:rsidR="00246917">
      <w:t xml:space="preserve">April </w:t>
    </w:r>
    <w:r w:rsidR="009273AE">
      <w:t>30</w:t>
    </w:r>
    <w:r w:rsidR="00246917">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45007" w14:textId="77777777" w:rsidR="00027954" w:rsidRDefault="00027954" w:rsidP="005F79D9">
      <w:pPr>
        <w:spacing w:after="0" w:line="240" w:lineRule="auto"/>
      </w:pPr>
      <w:r>
        <w:separator/>
      </w:r>
    </w:p>
  </w:footnote>
  <w:footnote w:type="continuationSeparator" w:id="0">
    <w:p w14:paraId="07281639" w14:textId="77777777" w:rsidR="00027954" w:rsidRDefault="00027954" w:rsidP="005F79D9">
      <w:pPr>
        <w:spacing w:after="0" w:line="240" w:lineRule="auto"/>
      </w:pPr>
      <w:r>
        <w:continuationSeparator/>
      </w:r>
    </w:p>
  </w:footnote>
  <w:footnote w:type="continuationNotice" w:id="1">
    <w:p w14:paraId="3C6889B5" w14:textId="77777777" w:rsidR="00027954" w:rsidRDefault="000279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06624"/>
    <w:multiLevelType w:val="hybridMultilevel"/>
    <w:tmpl w:val="923EF0B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F3FA1"/>
    <w:multiLevelType w:val="hybridMultilevel"/>
    <w:tmpl w:val="BD783C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7458AA"/>
    <w:multiLevelType w:val="hybridMultilevel"/>
    <w:tmpl w:val="D3389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924191"/>
    <w:multiLevelType w:val="hybridMultilevel"/>
    <w:tmpl w:val="86F2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A653E2"/>
    <w:multiLevelType w:val="hybridMultilevel"/>
    <w:tmpl w:val="BD783C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0624409">
    <w:abstractNumId w:val="2"/>
  </w:num>
  <w:num w:numId="2" w16cid:durableId="1881867033">
    <w:abstractNumId w:val="0"/>
  </w:num>
  <w:num w:numId="3" w16cid:durableId="37628826">
    <w:abstractNumId w:val="1"/>
  </w:num>
  <w:num w:numId="4" w16cid:durableId="1459831900">
    <w:abstractNumId w:val="4"/>
  </w:num>
  <w:num w:numId="5" w16cid:durableId="1096252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D9"/>
    <w:rsid w:val="000056BB"/>
    <w:rsid w:val="00005A8F"/>
    <w:rsid w:val="00007FC0"/>
    <w:rsid w:val="00014151"/>
    <w:rsid w:val="0002246A"/>
    <w:rsid w:val="00024EB2"/>
    <w:rsid w:val="00027954"/>
    <w:rsid w:val="00030E78"/>
    <w:rsid w:val="00031DA2"/>
    <w:rsid w:val="00036326"/>
    <w:rsid w:val="00037E29"/>
    <w:rsid w:val="0004032A"/>
    <w:rsid w:val="00040E4D"/>
    <w:rsid w:val="00043CCA"/>
    <w:rsid w:val="00051481"/>
    <w:rsid w:val="000553E0"/>
    <w:rsid w:val="00055A82"/>
    <w:rsid w:val="000560AC"/>
    <w:rsid w:val="000605AE"/>
    <w:rsid w:val="0006338A"/>
    <w:rsid w:val="0009247B"/>
    <w:rsid w:val="0009609A"/>
    <w:rsid w:val="000B32ED"/>
    <w:rsid w:val="000B47C0"/>
    <w:rsid w:val="000B50E4"/>
    <w:rsid w:val="000B55D4"/>
    <w:rsid w:val="000B5CA1"/>
    <w:rsid w:val="000B684D"/>
    <w:rsid w:val="000B769C"/>
    <w:rsid w:val="000C4A09"/>
    <w:rsid w:val="000D0E3D"/>
    <w:rsid w:val="000E3B9F"/>
    <w:rsid w:val="000E4E58"/>
    <w:rsid w:val="000E680B"/>
    <w:rsid w:val="000F035F"/>
    <w:rsid w:val="00100065"/>
    <w:rsid w:val="001064ED"/>
    <w:rsid w:val="00107F22"/>
    <w:rsid w:val="001124BA"/>
    <w:rsid w:val="00112790"/>
    <w:rsid w:val="00113718"/>
    <w:rsid w:val="001138C3"/>
    <w:rsid w:val="0012208B"/>
    <w:rsid w:val="00124E73"/>
    <w:rsid w:val="00132F8A"/>
    <w:rsid w:val="00143ADE"/>
    <w:rsid w:val="00144117"/>
    <w:rsid w:val="00145D5D"/>
    <w:rsid w:val="0014683E"/>
    <w:rsid w:val="001468F1"/>
    <w:rsid w:val="00147009"/>
    <w:rsid w:val="00165A13"/>
    <w:rsid w:val="00165E58"/>
    <w:rsid w:val="0016652F"/>
    <w:rsid w:val="00182F0D"/>
    <w:rsid w:val="00195B99"/>
    <w:rsid w:val="001A0F14"/>
    <w:rsid w:val="001A38A1"/>
    <w:rsid w:val="001A4A8A"/>
    <w:rsid w:val="001A6028"/>
    <w:rsid w:val="001B2A3A"/>
    <w:rsid w:val="001B723D"/>
    <w:rsid w:val="001C553A"/>
    <w:rsid w:val="001C5B7A"/>
    <w:rsid w:val="001D51F0"/>
    <w:rsid w:val="001D65BF"/>
    <w:rsid w:val="001E4B9A"/>
    <w:rsid w:val="001E5EB5"/>
    <w:rsid w:val="001F2B06"/>
    <w:rsid w:val="0020553F"/>
    <w:rsid w:val="00213596"/>
    <w:rsid w:val="002170B2"/>
    <w:rsid w:val="00220C46"/>
    <w:rsid w:val="00234684"/>
    <w:rsid w:val="00234848"/>
    <w:rsid w:val="00240824"/>
    <w:rsid w:val="00246917"/>
    <w:rsid w:val="0024713A"/>
    <w:rsid w:val="00253162"/>
    <w:rsid w:val="00255D78"/>
    <w:rsid w:val="00262549"/>
    <w:rsid w:val="002634AC"/>
    <w:rsid w:val="002655E4"/>
    <w:rsid w:val="00270592"/>
    <w:rsid w:val="00274D22"/>
    <w:rsid w:val="00277220"/>
    <w:rsid w:val="00284E6A"/>
    <w:rsid w:val="00293B58"/>
    <w:rsid w:val="00294976"/>
    <w:rsid w:val="002A0B7D"/>
    <w:rsid w:val="002A6C9B"/>
    <w:rsid w:val="002A71D8"/>
    <w:rsid w:val="002B46AC"/>
    <w:rsid w:val="002C5D2D"/>
    <w:rsid w:val="002D4383"/>
    <w:rsid w:val="002F137F"/>
    <w:rsid w:val="002F35F4"/>
    <w:rsid w:val="002F3716"/>
    <w:rsid w:val="002F4C36"/>
    <w:rsid w:val="002F5E8A"/>
    <w:rsid w:val="00300BD0"/>
    <w:rsid w:val="0030683B"/>
    <w:rsid w:val="0031039C"/>
    <w:rsid w:val="00326473"/>
    <w:rsid w:val="0033210D"/>
    <w:rsid w:val="003345C1"/>
    <w:rsid w:val="0033663C"/>
    <w:rsid w:val="00347F47"/>
    <w:rsid w:val="00357C11"/>
    <w:rsid w:val="00361B37"/>
    <w:rsid w:val="003658EA"/>
    <w:rsid w:val="00383779"/>
    <w:rsid w:val="003908E1"/>
    <w:rsid w:val="00390BD7"/>
    <w:rsid w:val="00390DE5"/>
    <w:rsid w:val="003910A7"/>
    <w:rsid w:val="003948A6"/>
    <w:rsid w:val="00394E7D"/>
    <w:rsid w:val="003A0C4B"/>
    <w:rsid w:val="003A73F5"/>
    <w:rsid w:val="003B3E3D"/>
    <w:rsid w:val="003B7336"/>
    <w:rsid w:val="003B7855"/>
    <w:rsid w:val="003C25BF"/>
    <w:rsid w:val="003D258A"/>
    <w:rsid w:val="003D3156"/>
    <w:rsid w:val="003D40F5"/>
    <w:rsid w:val="003D4D8B"/>
    <w:rsid w:val="003E1FA3"/>
    <w:rsid w:val="003E6EDE"/>
    <w:rsid w:val="003E7747"/>
    <w:rsid w:val="003F0E75"/>
    <w:rsid w:val="003F1FE1"/>
    <w:rsid w:val="003F3107"/>
    <w:rsid w:val="00400A18"/>
    <w:rsid w:val="00405B97"/>
    <w:rsid w:val="0041315A"/>
    <w:rsid w:val="00420A12"/>
    <w:rsid w:val="00425462"/>
    <w:rsid w:val="00432308"/>
    <w:rsid w:val="004418D8"/>
    <w:rsid w:val="00451839"/>
    <w:rsid w:val="00454914"/>
    <w:rsid w:val="00454A8E"/>
    <w:rsid w:val="00457580"/>
    <w:rsid w:val="0045777D"/>
    <w:rsid w:val="00465BA2"/>
    <w:rsid w:val="004660BC"/>
    <w:rsid w:val="00470594"/>
    <w:rsid w:val="00474D64"/>
    <w:rsid w:val="00477D0C"/>
    <w:rsid w:val="00482ED6"/>
    <w:rsid w:val="00484DD8"/>
    <w:rsid w:val="00485D38"/>
    <w:rsid w:val="00487185"/>
    <w:rsid w:val="004900EE"/>
    <w:rsid w:val="004A2AE1"/>
    <w:rsid w:val="004B014E"/>
    <w:rsid w:val="004B31B7"/>
    <w:rsid w:val="004B7869"/>
    <w:rsid w:val="004C1514"/>
    <w:rsid w:val="004C744B"/>
    <w:rsid w:val="004D50ED"/>
    <w:rsid w:val="004D52B5"/>
    <w:rsid w:val="004D61B2"/>
    <w:rsid w:val="004D7454"/>
    <w:rsid w:val="004F30E3"/>
    <w:rsid w:val="004F5164"/>
    <w:rsid w:val="004F5C90"/>
    <w:rsid w:val="00510FDB"/>
    <w:rsid w:val="00536327"/>
    <w:rsid w:val="0053777E"/>
    <w:rsid w:val="00542F4F"/>
    <w:rsid w:val="005445E4"/>
    <w:rsid w:val="00547418"/>
    <w:rsid w:val="00551A39"/>
    <w:rsid w:val="00552EC7"/>
    <w:rsid w:val="00554E83"/>
    <w:rsid w:val="00556EBD"/>
    <w:rsid w:val="005718DD"/>
    <w:rsid w:val="00576934"/>
    <w:rsid w:val="005801BF"/>
    <w:rsid w:val="00582E3F"/>
    <w:rsid w:val="0058589A"/>
    <w:rsid w:val="0058603B"/>
    <w:rsid w:val="00586166"/>
    <w:rsid w:val="0058784A"/>
    <w:rsid w:val="00593D07"/>
    <w:rsid w:val="00595918"/>
    <w:rsid w:val="005961E3"/>
    <w:rsid w:val="005A095F"/>
    <w:rsid w:val="005A3D25"/>
    <w:rsid w:val="005B260A"/>
    <w:rsid w:val="005B4215"/>
    <w:rsid w:val="005C1121"/>
    <w:rsid w:val="005D2693"/>
    <w:rsid w:val="005D3906"/>
    <w:rsid w:val="005E6491"/>
    <w:rsid w:val="005F641E"/>
    <w:rsid w:val="005F79D9"/>
    <w:rsid w:val="00603974"/>
    <w:rsid w:val="0060563A"/>
    <w:rsid w:val="00612112"/>
    <w:rsid w:val="00617EFA"/>
    <w:rsid w:val="0062228E"/>
    <w:rsid w:val="00623A6B"/>
    <w:rsid w:val="00627D20"/>
    <w:rsid w:val="00632DB4"/>
    <w:rsid w:val="0063445A"/>
    <w:rsid w:val="00647C15"/>
    <w:rsid w:val="00652307"/>
    <w:rsid w:val="00674EDC"/>
    <w:rsid w:val="00685FFE"/>
    <w:rsid w:val="0069044D"/>
    <w:rsid w:val="00694D49"/>
    <w:rsid w:val="006A17DD"/>
    <w:rsid w:val="006A626D"/>
    <w:rsid w:val="006B27D2"/>
    <w:rsid w:val="006B4476"/>
    <w:rsid w:val="006B4E23"/>
    <w:rsid w:val="006D1145"/>
    <w:rsid w:val="006D3DB1"/>
    <w:rsid w:val="006D6012"/>
    <w:rsid w:val="006E0428"/>
    <w:rsid w:val="006F1CC3"/>
    <w:rsid w:val="006F1F55"/>
    <w:rsid w:val="006F51EC"/>
    <w:rsid w:val="006F6DE3"/>
    <w:rsid w:val="006F74B0"/>
    <w:rsid w:val="00703AC4"/>
    <w:rsid w:val="00714A58"/>
    <w:rsid w:val="00717AB4"/>
    <w:rsid w:val="00717CD8"/>
    <w:rsid w:val="0072237D"/>
    <w:rsid w:val="0072299C"/>
    <w:rsid w:val="00730BBC"/>
    <w:rsid w:val="00733BFD"/>
    <w:rsid w:val="007347A5"/>
    <w:rsid w:val="00736546"/>
    <w:rsid w:val="007371B1"/>
    <w:rsid w:val="00737E30"/>
    <w:rsid w:val="00740355"/>
    <w:rsid w:val="00742BD9"/>
    <w:rsid w:val="00742C9B"/>
    <w:rsid w:val="007432E4"/>
    <w:rsid w:val="00743F0A"/>
    <w:rsid w:val="00745B29"/>
    <w:rsid w:val="00746174"/>
    <w:rsid w:val="00746D2A"/>
    <w:rsid w:val="00753570"/>
    <w:rsid w:val="00756C60"/>
    <w:rsid w:val="00766D6E"/>
    <w:rsid w:val="007725AA"/>
    <w:rsid w:val="00777E80"/>
    <w:rsid w:val="00785ECD"/>
    <w:rsid w:val="0079366B"/>
    <w:rsid w:val="00794D28"/>
    <w:rsid w:val="007B5EAE"/>
    <w:rsid w:val="007C0A2B"/>
    <w:rsid w:val="007C2DF3"/>
    <w:rsid w:val="007D7097"/>
    <w:rsid w:val="007F2605"/>
    <w:rsid w:val="007F7754"/>
    <w:rsid w:val="00802F9F"/>
    <w:rsid w:val="00811B23"/>
    <w:rsid w:val="00811E73"/>
    <w:rsid w:val="008154B9"/>
    <w:rsid w:val="008157C0"/>
    <w:rsid w:val="00815A2B"/>
    <w:rsid w:val="008173B3"/>
    <w:rsid w:val="00822FF2"/>
    <w:rsid w:val="00827E86"/>
    <w:rsid w:val="00842D84"/>
    <w:rsid w:val="008515BD"/>
    <w:rsid w:val="00854404"/>
    <w:rsid w:val="00856DB1"/>
    <w:rsid w:val="00861F3E"/>
    <w:rsid w:val="00861F94"/>
    <w:rsid w:val="008672E2"/>
    <w:rsid w:val="00867ECE"/>
    <w:rsid w:val="0087431C"/>
    <w:rsid w:val="008756B3"/>
    <w:rsid w:val="0088469E"/>
    <w:rsid w:val="00895F73"/>
    <w:rsid w:val="00896FFC"/>
    <w:rsid w:val="008A411B"/>
    <w:rsid w:val="008A6A3A"/>
    <w:rsid w:val="008B40C8"/>
    <w:rsid w:val="008C28B8"/>
    <w:rsid w:val="008C38BB"/>
    <w:rsid w:val="008D61CD"/>
    <w:rsid w:val="008E08C1"/>
    <w:rsid w:val="008E2023"/>
    <w:rsid w:val="008F0D26"/>
    <w:rsid w:val="008F0E6F"/>
    <w:rsid w:val="008F1150"/>
    <w:rsid w:val="009210EF"/>
    <w:rsid w:val="009273AE"/>
    <w:rsid w:val="0093065B"/>
    <w:rsid w:val="009324A2"/>
    <w:rsid w:val="00935F93"/>
    <w:rsid w:val="00936424"/>
    <w:rsid w:val="00937E43"/>
    <w:rsid w:val="00944933"/>
    <w:rsid w:val="009516B8"/>
    <w:rsid w:val="00952E59"/>
    <w:rsid w:val="00963306"/>
    <w:rsid w:val="009642B5"/>
    <w:rsid w:val="00974F81"/>
    <w:rsid w:val="00975F5F"/>
    <w:rsid w:val="0098051A"/>
    <w:rsid w:val="00996568"/>
    <w:rsid w:val="009976CD"/>
    <w:rsid w:val="009B068E"/>
    <w:rsid w:val="009B14CD"/>
    <w:rsid w:val="009C3C13"/>
    <w:rsid w:val="009D66A0"/>
    <w:rsid w:val="009D7F27"/>
    <w:rsid w:val="009E112A"/>
    <w:rsid w:val="009E11E7"/>
    <w:rsid w:val="00A049CF"/>
    <w:rsid w:val="00A06F20"/>
    <w:rsid w:val="00A15ECE"/>
    <w:rsid w:val="00A17B74"/>
    <w:rsid w:val="00A242CA"/>
    <w:rsid w:val="00A313F7"/>
    <w:rsid w:val="00A316A6"/>
    <w:rsid w:val="00A33775"/>
    <w:rsid w:val="00A35B28"/>
    <w:rsid w:val="00A370EE"/>
    <w:rsid w:val="00A3753B"/>
    <w:rsid w:val="00A375D6"/>
    <w:rsid w:val="00A40A2B"/>
    <w:rsid w:val="00A42F6B"/>
    <w:rsid w:val="00A458ED"/>
    <w:rsid w:val="00A46BB0"/>
    <w:rsid w:val="00A47913"/>
    <w:rsid w:val="00A509D8"/>
    <w:rsid w:val="00A53B44"/>
    <w:rsid w:val="00A619A3"/>
    <w:rsid w:val="00A6607D"/>
    <w:rsid w:val="00A707B8"/>
    <w:rsid w:val="00A71C3F"/>
    <w:rsid w:val="00A80D7C"/>
    <w:rsid w:val="00A81215"/>
    <w:rsid w:val="00A81D6C"/>
    <w:rsid w:val="00AA0471"/>
    <w:rsid w:val="00AA1CBC"/>
    <w:rsid w:val="00AA38CB"/>
    <w:rsid w:val="00AB3D72"/>
    <w:rsid w:val="00AB49ED"/>
    <w:rsid w:val="00AC307D"/>
    <w:rsid w:val="00AD7C28"/>
    <w:rsid w:val="00AF1395"/>
    <w:rsid w:val="00AF146E"/>
    <w:rsid w:val="00AF7AC9"/>
    <w:rsid w:val="00B06542"/>
    <w:rsid w:val="00B07699"/>
    <w:rsid w:val="00B079A4"/>
    <w:rsid w:val="00B13366"/>
    <w:rsid w:val="00B20B8D"/>
    <w:rsid w:val="00B20ED4"/>
    <w:rsid w:val="00B24D85"/>
    <w:rsid w:val="00B31EAD"/>
    <w:rsid w:val="00B36DA5"/>
    <w:rsid w:val="00B474FF"/>
    <w:rsid w:val="00B53500"/>
    <w:rsid w:val="00B663D0"/>
    <w:rsid w:val="00B74A28"/>
    <w:rsid w:val="00B80A57"/>
    <w:rsid w:val="00B8278D"/>
    <w:rsid w:val="00B85142"/>
    <w:rsid w:val="00B92A2A"/>
    <w:rsid w:val="00B970D1"/>
    <w:rsid w:val="00B97D1A"/>
    <w:rsid w:val="00BA22D4"/>
    <w:rsid w:val="00BA31A3"/>
    <w:rsid w:val="00BB0E32"/>
    <w:rsid w:val="00BB15CB"/>
    <w:rsid w:val="00BC32D2"/>
    <w:rsid w:val="00BC47D2"/>
    <w:rsid w:val="00BD3B6C"/>
    <w:rsid w:val="00BD5F8C"/>
    <w:rsid w:val="00BE2BEE"/>
    <w:rsid w:val="00BE41E7"/>
    <w:rsid w:val="00BF1AF0"/>
    <w:rsid w:val="00C03CE4"/>
    <w:rsid w:val="00C117FB"/>
    <w:rsid w:val="00C138EB"/>
    <w:rsid w:val="00C263CD"/>
    <w:rsid w:val="00C452F1"/>
    <w:rsid w:val="00C546C7"/>
    <w:rsid w:val="00C60F51"/>
    <w:rsid w:val="00C62092"/>
    <w:rsid w:val="00C64C74"/>
    <w:rsid w:val="00C65E1A"/>
    <w:rsid w:val="00C81B01"/>
    <w:rsid w:val="00C87C89"/>
    <w:rsid w:val="00C93FE1"/>
    <w:rsid w:val="00CA015A"/>
    <w:rsid w:val="00CA1904"/>
    <w:rsid w:val="00CA5520"/>
    <w:rsid w:val="00CA7826"/>
    <w:rsid w:val="00CB1692"/>
    <w:rsid w:val="00CD471F"/>
    <w:rsid w:val="00CD5ED9"/>
    <w:rsid w:val="00CE2665"/>
    <w:rsid w:val="00CF0730"/>
    <w:rsid w:val="00CF249D"/>
    <w:rsid w:val="00D14B1B"/>
    <w:rsid w:val="00D26DB6"/>
    <w:rsid w:val="00D42BA0"/>
    <w:rsid w:val="00D42D10"/>
    <w:rsid w:val="00D47C74"/>
    <w:rsid w:val="00D54E3E"/>
    <w:rsid w:val="00D566A1"/>
    <w:rsid w:val="00D7163B"/>
    <w:rsid w:val="00D746E3"/>
    <w:rsid w:val="00D90244"/>
    <w:rsid w:val="00DB11EC"/>
    <w:rsid w:val="00DB2450"/>
    <w:rsid w:val="00DB374A"/>
    <w:rsid w:val="00DC7052"/>
    <w:rsid w:val="00DD15D2"/>
    <w:rsid w:val="00DD574A"/>
    <w:rsid w:val="00DE0247"/>
    <w:rsid w:val="00DE3A2A"/>
    <w:rsid w:val="00DE6DEF"/>
    <w:rsid w:val="00DF0413"/>
    <w:rsid w:val="00DF1679"/>
    <w:rsid w:val="00DF2096"/>
    <w:rsid w:val="00E044AB"/>
    <w:rsid w:val="00E0655B"/>
    <w:rsid w:val="00E104DC"/>
    <w:rsid w:val="00E14FC1"/>
    <w:rsid w:val="00E1533E"/>
    <w:rsid w:val="00E16BBC"/>
    <w:rsid w:val="00E2376C"/>
    <w:rsid w:val="00E2379C"/>
    <w:rsid w:val="00E30406"/>
    <w:rsid w:val="00E32DCF"/>
    <w:rsid w:val="00E36F36"/>
    <w:rsid w:val="00E44AAB"/>
    <w:rsid w:val="00E50185"/>
    <w:rsid w:val="00E51D67"/>
    <w:rsid w:val="00E61E44"/>
    <w:rsid w:val="00E6715E"/>
    <w:rsid w:val="00E716E4"/>
    <w:rsid w:val="00E8613D"/>
    <w:rsid w:val="00E87D69"/>
    <w:rsid w:val="00E9274A"/>
    <w:rsid w:val="00EA1425"/>
    <w:rsid w:val="00EA7B3A"/>
    <w:rsid w:val="00EB2DCE"/>
    <w:rsid w:val="00EB3571"/>
    <w:rsid w:val="00EB5E06"/>
    <w:rsid w:val="00EB7911"/>
    <w:rsid w:val="00ED2E6F"/>
    <w:rsid w:val="00ED341F"/>
    <w:rsid w:val="00EE13DF"/>
    <w:rsid w:val="00EE7D52"/>
    <w:rsid w:val="00EF578C"/>
    <w:rsid w:val="00F005B2"/>
    <w:rsid w:val="00F01ED9"/>
    <w:rsid w:val="00F03307"/>
    <w:rsid w:val="00F0519C"/>
    <w:rsid w:val="00F2559D"/>
    <w:rsid w:val="00F256CA"/>
    <w:rsid w:val="00F26F89"/>
    <w:rsid w:val="00F276D8"/>
    <w:rsid w:val="00F27C1A"/>
    <w:rsid w:val="00F30F1D"/>
    <w:rsid w:val="00F37BD0"/>
    <w:rsid w:val="00F4434E"/>
    <w:rsid w:val="00F445C5"/>
    <w:rsid w:val="00F471D0"/>
    <w:rsid w:val="00F62651"/>
    <w:rsid w:val="00F6271C"/>
    <w:rsid w:val="00F70F7A"/>
    <w:rsid w:val="00F72915"/>
    <w:rsid w:val="00F7406A"/>
    <w:rsid w:val="00F75620"/>
    <w:rsid w:val="00F76673"/>
    <w:rsid w:val="00F80BE8"/>
    <w:rsid w:val="00F8149D"/>
    <w:rsid w:val="00F81C7F"/>
    <w:rsid w:val="00F87D4F"/>
    <w:rsid w:val="00F917E3"/>
    <w:rsid w:val="00F92788"/>
    <w:rsid w:val="00FA037D"/>
    <w:rsid w:val="00FA1B83"/>
    <w:rsid w:val="00FB0AC4"/>
    <w:rsid w:val="00FB1B3D"/>
    <w:rsid w:val="00FB2222"/>
    <w:rsid w:val="00FC7336"/>
    <w:rsid w:val="00FD03A3"/>
    <w:rsid w:val="00FD3FA4"/>
    <w:rsid w:val="00FD45C8"/>
    <w:rsid w:val="00FD6C78"/>
    <w:rsid w:val="00FD7BB6"/>
    <w:rsid w:val="00FD7E79"/>
    <w:rsid w:val="00FE0265"/>
    <w:rsid w:val="00FE1D3B"/>
    <w:rsid w:val="00FE22A8"/>
    <w:rsid w:val="00FF084E"/>
    <w:rsid w:val="00FF1C13"/>
    <w:rsid w:val="00FF279B"/>
    <w:rsid w:val="00FF475D"/>
    <w:rsid w:val="00FF47A4"/>
    <w:rsid w:val="00FF6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7D49C"/>
  <w15:chartTrackingRefBased/>
  <w15:docId w15:val="{1B900E9A-AF92-4DF5-91C7-F8BE476D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9D9"/>
  </w:style>
  <w:style w:type="paragraph" w:styleId="Footer">
    <w:name w:val="footer"/>
    <w:basedOn w:val="Normal"/>
    <w:link w:val="FooterChar"/>
    <w:uiPriority w:val="99"/>
    <w:unhideWhenUsed/>
    <w:rsid w:val="005F7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9D9"/>
  </w:style>
  <w:style w:type="paragraph" w:styleId="ListParagraph">
    <w:name w:val="List Paragraph"/>
    <w:basedOn w:val="Normal"/>
    <w:uiPriority w:val="34"/>
    <w:qFormat/>
    <w:rsid w:val="00F81C7F"/>
    <w:pPr>
      <w:ind w:left="720"/>
      <w:contextualSpacing/>
    </w:pPr>
  </w:style>
  <w:style w:type="paragraph" w:styleId="BalloonText">
    <w:name w:val="Balloon Text"/>
    <w:basedOn w:val="Normal"/>
    <w:link w:val="BalloonTextChar"/>
    <w:uiPriority w:val="99"/>
    <w:semiHidden/>
    <w:unhideWhenUsed/>
    <w:rsid w:val="00CD4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71F"/>
    <w:rPr>
      <w:rFonts w:ascii="Segoe UI" w:hAnsi="Segoe UI" w:cs="Segoe UI"/>
      <w:sz w:val="18"/>
      <w:szCs w:val="18"/>
    </w:rPr>
  </w:style>
  <w:style w:type="character" w:styleId="Hyperlink">
    <w:name w:val="Hyperlink"/>
    <w:basedOn w:val="DefaultParagraphFont"/>
    <w:uiPriority w:val="99"/>
    <w:unhideWhenUsed/>
    <w:rsid w:val="00E2379C"/>
    <w:rPr>
      <w:color w:val="0563C1" w:themeColor="hyperlink"/>
      <w:u w:val="single"/>
    </w:rPr>
  </w:style>
  <w:style w:type="character" w:styleId="UnresolvedMention">
    <w:name w:val="Unresolved Mention"/>
    <w:basedOn w:val="DefaultParagraphFont"/>
    <w:uiPriority w:val="99"/>
    <w:semiHidden/>
    <w:unhideWhenUsed/>
    <w:rsid w:val="00E2379C"/>
    <w:rPr>
      <w:color w:val="605E5C"/>
      <w:shd w:val="clear" w:color="auto" w:fill="E1DFDD"/>
    </w:rPr>
  </w:style>
  <w:style w:type="character" w:styleId="FollowedHyperlink">
    <w:name w:val="FollowedHyperlink"/>
    <w:basedOn w:val="DefaultParagraphFont"/>
    <w:uiPriority w:val="99"/>
    <w:semiHidden/>
    <w:unhideWhenUsed/>
    <w:rsid w:val="00674EDC"/>
    <w:rPr>
      <w:color w:val="954F72" w:themeColor="followedHyperlink"/>
      <w:u w:val="single"/>
    </w:rPr>
  </w:style>
  <w:style w:type="character" w:styleId="CommentReference">
    <w:name w:val="annotation reference"/>
    <w:basedOn w:val="DefaultParagraphFont"/>
    <w:uiPriority w:val="99"/>
    <w:semiHidden/>
    <w:unhideWhenUsed/>
    <w:rsid w:val="00EB5E06"/>
    <w:rPr>
      <w:sz w:val="16"/>
      <w:szCs w:val="16"/>
    </w:rPr>
  </w:style>
  <w:style w:type="paragraph" w:styleId="CommentText">
    <w:name w:val="annotation text"/>
    <w:basedOn w:val="Normal"/>
    <w:link w:val="CommentTextChar"/>
    <w:uiPriority w:val="99"/>
    <w:unhideWhenUsed/>
    <w:rsid w:val="00EB5E06"/>
    <w:pPr>
      <w:spacing w:line="240" w:lineRule="auto"/>
    </w:pPr>
    <w:rPr>
      <w:sz w:val="20"/>
      <w:szCs w:val="20"/>
    </w:rPr>
  </w:style>
  <w:style w:type="character" w:customStyle="1" w:styleId="CommentTextChar">
    <w:name w:val="Comment Text Char"/>
    <w:basedOn w:val="DefaultParagraphFont"/>
    <w:link w:val="CommentText"/>
    <w:uiPriority w:val="99"/>
    <w:rsid w:val="00EB5E06"/>
    <w:rPr>
      <w:sz w:val="20"/>
      <w:szCs w:val="20"/>
    </w:rPr>
  </w:style>
  <w:style w:type="paragraph" w:styleId="CommentSubject">
    <w:name w:val="annotation subject"/>
    <w:basedOn w:val="CommentText"/>
    <w:next w:val="CommentText"/>
    <w:link w:val="CommentSubjectChar"/>
    <w:uiPriority w:val="99"/>
    <w:semiHidden/>
    <w:unhideWhenUsed/>
    <w:rsid w:val="00EB5E06"/>
    <w:rPr>
      <w:b/>
      <w:bCs/>
    </w:rPr>
  </w:style>
  <w:style w:type="character" w:customStyle="1" w:styleId="CommentSubjectChar">
    <w:name w:val="Comment Subject Char"/>
    <w:basedOn w:val="CommentTextChar"/>
    <w:link w:val="CommentSubject"/>
    <w:uiPriority w:val="99"/>
    <w:semiHidden/>
    <w:rsid w:val="00EB5E06"/>
    <w:rPr>
      <w:b/>
      <w:bCs/>
      <w:sz w:val="20"/>
      <w:szCs w:val="20"/>
    </w:rPr>
  </w:style>
  <w:style w:type="paragraph" w:styleId="Revision">
    <w:name w:val="Revision"/>
    <w:hidden/>
    <w:uiPriority w:val="99"/>
    <w:semiHidden/>
    <w:rsid w:val="00EB3571"/>
    <w:pPr>
      <w:spacing w:after="0" w:line="240" w:lineRule="auto"/>
    </w:pPr>
  </w:style>
  <w:style w:type="character" w:customStyle="1" w:styleId="normaltextrun">
    <w:name w:val="normaltextrun"/>
    <w:basedOn w:val="DefaultParagraphFont"/>
    <w:rsid w:val="00143ADE"/>
  </w:style>
  <w:style w:type="paragraph" w:customStyle="1" w:styleId="xmsonormal">
    <w:name w:val="x_msonormal"/>
    <w:basedOn w:val="Normal"/>
    <w:rsid w:val="000D0E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1566">
      <w:bodyDiv w:val="1"/>
      <w:marLeft w:val="0"/>
      <w:marRight w:val="0"/>
      <w:marTop w:val="0"/>
      <w:marBottom w:val="0"/>
      <w:divBdr>
        <w:top w:val="none" w:sz="0" w:space="0" w:color="auto"/>
        <w:left w:val="none" w:sz="0" w:space="0" w:color="auto"/>
        <w:bottom w:val="none" w:sz="0" w:space="0" w:color="auto"/>
        <w:right w:val="none" w:sz="0" w:space="0" w:color="auto"/>
      </w:divBdr>
    </w:div>
    <w:div w:id="301812458">
      <w:bodyDiv w:val="1"/>
      <w:marLeft w:val="0"/>
      <w:marRight w:val="0"/>
      <w:marTop w:val="0"/>
      <w:marBottom w:val="0"/>
      <w:divBdr>
        <w:top w:val="none" w:sz="0" w:space="0" w:color="auto"/>
        <w:left w:val="none" w:sz="0" w:space="0" w:color="auto"/>
        <w:bottom w:val="none" w:sz="0" w:space="0" w:color="auto"/>
        <w:right w:val="none" w:sz="0" w:space="0" w:color="auto"/>
      </w:divBdr>
    </w:div>
    <w:div w:id="507839441">
      <w:bodyDiv w:val="1"/>
      <w:marLeft w:val="0"/>
      <w:marRight w:val="0"/>
      <w:marTop w:val="0"/>
      <w:marBottom w:val="0"/>
      <w:divBdr>
        <w:top w:val="none" w:sz="0" w:space="0" w:color="auto"/>
        <w:left w:val="none" w:sz="0" w:space="0" w:color="auto"/>
        <w:bottom w:val="none" w:sz="0" w:space="0" w:color="auto"/>
        <w:right w:val="none" w:sz="0" w:space="0" w:color="auto"/>
      </w:divBdr>
    </w:div>
    <w:div w:id="163710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s.txstate.edu\dept\FSS\FS\GAO\GAO-Shares\Annual%20Financial%20Report\CFI%20Ratio%20Analysis%20-(VPFSS)\Resources\Strategic%20Financial%20Analysis%20for%20Higher%20Education%20-%207th%20Edition.pdf" TargetMode="External"/><Relationship Id="rId13" Type="http://schemas.openxmlformats.org/officeDocument/2006/relationships/chart" Target="charts/chart3.xml"/><Relationship Id="rId18" Type="http://schemas.openxmlformats.org/officeDocument/2006/relationships/hyperlink" Target="https://nam04.safelinks.protection.outlook.com/?url=https%3A%2F%2Fwww.nacubo.org%2F&amp;data=04%7C01%7Ccblack1%40txstate.edu%7C7265c7b23b5e40ff401208d9f6ee081d%7Cb19c134a14c94d4caf65c420f94c8cbb%7C0%7C0%7C637812324460448718%7CUnknown%7CTWFpbGZsb3d8eyJWIjoiMC4wLjAwMDAiLCJQIjoiV2luMzIiLCJBTiI6Ik1haWwiLCJXVCI6Mn0%3D%7C3000&amp;sdata=ZvaPOww7jSXCA1W64alOXFm%2Flz7vlRCNQ3mbez5gKr4%3D&amp;reserved=0"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policies.txstate.edu/university-policies/03-02-01.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les.txstate.edu\dept\FSS\FS\GAO\GAO-Shares\Annual%20Financial%20Report\CFI%20Ratio%20Analysis%20-(VPFSS)\FY%202022\CFI%20Chart%202008-2027%20Draft%20for%20FY22%20v2%20for%20Eric%20wo%20comments.xls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hyperlink" Target="https://nam04.safelinks.protection.outlook.com/?url=https%3A%2F%2Feric.ed.gov%2F%3Fid%3DED198753&amp;data=04%7C01%7Ccblack1%40txstate.edu%7C7265c7b23b5e40ff401208d9f6ee081d%7Cb19c134a14c94d4caf65c420f94c8cbb%7C0%7C0%7C637812324460448718%7CUnknown%7CTWFpbGZsb3d8eyJWIjoiMC4wLjAwMDAiLCJQIjoiV2luMzIiLCJBTiI6Ik1haWwiLCJXVCI6Mn0%3D%7C3000&amp;sdata=LQg22fSymWDJdUEVLaworK6SUXQ0c0Vwzh3U6%2BavNjI%3D&amp;reserved=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files.txstate.edu\dept\FSS\FS\GAO\GAO-Shares\Annual%20Financial%20Report\CFI%20Ratio%20Analysis%20-(VPFSS)\FY%202023\CFI%20Chart%202008-2028%20Draft%20for%20FY23%20for%20Eric.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files.txstate.edu\dept\FSS\FS\GAO\GAO-Shares\Annual%20Financial%20Report\CFI%20Ratio%20Analysis%20-(VPFSS)\FY%202023\CFI%20Chart%202008-2028%20Draft%20for%20FY23%20for%20Eric.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files.txstate.edu\dept\FSS\FS\GAO\GAO-Shares\Annual%20Financial%20Report\CFI%20Ratio%20Analysis%20-(VPFSS)\FY%202023\CFI%20Chart%202008-2028%20Draft%20for%20FY23%20for%20Eric.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files.txstate.edu\dept\FSS\FS\GAO\GAO-Shares\Annual%20Financial%20Report\CFI%20Ratio%20Analysis%20-(VPFSS)\FY%202023\CFI%20Chart%202008-2028%20Draft%20for%20FY23%20for%20Eric.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files.txstate.edu\dept\FSS\FS\GAO\GAO-Shares\Annual%20Financial%20Report\CFI%20Ratio%20Analysis%20-(VPFSS)\FY%202023\CFI%20Chart%202008-2028%20Draft%20for%20FY23%20for%20Eric.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files.txstate.edu\dept\fss\obfpa\obfpa-files\Internal%20Reporting\BFA-Budget%20and%20Financial%20Analysis\2023\Reconciliation%20-%20Reserves%20to%20UNA%20FY202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 Data'!$BK$124</c:f>
              <c:strCache>
                <c:ptCount val="1"/>
                <c:pt idx="0">
                  <c:v>Return on Net Assets</c:v>
                </c:pt>
              </c:strCache>
            </c:strRef>
          </c:tx>
          <c:spPr>
            <a:solidFill>
              <a:schemeClr val="accent1"/>
            </a:solidFill>
            <a:ln>
              <a:noFill/>
            </a:ln>
            <a:effectLst/>
          </c:spPr>
          <c:invertIfNegative val="0"/>
          <c:cat>
            <c:strRef>
              <c:f>'Chart Data'!$A$125:$A$126</c:f>
              <c:strCache>
                <c:ptCount val="2"/>
                <c:pt idx="0">
                  <c:v>7-Year Average</c:v>
                </c:pt>
                <c:pt idx="1">
                  <c:v>Threshold Value</c:v>
                </c:pt>
              </c:strCache>
            </c:strRef>
          </c:cat>
          <c:val>
            <c:numRef>
              <c:f>'Chart Data'!$BK$125:$BK$126</c:f>
              <c:numCache>
                <c:formatCode>0.0%</c:formatCode>
                <c:ptCount val="2"/>
                <c:pt idx="0">
                  <c:v>7.5760803871065166E-2</c:v>
                </c:pt>
                <c:pt idx="1">
                  <c:v>0.06</c:v>
                </c:pt>
              </c:numCache>
            </c:numRef>
          </c:val>
          <c:extLst>
            <c:ext xmlns:c16="http://schemas.microsoft.com/office/drawing/2014/chart" uri="{C3380CC4-5D6E-409C-BE32-E72D297353CC}">
              <c16:uniqueId val="{00000000-B25F-4F68-97A6-2EEDC73509AC}"/>
            </c:ext>
          </c:extLst>
        </c:ser>
        <c:dLbls>
          <c:showLegendKey val="0"/>
          <c:showVal val="0"/>
          <c:showCatName val="0"/>
          <c:showSerName val="0"/>
          <c:showPercent val="0"/>
          <c:showBubbleSize val="0"/>
        </c:dLbls>
        <c:gapWidth val="219"/>
        <c:overlap val="-27"/>
        <c:axId val="285579263"/>
        <c:axId val="285580223"/>
      </c:barChart>
      <c:catAx>
        <c:axId val="285579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580223"/>
        <c:crosses val="autoZero"/>
        <c:auto val="1"/>
        <c:lblAlgn val="ctr"/>
        <c:lblOffset val="100"/>
        <c:noMultiLvlLbl val="0"/>
      </c:catAx>
      <c:valAx>
        <c:axId val="28558022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5792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 Data'!$BK$128</c:f>
              <c:strCache>
                <c:ptCount val="1"/>
                <c:pt idx="0">
                  <c:v>Net Operating Results</c:v>
                </c:pt>
              </c:strCache>
            </c:strRef>
          </c:tx>
          <c:spPr>
            <a:solidFill>
              <a:schemeClr val="accent1"/>
            </a:solidFill>
            <a:ln>
              <a:noFill/>
            </a:ln>
            <a:effectLst/>
          </c:spPr>
          <c:invertIfNegative val="0"/>
          <c:cat>
            <c:strRef>
              <c:f>'Chart Data'!$A$129:$A$130</c:f>
              <c:strCache>
                <c:ptCount val="2"/>
                <c:pt idx="0">
                  <c:v>7-Year Average</c:v>
                </c:pt>
                <c:pt idx="1">
                  <c:v>Threshold Value</c:v>
                </c:pt>
              </c:strCache>
            </c:strRef>
          </c:cat>
          <c:val>
            <c:numRef>
              <c:f>'Chart Data'!$BK$129:$BK$130</c:f>
              <c:numCache>
                <c:formatCode>0.0%</c:formatCode>
                <c:ptCount val="2"/>
                <c:pt idx="0">
                  <c:v>6.8924044861806977E-2</c:v>
                </c:pt>
                <c:pt idx="1">
                  <c:v>0.04</c:v>
                </c:pt>
              </c:numCache>
            </c:numRef>
          </c:val>
          <c:extLst>
            <c:ext xmlns:c16="http://schemas.microsoft.com/office/drawing/2014/chart" uri="{C3380CC4-5D6E-409C-BE32-E72D297353CC}">
              <c16:uniqueId val="{00000000-F276-4461-96BB-5844111DA4D8}"/>
            </c:ext>
          </c:extLst>
        </c:ser>
        <c:dLbls>
          <c:showLegendKey val="0"/>
          <c:showVal val="0"/>
          <c:showCatName val="0"/>
          <c:showSerName val="0"/>
          <c:showPercent val="0"/>
          <c:showBubbleSize val="0"/>
        </c:dLbls>
        <c:gapWidth val="219"/>
        <c:overlap val="-27"/>
        <c:axId val="1785860496"/>
        <c:axId val="1785859056"/>
      </c:barChart>
      <c:catAx>
        <c:axId val="178586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5859056"/>
        <c:crosses val="autoZero"/>
        <c:auto val="1"/>
        <c:lblAlgn val="ctr"/>
        <c:lblOffset val="100"/>
        <c:noMultiLvlLbl val="0"/>
      </c:catAx>
      <c:valAx>
        <c:axId val="17858590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5860496"/>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 Data'!$BK$132</c:f>
              <c:strCache>
                <c:ptCount val="1"/>
                <c:pt idx="0">
                  <c:v>Viability Ratio</c:v>
                </c:pt>
              </c:strCache>
            </c:strRef>
          </c:tx>
          <c:spPr>
            <a:solidFill>
              <a:schemeClr val="accent1"/>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1-EE3E-4CA5-BC04-D65D9CDD6C5C}"/>
              </c:ext>
            </c:extLst>
          </c:dPt>
          <c:cat>
            <c:strRef>
              <c:f>'Chart Data'!$A$133:$A$134</c:f>
              <c:strCache>
                <c:ptCount val="2"/>
                <c:pt idx="0">
                  <c:v>7-Year Average</c:v>
                </c:pt>
                <c:pt idx="1">
                  <c:v>Threshold Value</c:v>
                </c:pt>
              </c:strCache>
            </c:strRef>
          </c:cat>
          <c:val>
            <c:numRef>
              <c:f>'Chart Data'!$BK$133:$BK$134</c:f>
              <c:numCache>
                <c:formatCode>_(* #,##0.00_);_(* \(#,##0.00\);_(* "-"??_);_(@_)</c:formatCode>
                <c:ptCount val="2"/>
                <c:pt idx="0">
                  <c:v>0.93407423403439693</c:v>
                </c:pt>
                <c:pt idx="1">
                  <c:v>1.25</c:v>
                </c:pt>
              </c:numCache>
            </c:numRef>
          </c:val>
          <c:extLst>
            <c:ext xmlns:c16="http://schemas.microsoft.com/office/drawing/2014/chart" uri="{C3380CC4-5D6E-409C-BE32-E72D297353CC}">
              <c16:uniqueId val="{00000002-EE3E-4CA5-BC04-D65D9CDD6C5C}"/>
            </c:ext>
          </c:extLst>
        </c:ser>
        <c:dLbls>
          <c:showLegendKey val="0"/>
          <c:showVal val="0"/>
          <c:showCatName val="0"/>
          <c:showSerName val="0"/>
          <c:showPercent val="0"/>
          <c:showBubbleSize val="0"/>
        </c:dLbls>
        <c:gapWidth val="219"/>
        <c:overlap val="-27"/>
        <c:axId val="1103474432"/>
        <c:axId val="1103476832"/>
      </c:barChart>
      <c:catAx>
        <c:axId val="110347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3476832"/>
        <c:crosses val="autoZero"/>
        <c:auto val="1"/>
        <c:lblAlgn val="ctr"/>
        <c:lblOffset val="100"/>
        <c:noMultiLvlLbl val="0"/>
      </c:catAx>
      <c:valAx>
        <c:axId val="1103476832"/>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34744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 Data'!$BK$136</c:f>
              <c:strCache>
                <c:ptCount val="1"/>
                <c:pt idx="0">
                  <c:v>Primary Reserve</c:v>
                </c:pt>
              </c:strCache>
            </c:strRef>
          </c:tx>
          <c:spPr>
            <a:solidFill>
              <a:schemeClr val="accent1"/>
            </a:solidFill>
            <a:ln>
              <a:noFill/>
            </a:ln>
            <a:effectLst/>
          </c:spPr>
          <c:invertIfNegative val="0"/>
          <c:cat>
            <c:strRef>
              <c:f>'Chart Data'!$A$137</c:f>
              <c:strCache>
                <c:ptCount val="1"/>
                <c:pt idx="0">
                  <c:v>Days (7-Yr Average)</c:v>
                </c:pt>
              </c:strCache>
            </c:strRef>
          </c:cat>
          <c:val>
            <c:numRef>
              <c:f>'Chart Data'!$BK$137</c:f>
              <c:numCache>
                <c:formatCode>_(* #,##0.00_);_(* \(#,##0.00\);_(* "-"??_);_(@_)</c:formatCode>
                <c:ptCount val="1"/>
                <c:pt idx="0">
                  <c:v>255</c:v>
                </c:pt>
              </c:numCache>
            </c:numRef>
          </c:val>
          <c:extLst>
            <c:ext xmlns:c16="http://schemas.microsoft.com/office/drawing/2014/chart" uri="{C3380CC4-5D6E-409C-BE32-E72D297353CC}">
              <c16:uniqueId val="{00000000-3A6F-4541-B67E-81B0C8BA50BB}"/>
            </c:ext>
          </c:extLst>
        </c:ser>
        <c:dLbls>
          <c:showLegendKey val="0"/>
          <c:showVal val="0"/>
          <c:showCatName val="0"/>
          <c:showSerName val="0"/>
          <c:showPercent val="0"/>
          <c:showBubbleSize val="0"/>
        </c:dLbls>
        <c:gapWidth val="219"/>
        <c:overlap val="-27"/>
        <c:axId val="1699722336"/>
        <c:axId val="1699725696"/>
      </c:barChart>
      <c:catAx>
        <c:axId val="1699722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725696"/>
        <c:crosses val="autoZero"/>
        <c:auto val="1"/>
        <c:lblAlgn val="ctr"/>
        <c:lblOffset val="100"/>
        <c:noMultiLvlLbl val="0"/>
      </c:catAx>
      <c:valAx>
        <c:axId val="1699725696"/>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722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 Data'!$BK$161</c:f>
              <c:strCache>
                <c:ptCount val="1"/>
                <c:pt idx="0">
                  <c:v>Texas State University CFI Score</c:v>
                </c:pt>
              </c:strCache>
            </c:strRef>
          </c:tx>
          <c:spPr>
            <a:solidFill>
              <a:schemeClr val="accent1"/>
            </a:solidFill>
            <a:ln>
              <a:noFill/>
            </a:ln>
            <a:effectLst/>
          </c:spPr>
          <c:invertIfNegative val="0"/>
          <c:dPt>
            <c:idx val="0"/>
            <c:invertIfNegative val="0"/>
            <c:bubble3D val="0"/>
            <c:spPr>
              <a:solidFill>
                <a:schemeClr val="accent4">
                  <a:lumMod val="20000"/>
                  <a:lumOff val="80000"/>
                </a:schemeClr>
              </a:solidFill>
              <a:ln>
                <a:noFill/>
              </a:ln>
              <a:effectLst/>
            </c:spPr>
            <c:extLst>
              <c:ext xmlns:c16="http://schemas.microsoft.com/office/drawing/2014/chart" uri="{C3380CC4-5D6E-409C-BE32-E72D297353CC}">
                <c16:uniqueId val="{00000001-6A46-4C06-B43C-C1ABB993A1BB}"/>
              </c:ext>
            </c:extLst>
          </c:dPt>
          <c:dPt>
            <c:idx val="1"/>
            <c:invertIfNegative val="0"/>
            <c:bubble3D val="0"/>
            <c:spPr>
              <a:solidFill>
                <a:schemeClr val="accent6">
                  <a:lumMod val="20000"/>
                  <a:lumOff val="80000"/>
                </a:schemeClr>
              </a:solidFill>
              <a:ln>
                <a:noFill/>
              </a:ln>
              <a:effectLst/>
            </c:spPr>
            <c:extLst>
              <c:ext xmlns:c16="http://schemas.microsoft.com/office/drawing/2014/chart" uri="{C3380CC4-5D6E-409C-BE32-E72D297353CC}">
                <c16:uniqueId val="{00000003-6A46-4C06-B43C-C1ABB993A1BB}"/>
              </c:ext>
            </c:extLst>
          </c:dPt>
          <c:cat>
            <c:strRef>
              <c:f>'Chart Data'!$A$162:$BJ$164</c:f>
              <c:strCache>
                <c:ptCount val="3"/>
                <c:pt idx="0">
                  <c:v>7-Year Average</c:v>
                </c:pt>
                <c:pt idx="1">
                  <c:v>5-Year Average</c:v>
                </c:pt>
                <c:pt idx="2">
                  <c:v>Threshold Value</c:v>
                </c:pt>
              </c:strCache>
            </c:strRef>
          </c:cat>
          <c:val>
            <c:numRef>
              <c:f>'Chart Data'!$BK$162:$BK$164</c:f>
              <c:numCache>
                <c:formatCode>_(* #,##0.00_);_(* \(#,##0.00\);_(* "-"??_);_(@_)</c:formatCode>
                <c:ptCount val="3"/>
                <c:pt idx="0">
                  <c:v>3.9142857142857141</c:v>
                </c:pt>
                <c:pt idx="1">
                  <c:v>4.0579999999999998</c:v>
                </c:pt>
                <c:pt idx="2">
                  <c:v>3</c:v>
                </c:pt>
              </c:numCache>
            </c:numRef>
          </c:val>
          <c:extLst>
            <c:ext xmlns:c16="http://schemas.microsoft.com/office/drawing/2014/chart" uri="{C3380CC4-5D6E-409C-BE32-E72D297353CC}">
              <c16:uniqueId val="{00000004-6A46-4C06-B43C-C1ABB993A1BB}"/>
            </c:ext>
          </c:extLst>
        </c:ser>
        <c:dLbls>
          <c:showLegendKey val="0"/>
          <c:showVal val="0"/>
          <c:showCatName val="0"/>
          <c:showSerName val="0"/>
          <c:showPercent val="0"/>
          <c:showBubbleSize val="0"/>
        </c:dLbls>
        <c:gapWidth val="219"/>
        <c:overlap val="-27"/>
        <c:axId val="1798913456"/>
        <c:axId val="1798913936"/>
      </c:barChart>
      <c:catAx>
        <c:axId val="179891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8913936"/>
        <c:crosses val="autoZero"/>
        <c:auto val="1"/>
        <c:lblAlgn val="ctr"/>
        <c:lblOffset val="100"/>
        <c:noMultiLvlLbl val="0"/>
      </c:catAx>
      <c:valAx>
        <c:axId val="1798913936"/>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8913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1"/>
          <c:order val="1"/>
          <c:tx>
            <c:strRef>
              <c:f>'Method 3 w Chart'!$A$26:$I$26</c:f>
              <c:strCache>
                <c:ptCount val="9"/>
                <c:pt idx="0">
                  <c:v>Available Funds Ratio</c:v>
                </c:pt>
                <c:pt idx="2">
                  <c:v>Available Reserves</c:v>
                </c:pt>
                <c:pt idx="4">
                  <c:v>0.1130</c:v>
                </c:pt>
                <c:pt idx="6">
                  <c:v> 55,864,053 </c:v>
                </c:pt>
                <c:pt idx="7">
                  <c:v> 59,532,656 </c:v>
                </c:pt>
                <c:pt idx="8">
                  <c:v> 63,715,228 </c:v>
                </c:pt>
              </c:strCache>
            </c:strRef>
          </c:tx>
          <c:spPr>
            <a:solidFill>
              <a:schemeClr val="accent1"/>
            </a:solidFill>
            <a:ln>
              <a:noFill/>
            </a:ln>
            <a:effectLst/>
          </c:spPr>
          <c:invertIfNegative val="0"/>
          <c:cat>
            <c:numRef>
              <c:f>'Method 3 w Chart'!$J$24:$W$24</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'Method 3 w Chart'!$J$26:$W$26</c:f>
              <c:numCache>
                <c:formatCode>_(* #,##0.0_);_(* \(#,##0.0\);_(* "-"??_);_(@_)</c:formatCode>
                <c:ptCount val="11"/>
                <c:pt idx="0">
                  <c:v>41.367311999999998</c:v>
                </c:pt>
                <c:pt idx="1">
                  <c:v>43.691119999999998</c:v>
                </c:pt>
                <c:pt idx="2">
                  <c:v>44.226684599999999</c:v>
                </c:pt>
                <c:pt idx="3">
                  <c:v>52.023738610000002</c:v>
                </c:pt>
                <c:pt idx="4">
                  <c:v>65.246295680000003</c:v>
                </c:pt>
                <c:pt idx="5">
                  <c:v>68.464453200000008</c:v>
                </c:pt>
                <c:pt idx="6">
                  <c:v>62.996481120000006</c:v>
                </c:pt>
                <c:pt idx="7">
                  <c:v>100.33033186</c:v>
                </c:pt>
                <c:pt idx="8">
                  <c:v>154.42968298</c:v>
                </c:pt>
                <c:pt idx="9">
                  <c:v>175.1046226</c:v>
                </c:pt>
                <c:pt idx="10">
                  <c:v>161.11354216000001</c:v>
                </c:pt>
              </c:numCache>
            </c:numRef>
          </c:val>
          <c:extLst>
            <c:ext xmlns:c16="http://schemas.microsoft.com/office/drawing/2014/chart" uri="{C3380CC4-5D6E-409C-BE32-E72D297353CC}">
              <c16:uniqueId val="{00000000-3098-46A5-969C-3329E759DE3B}"/>
            </c:ext>
          </c:extLst>
        </c:ser>
        <c:ser>
          <c:idx val="2"/>
          <c:order val="2"/>
          <c:tx>
            <c:strRef>
              <c:f>'Method 3 w Chart'!$A$27:$I$27</c:f>
              <c:strCache>
                <c:ptCount val="9"/>
                <c:pt idx="0">
                  <c:v>Available Funds Ratio</c:v>
                </c:pt>
                <c:pt idx="2">
                  <c:v>Needed for Goal</c:v>
                </c:pt>
                <c:pt idx="4">
                  <c:v>0.1130</c:v>
                </c:pt>
                <c:pt idx="6">
                  <c:v> 27,392,139 </c:v>
                </c:pt>
                <c:pt idx="7">
                  <c:v> 20,556,961 </c:v>
                </c:pt>
                <c:pt idx="8">
                  <c:v> 30,425,786 </c:v>
                </c:pt>
              </c:strCache>
            </c:strRef>
          </c:tx>
          <c:spPr>
            <a:solidFill>
              <a:schemeClr val="accent4">
                <a:lumMod val="60000"/>
                <a:lumOff val="40000"/>
              </a:schemeClr>
            </a:solidFill>
            <a:ln>
              <a:noFill/>
            </a:ln>
            <a:effectLst/>
          </c:spPr>
          <c:invertIfNegative val="0"/>
          <c:dLbls>
            <c:dLbl>
              <c:idx val="0"/>
              <c:layout>
                <c:manualLayout>
                  <c:x val="-1.1580632295228009E-3"/>
                  <c:y val="-2.8565109330894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98-46A5-969C-3329E759DE3B}"/>
                </c:ext>
              </c:extLst>
            </c:dLbl>
            <c:dLbl>
              <c:idx val="2"/>
              <c:layout>
                <c:manualLayout>
                  <c:x val="-1.1580632295228009E-3"/>
                  <c:y val="-2.8565109330894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98-46A5-969C-3329E759DE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'Method 3 w Chart'!$J$24:$W$24</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'Method 3 w Chart'!$J$27:$U$27</c:f>
              <c:numCache>
                <c:formatCode>_("$"* #,##0.0_);_("$"* \(#,##0.0\);_("$"* "-"??_);_(@_)</c:formatCode>
                <c:ptCount val="9"/>
                <c:pt idx="0">
                  <c:v>35.500827000000001</c:v>
                </c:pt>
                <c:pt idx="1">
                  <c:v>37.448416999999999</c:v>
                </c:pt>
                <c:pt idx="2">
                  <c:v>45.135357649999996</c:v>
                </c:pt>
                <c:pt idx="3">
                  <c:v>41.134198640000001</c:v>
                </c:pt>
                <c:pt idx="4">
                  <c:v>31.659208320000001</c:v>
                </c:pt>
                <c:pt idx="5">
                  <c:v>30.812513049999996</c:v>
                </c:pt>
                <c:pt idx="6">
                  <c:v>41.445700629999997</c:v>
                </c:pt>
                <c:pt idx="7">
                  <c:v>-1.3703773599999993</c:v>
                </c:pt>
                <c:pt idx="8">
                  <c:v>-47.424540229999991</c:v>
                </c:pt>
              </c:numCache>
            </c:numRef>
          </c:val>
          <c:extLst>
            <c:ext xmlns:c16="http://schemas.microsoft.com/office/drawing/2014/chart" uri="{C3380CC4-5D6E-409C-BE32-E72D297353CC}">
              <c16:uniqueId val="{00000003-3098-46A5-969C-3329E759DE3B}"/>
            </c:ext>
          </c:extLst>
        </c:ser>
        <c:dLbls>
          <c:showLegendKey val="0"/>
          <c:showVal val="0"/>
          <c:showCatName val="0"/>
          <c:showSerName val="0"/>
          <c:showPercent val="0"/>
          <c:showBubbleSize val="0"/>
        </c:dLbls>
        <c:gapWidth val="150"/>
        <c:overlap val="100"/>
        <c:axId val="800230040"/>
        <c:axId val="800230368"/>
      </c:barChart>
      <c:lineChart>
        <c:grouping val="standard"/>
        <c:varyColors val="0"/>
        <c:ser>
          <c:idx val="0"/>
          <c:order val="0"/>
          <c:tx>
            <c:strRef>
              <c:f>'Method 3 w Chart'!$A$25:$I$25</c:f>
              <c:strCache>
                <c:ptCount val="9"/>
                <c:pt idx="0">
                  <c:v>Available Funds Ratio</c:v>
                </c:pt>
                <c:pt idx="4">
                  <c:v>0.1130</c:v>
                </c:pt>
                <c:pt idx="6">
                  <c:v>0.1274</c:v>
                </c:pt>
                <c:pt idx="7">
                  <c:v>0.1637</c:v>
                </c:pt>
                <c:pt idx="8">
                  <c:v>0.1306</c:v>
                </c:pt>
              </c:strCache>
            </c:strRef>
          </c:tx>
          <c:spPr>
            <a:ln w="28575" cap="rnd">
              <a:solidFill>
                <a:schemeClr val="tx1"/>
              </a:solidFill>
              <a:round/>
            </a:ln>
            <a:effectLst>
              <a:glow rad="101600">
                <a:schemeClr val="accent2">
                  <a:lumMod val="75000"/>
                  <a:alpha val="60000"/>
                </a:schemeClr>
              </a:glow>
            </a:effectLst>
          </c:spPr>
          <c:marker>
            <c:symbol val="none"/>
          </c:marker>
          <c:dLbls>
            <c:dLbl>
              <c:idx val="0"/>
              <c:layout>
                <c:manualLayout>
                  <c:x val="1.2566299146642959E-2"/>
                  <c:y val="7.8703703703703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098-46A5-969C-3329E759DE3B}"/>
                </c:ext>
              </c:extLst>
            </c:dLbl>
            <c:dLbl>
              <c:idx val="1"/>
              <c:layout>
                <c:manualLayout>
                  <c:x val="1.9420644135720984E-2"/>
                  <c:y val="5.092592592592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98-46A5-969C-3329E759DE3B}"/>
                </c:ext>
              </c:extLst>
            </c:dLbl>
            <c:dLbl>
              <c:idx val="2"/>
              <c:layout>
                <c:manualLayout>
                  <c:x val="9.1391266521040314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098-46A5-969C-3329E759DE3B}"/>
                </c:ext>
              </c:extLst>
            </c:dLbl>
            <c:dLbl>
              <c:idx val="3"/>
              <c:layout>
                <c:manualLayout>
                  <c:x val="1.1423908315129957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098-46A5-969C-3329E759DE3B}"/>
                </c:ext>
              </c:extLst>
            </c:dLbl>
            <c:dLbl>
              <c:idx val="4"/>
              <c:layout>
                <c:manualLayout>
                  <c:x val="1.0281517483617036E-2"/>
                  <c:y val="7.8703703703703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098-46A5-969C-3329E759DE3B}"/>
                </c:ext>
              </c:extLst>
            </c:dLbl>
            <c:dLbl>
              <c:idx val="5"/>
              <c:layout>
                <c:manualLayout>
                  <c:x val="1.2566299146643044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098-46A5-969C-3329E759DE3B}"/>
                </c:ext>
              </c:extLst>
            </c:dLbl>
            <c:dLbl>
              <c:idx val="6"/>
              <c:layout>
                <c:manualLayout>
                  <c:x val="1.1423908315130039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098-46A5-969C-3329E759DE3B}"/>
                </c:ext>
              </c:extLst>
            </c:dLbl>
            <c:dLbl>
              <c:idx val="8"/>
              <c:layout>
                <c:manualLayout>
                  <c:x val="1.1423908315130039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098-46A5-969C-3329E759DE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'Method 3 w Chart'!$J$24:$W$24</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'Method 3 w Chart'!$J$25:$W$25</c:f>
              <c:numCache>
                <c:formatCode>#,##0.0000</c:formatCode>
                <c:ptCount val="11"/>
                <c:pt idx="0">
                  <c:v>0.13453985142010527</c:v>
                </c:pt>
                <c:pt idx="1">
                  <c:v>0.13461723351958491</c:v>
                </c:pt>
                <c:pt idx="2">
                  <c:v>0.12372894432143532</c:v>
                </c:pt>
                <c:pt idx="3">
                  <c:v>0.13961166419558094</c:v>
                </c:pt>
                <c:pt idx="4">
                  <c:v>0.16832453520906304</c:v>
                </c:pt>
                <c:pt idx="5">
                  <c:v>0.17240769885028592</c:v>
                </c:pt>
                <c:pt idx="6">
                  <c:v>0.15079271627720475</c:v>
                </c:pt>
                <c:pt idx="7">
                  <c:v>0.25346194924735943</c:v>
                </c:pt>
                <c:pt idx="8">
                  <c:v>0.36079967516327616</c:v>
                </c:pt>
                <c:pt idx="9">
                  <c:v>0.39821457398229365</c:v>
                </c:pt>
                <c:pt idx="10">
                  <c:v>0.30849245777032441</c:v>
                </c:pt>
              </c:numCache>
            </c:numRef>
          </c:val>
          <c:smooth val="0"/>
          <c:extLst>
            <c:ext xmlns:c16="http://schemas.microsoft.com/office/drawing/2014/chart" uri="{C3380CC4-5D6E-409C-BE32-E72D297353CC}">
              <c16:uniqueId val="{0000000C-3098-46A5-969C-3329E759DE3B}"/>
            </c:ext>
          </c:extLst>
        </c:ser>
        <c:dLbls>
          <c:showLegendKey val="0"/>
          <c:showVal val="0"/>
          <c:showCatName val="0"/>
          <c:showSerName val="0"/>
          <c:showPercent val="0"/>
          <c:showBubbleSize val="0"/>
        </c:dLbls>
        <c:marker val="1"/>
        <c:smooth val="0"/>
        <c:axId val="878271912"/>
        <c:axId val="878272568"/>
      </c:lineChart>
      <c:catAx>
        <c:axId val="800230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230368"/>
        <c:crosses val="autoZero"/>
        <c:auto val="1"/>
        <c:lblAlgn val="ctr"/>
        <c:lblOffset val="100"/>
        <c:noMultiLvlLbl val="0"/>
      </c:catAx>
      <c:valAx>
        <c:axId val="8002303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0"/>
        <c:majorTickMark val="none"/>
        <c:minorTickMark val="in"/>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230040"/>
        <c:crosses val="autoZero"/>
        <c:crossBetween val="between"/>
      </c:valAx>
      <c:valAx>
        <c:axId val="878272568"/>
        <c:scaling>
          <c:orientation val="minMax"/>
        </c:scaling>
        <c:delete val="0"/>
        <c:axPos val="r"/>
        <c:numFmt formatCode="#,##0.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8271912"/>
        <c:crosses val="max"/>
        <c:crossBetween val="between"/>
      </c:valAx>
      <c:catAx>
        <c:axId val="878271912"/>
        <c:scaling>
          <c:orientation val="minMax"/>
        </c:scaling>
        <c:delete val="1"/>
        <c:axPos val="b"/>
        <c:numFmt formatCode="General" sourceLinked="1"/>
        <c:majorTickMark val="out"/>
        <c:minorTickMark val="none"/>
        <c:tickLblPos val="nextTo"/>
        <c:crossAx val="878272568"/>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0.27299</cdr:x>
      <cdr:y>0.11139</cdr:y>
    </cdr:from>
    <cdr:to>
      <cdr:x>0.52775</cdr:x>
      <cdr:y>0.18309</cdr:y>
    </cdr:to>
    <cdr:sp macro="" textlink="">
      <cdr:nvSpPr>
        <cdr:cNvPr id="2" name="TextBox 1">
          <a:extLst xmlns:a="http://schemas.openxmlformats.org/drawingml/2006/main">
            <a:ext uri="{FF2B5EF4-FFF2-40B4-BE49-F238E27FC236}">
              <a16:creationId xmlns:a16="http://schemas.microsoft.com/office/drawing/2014/main" id="{B3C11A79-70CF-FCE7-1801-1F00F5723469}"/>
            </a:ext>
          </a:extLst>
        </cdr:cNvPr>
        <cdr:cNvSpPr txBox="1"/>
      </cdr:nvSpPr>
      <cdr:spPr>
        <a:xfrm xmlns:a="http://schemas.openxmlformats.org/drawingml/2006/main">
          <a:off x="602560" y="278894"/>
          <a:ext cx="562321" cy="1795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7.60 %</a:t>
          </a:r>
          <a:r>
            <a:rPr lang="en-US" sz="1100" baseline="0"/>
            <a:t> </a:t>
          </a:r>
          <a:endParaRPr lang="en-US" sz="1100"/>
        </a:p>
      </cdr:txBody>
    </cdr:sp>
  </cdr:relSizeAnchor>
  <cdr:relSizeAnchor xmlns:cdr="http://schemas.openxmlformats.org/drawingml/2006/chartDrawing">
    <cdr:from>
      <cdr:x>0.65144</cdr:x>
      <cdr:y>0.26954</cdr:y>
    </cdr:from>
    <cdr:to>
      <cdr:x>0.92273</cdr:x>
      <cdr:y>0.34124</cdr:y>
    </cdr:to>
    <cdr:sp macro="" textlink="">
      <cdr:nvSpPr>
        <cdr:cNvPr id="3" name="TextBox 1">
          <a:extLst xmlns:a="http://schemas.openxmlformats.org/drawingml/2006/main">
            <a:ext uri="{FF2B5EF4-FFF2-40B4-BE49-F238E27FC236}">
              <a16:creationId xmlns:a16="http://schemas.microsoft.com/office/drawing/2014/main" id="{BBD14950-BC48-D921-49D9-12DC5FB664B0}"/>
            </a:ext>
          </a:extLst>
        </cdr:cNvPr>
        <cdr:cNvSpPr txBox="1"/>
      </cdr:nvSpPr>
      <cdr:spPr>
        <a:xfrm xmlns:a="http://schemas.openxmlformats.org/drawingml/2006/main">
          <a:off x="1438019" y="904076"/>
          <a:ext cx="598866" cy="24049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aseline="0"/>
            <a:t>6.00 %</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0.27352</cdr:x>
      <cdr:y>0.18034</cdr:y>
    </cdr:from>
    <cdr:to>
      <cdr:x>0.57748</cdr:x>
      <cdr:y>0.25158</cdr:y>
    </cdr:to>
    <cdr:sp macro="" textlink="">
      <cdr:nvSpPr>
        <cdr:cNvPr id="2" name="TextBox 1">
          <a:extLst xmlns:a="http://schemas.openxmlformats.org/drawingml/2006/main">
            <a:ext uri="{FF2B5EF4-FFF2-40B4-BE49-F238E27FC236}">
              <a16:creationId xmlns:a16="http://schemas.microsoft.com/office/drawing/2014/main" id="{85254109-DF33-9ABB-FAA7-2C44B8761299}"/>
            </a:ext>
          </a:extLst>
        </cdr:cNvPr>
        <cdr:cNvSpPr txBox="1"/>
      </cdr:nvSpPr>
      <cdr:spPr>
        <a:xfrm xmlns:a="http://schemas.openxmlformats.org/drawingml/2006/main">
          <a:off x="578545" y="462644"/>
          <a:ext cx="642930" cy="18275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6.90</a:t>
          </a:r>
          <a:r>
            <a:rPr lang="en-US" sz="1100" baseline="0"/>
            <a:t> %</a:t>
          </a:r>
          <a:endParaRPr lang="en-US" sz="1100"/>
        </a:p>
      </cdr:txBody>
    </cdr:sp>
  </cdr:relSizeAnchor>
  <cdr:relSizeAnchor xmlns:cdr="http://schemas.openxmlformats.org/drawingml/2006/chartDrawing">
    <cdr:from>
      <cdr:x>0.63432</cdr:x>
      <cdr:y>0.45266</cdr:y>
    </cdr:from>
    <cdr:to>
      <cdr:x>0.91115</cdr:x>
      <cdr:y>0.5239</cdr:y>
    </cdr:to>
    <cdr:sp macro="" textlink="">
      <cdr:nvSpPr>
        <cdr:cNvPr id="3" name="TextBox 1">
          <a:extLst xmlns:a="http://schemas.openxmlformats.org/drawingml/2006/main">
            <a:ext uri="{FF2B5EF4-FFF2-40B4-BE49-F238E27FC236}">
              <a16:creationId xmlns:a16="http://schemas.microsoft.com/office/drawing/2014/main" id="{85254109-DF33-9ABB-FAA7-2C44B8761299}"/>
            </a:ext>
          </a:extLst>
        </cdr:cNvPr>
        <cdr:cNvSpPr txBox="1"/>
      </cdr:nvSpPr>
      <cdr:spPr>
        <a:xfrm xmlns:a="http://schemas.openxmlformats.org/drawingml/2006/main">
          <a:off x="1341714" y="1161244"/>
          <a:ext cx="585547" cy="18275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aseline="0"/>
            <a:t>4.00%</a:t>
          </a:r>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0.30932</cdr:x>
      <cdr:y>0.30889</cdr:y>
    </cdr:from>
    <cdr:to>
      <cdr:x>0.52204</cdr:x>
      <cdr:y>0.36415</cdr:y>
    </cdr:to>
    <cdr:sp macro="" textlink="">
      <cdr:nvSpPr>
        <cdr:cNvPr id="2" name="TextBox 1">
          <a:extLst xmlns:a="http://schemas.openxmlformats.org/drawingml/2006/main">
            <a:ext uri="{FF2B5EF4-FFF2-40B4-BE49-F238E27FC236}">
              <a16:creationId xmlns:a16="http://schemas.microsoft.com/office/drawing/2014/main" id="{CBD414B7-E235-67FC-3C02-55FD5123FBF5}"/>
            </a:ext>
          </a:extLst>
        </cdr:cNvPr>
        <cdr:cNvSpPr txBox="1"/>
      </cdr:nvSpPr>
      <cdr:spPr>
        <a:xfrm xmlns:a="http://schemas.openxmlformats.org/drawingml/2006/main">
          <a:off x="664879" y="678662"/>
          <a:ext cx="457237" cy="1214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.93</a:t>
          </a:r>
        </a:p>
      </cdr:txBody>
    </cdr:sp>
  </cdr:relSizeAnchor>
  <cdr:relSizeAnchor xmlns:cdr="http://schemas.openxmlformats.org/drawingml/2006/chartDrawing">
    <cdr:from>
      <cdr:x>0.65521</cdr:x>
      <cdr:y>0.19458</cdr:y>
    </cdr:from>
    <cdr:to>
      <cdr:x>0.86794</cdr:x>
      <cdr:y>0.24984</cdr:y>
    </cdr:to>
    <cdr:sp macro="" textlink="">
      <cdr:nvSpPr>
        <cdr:cNvPr id="3" name="TextBox 1">
          <a:extLst xmlns:a="http://schemas.openxmlformats.org/drawingml/2006/main">
            <a:ext uri="{FF2B5EF4-FFF2-40B4-BE49-F238E27FC236}">
              <a16:creationId xmlns:a16="http://schemas.microsoft.com/office/drawing/2014/main" id="{CBD414B7-E235-67FC-3C02-55FD5123FBF5}"/>
            </a:ext>
          </a:extLst>
        </cdr:cNvPr>
        <cdr:cNvSpPr txBox="1"/>
      </cdr:nvSpPr>
      <cdr:spPr>
        <a:xfrm xmlns:a="http://schemas.openxmlformats.org/drawingml/2006/main">
          <a:off x="1408362" y="427501"/>
          <a:ext cx="457258" cy="1214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1.25</a:t>
          </a:r>
        </a:p>
      </cdr:txBody>
    </cdr:sp>
  </cdr:relSizeAnchor>
</c:userShapes>
</file>

<file path=word/drawings/drawing4.xml><?xml version="1.0" encoding="utf-8"?>
<c:userShapes xmlns:c="http://schemas.openxmlformats.org/drawingml/2006/chart">
  <cdr:relSizeAnchor xmlns:cdr="http://schemas.openxmlformats.org/drawingml/2006/chartDrawing">
    <cdr:from>
      <cdr:x>0.49533</cdr:x>
      <cdr:y>0.17191</cdr:y>
    </cdr:from>
    <cdr:to>
      <cdr:x>0.67114</cdr:x>
      <cdr:y>0.24179</cdr:y>
    </cdr:to>
    <cdr:sp macro="" textlink="">
      <cdr:nvSpPr>
        <cdr:cNvPr id="3" name="TextBox 1"/>
        <cdr:cNvSpPr txBox="1"/>
      </cdr:nvSpPr>
      <cdr:spPr>
        <a:xfrm xmlns:a="http://schemas.openxmlformats.org/drawingml/2006/main">
          <a:off x="1288340" y="553663"/>
          <a:ext cx="457258" cy="22508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255</a:t>
          </a:r>
        </a:p>
      </cdr:txBody>
    </cdr:sp>
  </cdr:relSizeAnchor>
</c:userShapes>
</file>

<file path=word/drawings/drawing5.xml><?xml version="1.0" encoding="utf-8"?>
<c:userShapes xmlns:c="http://schemas.openxmlformats.org/drawingml/2006/chart">
  <cdr:relSizeAnchor xmlns:cdr="http://schemas.openxmlformats.org/drawingml/2006/chartDrawing">
    <cdr:from>
      <cdr:x>0.48121</cdr:x>
      <cdr:y>0.20263</cdr:y>
    </cdr:from>
    <cdr:to>
      <cdr:x>0.66907</cdr:x>
      <cdr:y>0.28369</cdr:y>
    </cdr:to>
    <cdr:sp macro="" textlink="">
      <cdr:nvSpPr>
        <cdr:cNvPr id="2" name="Text Box 1"/>
        <cdr:cNvSpPr txBox="1"/>
      </cdr:nvSpPr>
      <cdr:spPr>
        <a:xfrm xmlns:a="http://schemas.openxmlformats.org/drawingml/2006/main">
          <a:off x="1276066" y="614150"/>
          <a:ext cx="498143" cy="2456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4.06</a:t>
          </a:r>
        </a:p>
      </cdr:txBody>
    </cdr:sp>
  </cdr:relSizeAnchor>
  <cdr:relSizeAnchor xmlns:cdr="http://schemas.openxmlformats.org/drawingml/2006/chartDrawing">
    <cdr:from>
      <cdr:x>0.73643</cdr:x>
      <cdr:y>0.36249</cdr:y>
    </cdr:from>
    <cdr:to>
      <cdr:x>0.91656</cdr:x>
      <cdr:y>0.44804</cdr:y>
    </cdr:to>
    <cdr:sp macro="" textlink="">
      <cdr:nvSpPr>
        <cdr:cNvPr id="3" name="Text Box 2"/>
        <cdr:cNvSpPr txBox="1"/>
      </cdr:nvSpPr>
      <cdr:spPr>
        <a:xfrm xmlns:a="http://schemas.openxmlformats.org/drawingml/2006/main">
          <a:off x="1952829" y="1098655"/>
          <a:ext cx="477662" cy="2592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3.00</a:t>
          </a:r>
        </a:p>
      </cdr:txBody>
    </cdr:sp>
  </cdr:relSizeAnchor>
  <cdr:relSizeAnchor xmlns:cdr="http://schemas.openxmlformats.org/drawingml/2006/chartDrawing">
    <cdr:from>
      <cdr:x>0.21473</cdr:x>
      <cdr:y>0.22165</cdr:y>
    </cdr:from>
    <cdr:to>
      <cdr:x>0.40259</cdr:x>
      <cdr:y>0.3027</cdr:y>
    </cdr:to>
    <cdr:sp macro="" textlink="">
      <cdr:nvSpPr>
        <cdr:cNvPr id="4" name="Text Box 1"/>
        <cdr:cNvSpPr txBox="1"/>
      </cdr:nvSpPr>
      <cdr:spPr>
        <a:xfrm xmlns:a="http://schemas.openxmlformats.org/drawingml/2006/main">
          <a:off x="569416" y="671774"/>
          <a:ext cx="498143" cy="24565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3.91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33AF3-DEF0-488C-8B07-F167302D9202}">
  <ds:schemaRefs>
    <ds:schemaRef ds:uri="http://schemas.openxmlformats.org/officeDocument/2006/bibliography"/>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21</TotalTime>
  <Pages>7</Pages>
  <Words>2100</Words>
  <Characters>11976</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CharactersWithSpaces>
  <SharedDoc>false</SharedDoc>
  <HLinks>
    <vt:vector size="18" baseType="variant">
      <vt:variant>
        <vt:i4>3932229</vt:i4>
      </vt:variant>
      <vt:variant>
        <vt:i4>6</vt:i4>
      </vt:variant>
      <vt:variant>
        <vt:i4>0</vt:i4>
      </vt:variant>
      <vt:variant>
        <vt:i4>5</vt:i4>
      </vt:variant>
      <vt:variant>
        <vt:lpwstr>\\files.txstate.edu\dept\FSS\FS\GAO\GAO-Shares\Annual Financial Report\CFI Ratio Analysis -(VPFSS)\FY 2022\CFI Chart 2008-2027 Draft for FY22 v2 for Eric wo comments.xlsx</vt:lpwstr>
      </vt:variant>
      <vt:variant>
        <vt:lpwstr/>
      </vt:variant>
      <vt:variant>
        <vt:i4>3932229</vt:i4>
      </vt:variant>
      <vt:variant>
        <vt:i4>3</vt:i4>
      </vt:variant>
      <vt:variant>
        <vt:i4>0</vt:i4>
      </vt:variant>
      <vt:variant>
        <vt:i4>5</vt:i4>
      </vt:variant>
      <vt:variant>
        <vt:lpwstr>\\files.txstate.edu\dept\FSS\FS\GAO\GAO-Shares\Annual Financial Report\CFI Ratio Analysis -(VPFSS)\FY 2022\CFI Chart 2008-2027 Draft for FY22 v2 for Eric wo comments.xlsx</vt:lpwstr>
      </vt:variant>
      <vt:variant>
        <vt:lpwstr/>
      </vt:variant>
      <vt:variant>
        <vt:i4>1966140</vt:i4>
      </vt:variant>
      <vt:variant>
        <vt:i4>0</vt:i4>
      </vt:variant>
      <vt:variant>
        <vt:i4>0</vt:i4>
      </vt:variant>
      <vt:variant>
        <vt:i4>5</vt:i4>
      </vt:variant>
      <vt:variant>
        <vt:lpwstr>\\files.txstate.edu\dept\FSS\FS\GAO\GAO-Shares\Annual Financial Report\CFI Ratio Analysis -(VPFSS)\Resources\Strategic Financial Analysis for Higher Education - 7th Edition.pdf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Borgonah, Darryl J</dc:creator>
  <cp:keywords/>
  <dc:description/>
  <cp:lastModifiedBy>Carr, Shauntia A</cp:lastModifiedBy>
  <cp:revision>2</cp:revision>
  <cp:lastPrinted>2020-12-17T23:21:00Z</cp:lastPrinted>
  <dcterms:created xsi:type="dcterms:W3CDTF">2024-11-11T22:17:00Z</dcterms:created>
  <dcterms:modified xsi:type="dcterms:W3CDTF">2024-11-11T22:17:00Z</dcterms:modified>
</cp:coreProperties>
</file>