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CD0B" w14:textId="77777777" w:rsidR="00A50A8B" w:rsidRDefault="00A50A8B" w:rsidP="00A50A8B">
      <w:pPr>
        <w:pStyle w:val="OMBInfo"/>
      </w:pPr>
      <w:r>
        <w:t xml:space="preserve">OMB No. 0925-0001 and 0925-0002 (Rev. </w:t>
      </w:r>
      <w:r w:rsidR="00202565">
        <w:t>10/2021</w:t>
      </w:r>
      <w:r w:rsidR="007E6E1E" w:rsidRPr="007E6E1E">
        <w:t xml:space="preserve"> </w:t>
      </w:r>
      <w:r>
        <w:t xml:space="preserve">Approved Through </w:t>
      </w:r>
      <w:r w:rsidR="00202565">
        <w:t>09/30/2024</w:t>
      </w:r>
      <w:r>
        <w:t>)</w:t>
      </w:r>
    </w:p>
    <w:p w14:paraId="7E711BAC" w14:textId="77777777" w:rsidR="002B7443" w:rsidRPr="006E6FB5" w:rsidRDefault="002B7443" w:rsidP="006E6FB5">
      <w:pPr>
        <w:pStyle w:val="Title"/>
      </w:pPr>
      <w:r w:rsidRPr="006E6FB5">
        <w:t>BIOGRAPHICAL SKETCH</w:t>
      </w:r>
    </w:p>
    <w:p w14:paraId="543F9F47" w14:textId="77777777"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27CE4222" w14:textId="77777777"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6C4618">
        <w:rPr>
          <w:bCs/>
          <w:sz w:val="22"/>
        </w:rPr>
        <w:t>García</w:t>
      </w:r>
      <w:r w:rsidR="00A0082E" w:rsidRPr="00A0082E">
        <w:rPr>
          <w:bCs/>
          <w:sz w:val="22"/>
        </w:rPr>
        <w:t xml:space="preserve">, </w:t>
      </w:r>
      <w:r w:rsidR="006C4618">
        <w:rPr>
          <w:bCs/>
          <w:sz w:val="22"/>
        </w:rPr>
        <w:t>Dana Michelle</w:t>
      </w:r>
    </w:p>
    <w:p w14:paraId="2ECBD5F0" w14:textId="77777777"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420282">
        <w:rPr>
          <w:sz w:val="22"/>
        </w:rPr>
        <w:t>DGARCIA4309</w:t>
      </w:r>
    </w:p>
    <w:p w14:paraId="5CDB2BE2" w14:textId="77777777"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A0082E" w:rsidRPr="00A0082E">
        <w:rPr>
          <w:sz w:val="22"/>
        </w:rPr>
        <w:t xml:space="preserve"> </w:t>
      </w:r>
      <w:r w:rsidR="00A0082E">
        <w:rPr>
          <w:sz w:val="22"/>
        </w:rPr>
        <w:t>Professor, Department of Bio</w:t>
      </w:r>
      <w:r w:rsidR="006C4618">
        <w:rPr>
          <w:sz w:val="22"/>
        </w:rPr>
        <w:t>logy</w:t>
      </w:r>
      <w:r w:rsidR="00A0082E">
        <w:rPr>
          <w:sz w:val="22"/>
        </w:rPr>
        <w:t>, Texas State University</w:t>
      </w:r>
    </w:p>
    <w:p w14:paraId="5F2F52D1" w14:textId="77777777"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50A49759" w14:textId="77777777" w:rsidTr="005F0B12">
        <w:trPr>
          <w:cantSplit/>
          <w:tblHeader/>
        </w:trPr>
        <w:tc>
          <w:tcPr>
            <w:tcW w:w="5220" w:type="dxa"/>
            <w:tcBorders>
              <w:top w:val="single" w:sz="4" w:space="0" w:color="auto"/>
              <w:bottom w:val="single" w:sz="4" w:space="0" w:color="auto"/>
            </w:tcBorders>
            <w:vAlign w:val="center"/>
          </w:tcPr>
          <w:p w14:paraId="35891456"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66DDFD1C" w14:textId="77777777" w:rsidR="00933173" w:rsidRPr="00D3779E" w:rsidRDefault="00933173" w:rsidP="000B5732">
            <w:pPr>
              <w:pStyle w:val="FormFieldCaption"/>
              <w:jc w:val="center"/>
              <w:rPr>
                <w:sz w:val="22"/>
              </w:rPr>
            </w:pPr>
            <w:r w:rsidRPr="00D3779E">
              <w:rPr>
                <w:sz w:val="22"/>
              </w:rPr>
              <w:t>DEGREE</w:t>
            </w:r>
          </w:p>
          <w:p w14:paraId="6D43FB27" w14:textId="77777777" w:rsidR="00933173" w:rsidRPr="00D3779E" w:rsidRDefault="00933173" w:rsidP="000B5732">
            <w:pPr>
              <w:pStyle w:val="FormFieldCaption"/>
              <w:jc w:val="center"/>
              <w:rPr>
                <w:rStyle w:val="Emphasis"/>
                <w:sz w:val="22"/>
              </w:rPr>
            </w:pPr>
            <w:r w:rsidRPr="00D3779E">
              <w:rPr>
                <w:rStyle w:val="Emphasis"/>
                <w:sz w:val="22"/>
              </w:rPr>
              <w:t>(</w:t>
            </w:r>
            <w:proofErr w:type="gramStart"/>
            <w:r w:rsidRPr="00D3779E">
              <w:rPr>
                <w:rStyle w:val="Emphasis"/>
                <w:sz w:val="22"/>
              </w:rPr>
              <w:t>if</w:t>
            </w:r>
            <w:proofErr w:type="gramEnd"/>
            <w:r w:rsidRPr="00D3779E">
              <w:rPr>
                <w:rStyle w:val="Emphasis"/>
                <w:sz w:val="22"/>
              </w:rPr>
              <w:t xml:space="preserve"> applicable)</w:t>
            </w:r>
          </w:p>
          <w:p w14:paraId="6406FB28"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7ADE0E43" w14:textId="77777777" w:rsidR="00C1247F" w:rsidRPr="00D3779E" w:rsidRDefault="00C1247F" w:rsidP="000B5732">
            <w:pPr>
              <w:pStyle w:val="FormFieldCaption"/>
              <w:jc w:val="center"/>
              <w:rPr>
                <w:sz w:val="22"/>
              </w:rPr>
            </w:pPr>
            <w:r w:rsidRPr="00D3779E">
              <w:rPr>
                <w:sz w:val="22"/>
              </w:rPr>
              <w:t>Completion Date</w:t>
            </w:r>
          </w:p>
          <w:p w14:paraId="33D60D49" w14:textId="77777777" w:rsidR="00933173" w:rsidRPr="00D3779E" w:rsidRDefault="00933173" w:rsidP="000B5732">
            <w:pPr>
              <w:pStyle w:val="FormFieldCaption"/>
              <w:jc w:val="center"/>
              <w:rPr>
                <w:sz w:val="22"/>
              </w:rPr>
            </w:pPr>
            <w:r w:rsidRPr="00D3779E">
              <w:rPr>
                <w:sz w:val="22"/>
              </w:rPr>
              <w:t>MM/YYYY</w:t>
            </w:r>
          </w:p>
          <w:p w14:paraId="35C88768"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68FF6B1C" w14:textId="77777777" w:rsidR="00933173" w:rsidRPr="00D3779E" w:rsidRDefault="00933173" w:rsidP="000B5732">
            <w:pPr>
              <w:pStyle w:val="FormFieldCaption"/>
              <w:jc w:val="center"/>
              <w:rPr>
                <w:sz w:val="22"/>
              </w:rPr>
            </w:pPr>
            <w:r w:rsidRPr="00D3779E">
              <w:rPr>
                <w:sz w:val="22"/>
              </w:rPr>
              <w:t>FIELD OF STUDY</w:t>
            </w:r>
          </w:p>
          <w:p w14:paraId="29BCF235" w14:textId="77777777" w:rsidR="00933173" w:rsidRPr="00D3779E" w:rsidRDefault="00933173" w:rsidP="000B5732">
            <w:pPr>
              <w:pStyle w:val="FormFieldCaption"/>
              <w:rPr>
                <w:sz w:val="22"/>
              </w:rPr>
            </w:pPr>
          </w:p>
        </w:tc>
      </w:tr>
      <w:tr w:rsidR="00A0082E" w:rsidRPr="00D3779E" w14:paraId="628F7A5D" w14:textId="77777777" w:rsidTr="005F0B12">
        <w:trPr>
          <w:cantSplit/>
          <w:trHeight w:val="395"/>
        </w:trPr>
        <w:tc>
          <w:tcPr>
            <w:tcW w:w="5220" w:type="dxa"/>
            <w:tcBorders>
              <w:top w:val="single" w:sz="4" w:space="0" w:color="auto"/>
            </w:tcBorders>
          </w:tcPr>
          <w:p w14:paraId="554EFEBB" w14:textId="77777777" w:rsidR="00A0082E" w:rsidRPr="00977FA5" w:rsidRDefault="006C4618" w:rsidP="00A0082E">
            <w:pPr>
              <w:pStyle w:val="FormFieldCaption"/>
              <w:spacing w:before="20" w:after="20"/>
              <w:rPr>
                <w:sz w:val="22"/>
                <w:szCs w:val="22"/>
              </w:rPr>
            </w:pPr>
            <w:r>
              <w:rPr>
                <w:sz w:val="22"/>
                <w:szCs w:val="22"/>
              </w:rPr>
              <w:t xml:space="preserve">Texas A&amp;M </w:t>
            </w:r>
            <w:r w:rsidR="00A0082E">
              <w:rPr>
                <w:sz w:val="22"/>
                <w:szCs w:val="22"/>
              </w:rPr>
              <w:t>University</w:t>
            </w:r>
            <w:r>
              <w:rPr>
                <w:sz w:val="22"/>
                <w:szCs w:val="22"/>
              </w:rPr>
              <w:t>,</w:t>
            </w:r>
            <w:r w:rsidR="00A0082E">
              <w:rPr>
                <w:sz w:val="22"/>
                <w:szCs w:val="22"/>
              </w:rPr>
              <w:t xml:space="preserve"> </w:t>
            </w:r>
            <w:r>
              <w:rPr>
                <w:sz w:val="22"/>
                <w:szCs w:val="22"/>
              </w:rPr>
              <w:t>College Station</w:t>
            </w:r>
          </w:p>
        </w:tc>
        <w:tc>
          <w:tcPr>
            <w:tcW w:w="1440" w:type="dxa"/>
            <w:tcBorders>
              <w:top w:val="single" w:sz="4" w:space="0" w:color="auto"/>
            </w:tcBorders>
          </w:tcPr>
          <w:p w14:paraId="528F3E20" w14:textId="77777777" w:rsidR="00A0082E" w:rsidRPr="00977FA5" w:rsidRDefault="00A0082E" w:rsidP="00A0082E">
            <w:pPr>
              <w:pStyle w:val="FormFieldCaption"/>
              <w:spacing w:before="20" w:after="20"/>
              <w:jc w:val="center"/>
              <w:rPr>
                <w:sz w:val="22"/>
                <w:szCs w:val="22"/>
              </w:rPr>
            </w:pPr>
            <w:r>
              <w:rPr>
                <w:sz w:val="22"/>
                <w:szCs w:val="22"/>
              </w:rPr>
              <w:t>B. S.</w:t>
            </w:r>
          </w:p>
        </w:tc>
        <w:tc>
          <w:tcPr>
            <w:tcW w:w="1584" w:type="dxa"/>
            <w:tcBorders>
              <w:top w:val="single" w:sz="4" w:space="0" w:color="auto"/>
            </w:tcBorders>
          </w:tcPr>
          <w:p w14:paraId="5C4F2492" w14:textId="77777777" w:rsidR="00A0082E" w:rsidRPr="00977FA5" w:rsidRDefault="00A0082E" w:rsidP="00A0082E">
            <w:pPr>
              <w:pStyle w:val="FormFieldCaption"/>
              <w:spacing w:before="20" w:after="20"/>
              <w:jc w:val="center"/>
              <w:rPr>
                <w:sz w:val="22"/>
                <w:szCs w:val="22"/>
              </w:rPr>
            </w:pPr>
            <w:r>
              <w:rPr>
                <w:sz w:val="22"/>
                <w:szCs w:val="22"/>
              </w:rPr>
              <w:t>0</w:t>
            </w:r>
            <w:r w:rsidR="006C4618">
              <w:rPr>
                <w:sz w:val="22"/>
                <w:szCs w:val="22"/>
              </w:rPr>
              <w:t>5</w:t>
            </w:r>
            <w:r>
              <w:rPr>
                <w:sz w:val="22"/>
                <w:szCs w:val="22"/>
              </w:rPr>
              <w:t>/19</w:t>
            </w:r>
            <w:r w:rsidR="006C4618">
              <w:rPr>
                <w:sz w:val="22"/>
                <w:szCs w:val="22"/>
              </w:rPr>
              <w:t>86</w:t>
            </w:r>
          </w:p>
        </w:tc>
        <w:tc>
          <w:tcPr>
            <w:tcW w:w="2592" w:type="dxa"/>
            <w:tcBorders>
              <w:top w:val="single" w:sz="4" w:space="0" w:color="auto"/>
            </w:tcBorders>
          </w:tcPr>
          <w:p w14:paraId="633AD1CC" w14:textId="77777777" w:rsidR="00A0082E" w:rsidRPr="00977FA5" w:rsidRDefault="006C4618" w:rsidP="00A0082E">
            <w:pPr>
              <w:pStyle w:val="FormFieldCaption"/>
              <w:spacing w:before="20" w:after="20"/>
              <w:rPr>
                <w:sz w:val="22"/>
                <w:szCs w:val="22"/>
              </w:rPr>
            </w:pPr>
            <w:r>
              <w:rPr>
                <w:sz w:val="22"/>
                <w:szCs w:val="22"/>
              </w:rPr>
              <w:t>Zoology</w:t>
            </w:r>
          </w:p>
        </w:tc>
      </w:tr>
      <w:tr w:rsidR="00A0082E" w:rsidRPr="00D3779E" w14:paraId="2BB6523E" w14:textId="77777777" w:rsidTr="005F0B12">
        <w:trPr>
          <w:cantSplit/>
          <w:trHeight w:val="395"/>
        </w:trPr>
        <w:tc>
          <w:tcPr>
            <w:tcW w:w="5220" w:type="dxa"/>
          </w:tcPr>
          <w:p w14:paraId="35563A45" w14:textId="77777777" w:rsidR="00A0082E" w:rsidRPr="00977FA5" w:rsidRDefault="00A0082E" w:rsidP="00A0082E">
            <w:pPr>
              <w:pStyle w:val="FormFieldCaption"/>
              <w:spacing w:before="20" w:after="20"/>
              <w:rPr>
                <w:sz w:val="22"/>
                <w:szCs w:val="22"/>
              </w:rPr>
            </w:pPr>
            <w:r>
              <w:rPr>
                <w:sz w:val="22"/>
                <w:szCs w:val="22"/>
              </w:rPr>
              <w:t>University</w:t>
            </w:r>
            <w:r w:rsidR="006C4618">
              <w:rPr>
                <w:sz w:val="22"/>
                <w:szCs w:val="22"/>
              </w:rPr>
              <w:t xml:space="preserve"> of California, Berkeley</w:t>
            </w:r>
          </w:p>
        </w:tc>
        <w:tc>
          <w:tcPr>
            <w:tcW w:w="1440" w:type="dxa"/>
          </w:tcPr>
          <w:p w14:paraId="480645E7" w14:textId="77777777" w:rsidR="00A0082E" w:rsidRPr="00977FA5" w:rsidRDefault="00A0082E" w:rsidP="00A0082E">
            <w:pPr>
              <w:pStyle w:val="FormFieldCaption"/>
              <w:spacing w:before="20" w:after="20"/>
              <w:jc w:val="center"/>
              <w:rPr>
                <w:sz w:val="22"/>
                <w:szCs w:val="22"/>
              </w:rPr>
            </w:pPr>
            <w:r>
              <w:rPr>
                <w:sz w:val="22"/>
                <w:szCs w:val="22"/>
              </w:rPr>
              <w:t>Ph. D.</w:t>
            </w:r>
          </w:p>
        </w:tc>
        <w:tc>
          <w:tcPr>
            <w:tcW w:w="1584" w:type="dxa"/>
          </w:tcPr>
          <w:p w14:paraId="33B48AC8" w14:textId="77777777" w:rsidR="00A0082E" w:rsidRPr="00977FA5" w:rsidRDefault="006C4618" w:rsidP="00A0082E">
            <w:pPr>
              <w:pStyle w:val="FormFieldCaption"/>
              <w:spacing w:before="20" w:after="20"/>
              <w:jc w:val="center"/>
              <w:rPr>
                <w:sz w:val="22"/>
                <w:szCs w:val="22"/>
              </w:rPr>
            </w:pPr>
            <w:r>
              <w:rPr>
                <w:sz w:val="22"/>
                <w:szCs w:val="22"/>
              </w:rPr>
              <w:t>12</w:t>
            </w:r>
            <w:r w:rsidR="00A0082E">
              <w:rPr>
                <w:sz w:val="22"/>
                <w:szCs w:val="22"/>
              </w:rPr>
              <w:t>/</w:t>
            </w:r>
            <w:r>
              <w:rPr>
                <w:sz w:val="22"/>
                <w:szCs w:val="22"/>
              </w:rPr>
              <w:t>1994</w:t>
            </w:r>
          </w:p>
        </w:tc>
        <w:tc>
          <w:tcPr>
            <w:tcW w:w="2592" w:type="dxa"/>
          </w:tcPr>
          <w:p w14:paraId="303CE8A8" w14:textId="77777777" w:rsidR="00A0082E" w:rsidRPr="00977FA5" w:rsidRDefault="006C4618" w:rsidP="00A0082E">
            <w:pPr>
              <w:pStyle w:val="FormFieldCaption"/>
              <w:spacing w:before="20" w:after="20"/>
              <w:rPr>
                <w:sz w:val="22"/>
                <w:szCs w:val="22"/>
              </w:rPr>
            </w:pPr>
            <w:r>
              <w:rPr>
                <w:sz w:val="22"/>
                <w:szCs w:val="22"/>
              </w:rPr>
              <w:t>Physiology</w:t>
            </w:r>
          </w:p>
        </w:tc>
      </w:tr>
    </w:tbl>
    <w:p w14:paraId="0C7DECDE" w14:textId="77777777" w:rsidR="002C51BC" w:rsidRPr="00D67DB2" w:rsidRDefault="002C51BC" w:rsidP="00FC5F9E">
      <w:pPr>
        <w:rPr>
          <w:sz w:val="11"/>
          <w:szCs w:val="11"/>
        </w:rPr>
      </w:pPr>
    </w:p>
    <w:p w14:paraId="55F4BA0B" w14:textId="77777777" w:rsidR="006C4618" w:rsidRDefault="006C4618" w:rsidP="002C51BC">
      <w:pPr>
        <w:pStyle w:val="DataField11pt-Single"/>
        <w:rPr>
          <w:rStyle w:val="Strong"/>
        </w:rPr>
      </w:pPr>
    </w:p>
    <w:p w14:paraId="28921715" w14:textId="77777777" w:rsidR="002C51BC" w:rsidRDefault="002C51BC" w:rsidP="002C51BC">
      <w:pPr>
        <w:pStyle w:val="DataField11pt-Single"/>
        <w:rPr>
          <w:rStyle w:val="Strong"/>
        </w:rPr>
      </w:pPr>
      <w:r w:rsidRPr="00A128A0">
        <w:rPr>
          <w:rStyle w:val="Strong"/>
        </w:rPr>
        <w:t>A.</w:t>
      </w:r>
      <w:r w:rsidRPr="00A128A0">
        <w:rPr>
          <w:rStyle w:val="Strong"/>
        </w:rPr>
        <w:tab/>
        <w:t>Personal Statement</w:t>
      </w:r>
    </w:p>
    <w:p w14:paraId="078C475D" w14:textId="77777777" w:rsidR="00153DEB" w:rsidRPr="00D67DB2" w:rsidRDefault="00153DEB" w:rsidP="002C07F8">
      <w:pPr>
        <w:pStyle w:val="DataField11pt-Single"/>
        <w:ind w:firstLine="360"/>
        <w:jc w:val="both"/>
        <w:rPr>
          <w:rStyle w:val="Strong"/>
          <w:b w:val="0"/>
          <w:sz w:val="11"/>
          <w:szCs w:val="11"/>
        </w:rPr>
      </w:pPr>
    </w:p>
    <w:p w14:paraId="2B9A803F" w14:textId="322165A4" w:rsidR="004858AE" w:rsidRDefault="004858AE" w:rsidP="004858AE">
      <w:pPr>
        <w:pStyle w:val="DataField11pt-Single"/>
        <w:ind w:firstLine="360"/>
        <w:jc w:val="both"/>
        <w:rPr>
          <w:rStyle w:val="Strong"/>
          <w:b w:val="0"/>
        </w:rPr>
      </w:pPr>
      <w:r w:rsidRPr="003363C2">
        <w:rPr>
          <w:rStyle w:val="Strong"/>
          <w:b w:val="0"/>
        </w:rPr>
        <w:t xml:space="preserve">My role in the proposed project is </w:t>
      </w:r>
      <w:r w:rsidRPr="00F050BB">
        <w:rPr>
          <w:rStyle w:val="Strong"/>
          <w:b w:val="0"/>
        </w:rPr>
        <w:t xml:space="preserve">that of </w:t>
      </w:r>
      <w:r w:rsidR="001A6823" w:rsidRPr="00F050BB">
        <w:rPr>
          <w:rStyle w:val="Strong"/>
          <w:b w:val="0"/>
        </w:rPr>
        <w:t>pr</w:t>
      </w:r>
      <w:r w:rsidR="00F050BB">
        <w:rPr>
          <w:rStyle w:val="Strong"/>
          <w:b w:val="0"/>
        </w:rPr>
        <w:t>ecep</w:t>
      </w:r>
      <w:r w:rsidR="001A6823" w:rsidRPr="00F050BB">
        <w:rPr>
          <w:rStyle w:val="Strong"/>
          <w:b w:val="0"/>
        </w:rPr>
        <w:t>tor</w:t>
      </w:r>
      <w:r w:rsidRPr="003363C2">
        <w:rPr>
          <w:rStyle w:val="Strong"/>
          <w:b w:val="0"/>
        </w:rPr>
        <w:t>.</w:t>
      </w:r>
    </w:p>
    <w:p w14:paraId="6136B2F9" w14:textId="77777777" w:rsidR="00A8628A" w:rsidRPr="00D67DB2" w:rsidRDefault="00A8628A" w:rsidP="004858AE">
      <w:pPr>
        <w:pStyle w:val="DataField11pt-Single"/>
        <w:ind w:firstLine="360"/>
        <w:jc w:val="both"/>
        <w:rPr>
          <w:rStyle w:val="Strong"/>
          <w:b w:val="0"/>
          <w:sz w:val="11"/>
          <w:szCs w:val="11"/>
        </w:rPr>
      </w:pPr>
    </w:p>
    <w:p w14:paraId="0A7CDC3E" w14:textId="77777777" w:rsidR="00E87F28" w:rsidRDefault="00D40629" w:rsidP="002C07F8">
      <w:pPr>
        <w:pStyle w:val="DataField11pt-Single"/>
        <w:ind w:firstLine="360"/>
        <w:jc w:val="both"/>
        <w:rPr>
          <w:rStyle w:val="Strong"/>
          <w:b w:val="0"/>
        </w:rPr>
      </w:pPr>
      <w:r w:rsidRPr="00D40629">
        <w:rPr>
          <w:rStyle w:val="Strong"/>
          <w:b w:val="0"/>
        </w:rPr>
        <w:t xml:space="preserve">My research group uses </w:t>
      </w:r>
      <w:r w:rsidR="00253862">
        <w:rPr>
          <w:rStyle w:val="Strong"/>
          <w:b w:val="0"/>
        </w:rPr>
        <w:t>a range of</w:t>
      </w:r>
      <w:r w:rsidRPr="00D40629">
        <w:rPr>
          <w:rStyle w:val="Strong"/>
          <w:b w:val="0"/>
        </w:rPr>
        <w:t xml:space="preserve"> techniques to investigate </w:t>
      </w:r>
      <w:r w:rsidR="00253862">
        <w:rPr>
          <w:rStyle w:val="Strong"/>
          <w:b w:val="0"/>
        </w:rPr>
        <w:t>questions broadly related to visual function, its evolution and development.</w:t>
      </w:r>
      <w:r w:rsidR="002C07F8">
        <w:rPr>
          <w:rStyle w:val="Strong"/>
          <w:b w:val="0"/>
        </w:rPr>
        <w:t xml:space="preserve"> </w:t>
      </w:r>
      <w:r w:rsidR="00253862">
        <w:rPr>
          <w:rStyle w:val="Strong"/>
          <w:b w:val="0"/>
        </w:rPr>
        <w:t xml:space="preserve">Our NSF-funded research project carried out in collaboration with the University of Texas at Austin is currently focused on sensory compensation in blind salamanders, specifically correlating eye reduction with expression of </w:t>
      </w:r>
      <w:r w:rsidR="00253862" w:rsidRPr="00253862">
        <w:rPr>
          <w:rStyle w:val="Strong"/>
          <w:b w:val="0"/>
          <w:i/>
          <w:iCs/>
        </w:rPr>
        <w:t>Pax6</w:t>
      </w:r>
      <w:r w:rsidR="00253862">
        <w:rPr>
          <w:rStyle w:val="Strong"/>
          <w:b w:val="0"/>
        </w:rPr>
        <w:t xml:space="preserve"> </w:t>
      </w:r>
      <w:r w:rsidR="004D0023">
        <w:rPr>
          <w:rStyle w:val="Strong"/>
          <w:b w:val="0"/>
        </w:rPr>
        <w:t xml:space="preserve">and augmentation of the anterior lateral line system, comprising sensory hair cells and various support cells (Dobbins et al., </w:t>
      </w:r>
      <w:r w:rsidR="004D0023" w:rsidRPr="004D0023">
        <w:rPr>
          <w:rStyle w:val="Strong"/>
          <w:b w:val="0"/>
        </w:rPr>
        <w:t>in</w:t>
      </w:r>
      <w:r w:rsidR="004D0023">
        <w:rPr>
          <w:rStyle w:val="Strong"/>
          <w:b w:val="0"/>
          <w:i/>
          <w:iCs/>
        </w:rPr>
        <w:t xml:space="preserve"> </w:t>
      </w:r>
      <w:r w:rsidR="004D0023" w:rsidRPr="004D0023">
        <w:rPr>
          <w:rStyle w:val="Strong"/>
          <w:b w:val="0"/>
        </w:rPr>
        <w:t>prep</w:t>
      </w:r>
      <w:r w:rsidR="004D0023">
        <w:rPr>
          <w:rStyle w:val="Strong"/>
          <w:b w:val="0"/>
        </w:rPr>
        <w:t xml:space="preserve">; Tovar </w:t>
      </w:r>
      <w:r w:rsidR="004D0023" w:rsidRPr="004D0023">
        <w:rPr>
          <w:rStyle w:val="Strong"/>
          <w:b w:val="0"/>
        </w:rPr>
        <w:t>et al.,</w:t>
      </w:r>
      <w:r w:rsidR="004D0023">
        <w:rPr>
          <w:rStyle w:val="Strong"/>
          <w:b w:val="0"/>
        </w:rPr>
        <w:t xml:space="preserve"> in prep). </w:t>
      </w:r>
      <w:r w:rsidR="002C07F8" w:rsidRPr="004D0023">
        <w:rPr>
          <w:rStyle w:val="Strong"/>
          <w:b w:val="0"/>
        </w:rPr>
        <w:t>In</w:t>
      </w:r>
      <w:r w:rsidR="002C07F8">
        <w:rPr>
          <w:rStyle w:val="Strong"/>
          <w:b w:val="0"/>
        </w:rPr>
        <w:t xml:space="preserve"> this effort, s</w:t>
      </w:r>
      <w:r w:rsidR="002C07F8" w:rsidRPr="006527BE">
        <w:rPr>
          <w:rStyle w:val="Strong"/>
          <w:b w:val="0"/>
        </w:rPr>
        <w:t xml:space="preserve">tudents </w:t>
      </w:r>
      <w:r w:rsidR="002C07F8" w:rsidRPr="006B1A8E">
        <w:rPr>
          <w:szCs w:val="22"/>
        </w:rPr>
        <w:t xml:space="preserve">use </w:t>
      </w:r>
      <w:r w:rsidR="004D0023">
        <w:rPr>
          <w:szCs w:val="22"/>
        </w:rPr>
        <w:t xml:space="preserve">immunohistochemistry and confocal microscopy, immunoblotting, and image analysis software (Dragon ORS) to analyze </w:t>
      </w:r>
      <w:proofErr w:type="spellStart"/>
      <w:r w:rsidR="004D0023">
        <w:rPr>
          <w:szCs w:val="22"/>
        </w:rPr>
        <w:t>diceCT</w:t>
      </w:r>
      <w:proofErr w:type="spellEnd"/>
      <w:r w:rsidR="004D0023">
        <w:rPr>
          <w:szCs w:val="22"/>
        </w:rPr>
        <w:t xml:space="preserve"> images (acquired from the University of Texas Computerized Tomography Facility) to document changes that occur during development and compare across multiple species and developmental stages.  </w:t>
      </w:r>
      <w:r w:rsidR="00E87F28">
        <w:rPr>
          <w:szCs w:val="22"/>
        </w:rPr>
        <w:t xml:space="preserve">Additionally, students are trained in RNA isolation and </w:t>
      </w:r>
      <w:r w:rsidR="00BA186A">
        <w:rPr>
          <w:szCs w:val="22"/>
        </w:rPr>
        <w:t>writing code</w:t>
      </w:r>
      <w:r w:rsidR="00E87F28">
        <w:rPr>
          <w:szCs w:val="22"/>
        </w:rPr>
        <w:t xml:space="preserve"> to carry out transcriptomic analysis</w:t>
      </w:r>
      <w:r w:rsidR="002C07F8" w:rsidRPr="005A762C">
        <w:rPr>
          <w:rStyle w:val="Strong"/>
          <w:b w:val="0"/>
        </w:rPr>
        <w:t>.</w:t>
      </w:r>
    </w:p>
    <w:p w14:paraId="7319EB92" w14:textId="77777777" w:rsidR="002C07F8" w:rsidRPr="005A762C" w:rsidRDefault="00E87F28" w:rsidP="002C07F8">
      <w:pPr>
        <w:pStyle w:val="DataField11pt-Single"/>
        <w:ind w:firstLine="360"/>
        <w:jc w:val="both"/>
        <w:rPr>
          <w:rStyle w:val="Strong"/>
          <w:b w:val="0"/>
        </w:rPr>
      </w:pPr>
      <w:r>
        <w:rPr>
          <w:rStyle w:val="Strong"/>
          <w:b w:val="0"/>
        </w:rPr>
        <w:t>A second project supported by intramural funds is oriented to extending results from analyses of myosin V genes (</w:t>
      </w:r>
      <w:proofErr w:type="spellStart"/>
      <w:r>
        <w:rPr>
          <w:rStyle w:val="Strong"/>
          <w:b w:val="0"/>
        </w:rPr>
        <w:t>Nuckels</w:t>
      </w:r>
      <w:proofErr w:type="spellEnd"/>
      <w:r>
        <w:rPr>
          <w:rStyle w:val="Strong"/>
          <w:b w:val="0"/>
        </w:rPr>
        <w:t xml:space="preserve"> et al., 2019) to understand the functional implications of changes to the ATP-binding domain of Myo5bb. For this project, students apply bioinformatics (harvesting sequences from databases), molecular techniques (RT-PCR, site directed mutagenesis, plasmid construction</w:t>
      </w:r>
      <w:r w:rsidR="00BA186A">
        <w:rPr>
          <w:rStyle w:val="Strong"/>
          <w:b w:val="0"/>
        </w:rPr>
        <w:t>, gel electrophoresis</w:t>
      </w:r>
      <w:r>
        <w:rPr>
          <w:rStyle w:val="Strong"/>
          <w:b w:val="0"/>
        </w:rPr>
        <w:t>), microbiological techniques (</w:t>
      </w:r>
      <w:r w:rsidR="00BA186A">
        <w:rPr>
          <w:rStyle w:val="Strong"/>
          <w:b w:val="0"/>
        </w:rPr>
        <w:t>culturing cells), and the techniques associated with in situ hybridization (histological techniques, constructing probes, visualizing hybridized sections, etc.). Future work will include analysis of enzymatic activity.</w:t>
      </w:r>
      <w:r w:rsidR="002C07F8" w:rsidRPr="005A762C">
        <w:rPr>
          <w:rStyle w:val="Strong"/>
          <w:b w:val="0"/>
        </w:rPr>
        <w:t xml:space="preserve"> </w:t>
      </w:r>
    </w:p>
    <w:p w14:paraId="446F30F5" w14:textId="77777777" w:rsidR="002C07F8" w:rsidRPr="006527BE" w:rsidRDefault="002C07F8" w:rsidP="002C07F8">
      <w:pPr>
        <w:pStyle w:val="DataField11pt-Single"/>
        <w:ind w:firstLine="360"/>
        <w:jc w:val="both"/>
        <w:rPr>
          <w:rStyle w:val="Strong"/>
          <w:b w:val="0"/>
        </w:rPr>
      </w:pPr>
      <w:r w:rsidRPr="006527BE">
        <w:rPr>
          <w:rStyle w:val="Strong"/>
          <w:b w:val="0"/>
        </w:rPr>
        <w:t xml:space="preserve">Since joining Texas State University, I have graduated </w:t>
      </w:r>
      <w:r w:rsidR="00BA186A">
        <w:rPr>
          <w:rStyle w:val="Strong"/>
          <w:b w:val="0"/>
        </w:rPr>
        <w:t>20</w:t>
      </w:r>
      <w:r w:rsidRPr="006527BE">
        <w:rPr>
          <w:rStyle w:val="Strong"/>
          <w:b w:val="0"/>
        </w:rPr>
        <w:t xml:space="preserve"> M.S. students</w:t>
      </w:r>
      <w:r>
        <w:rPr>
          <w:rStyle w:val="Strong"/>
          <w:b w:val="0"/>
        </w:rPr>
        <w:t xml:space="preserve">, </w:t>
      </w:r>
      <w:r w:rsidR="002B2608">
        <w:rPr>
          <w:rStyle w:val="Strong"/>
          <w:b w:val="0"/>
        </w:rPr>
        <w:t>8</w:t>
      </w:r>
      <w:r>
        <w:rPr>
          <w:rStyle w:val="Strong"/>
          <w:b w:val="0"/>
        </w:rPr>
        <w:t xml:space="preserve"> of </w:t>
      </w:r>
      <w:r w:rsidR="000750B5">
        <w:rPr>
          <w:rStyle w:val="Strong"/>
          <w:b w:val="0"/>
        </w:rPr>
        <w:t>whom</w:t>
      </w:r>
      <w:r>
        <w:rPr>
          <w:rStyle w:val="Strong"/>
          <w:b w:val="0"/>
        </w:rPr>
        <w:t xml:space="preserve"> have been </w:t>
      </w:r>
      <w:proofErr w:type="gramStart"/>
      <w:r w:rsidR="00BA186A">
        <w:rPr>
          <w:rStyle w:val="Strong"/>
          <w:b w:val="0"/>
        </w:rPr>
        <w:t>Mexican-American</w:t>
      </w:r>
      <w:proofErr w:type="gramEnd"/>
      <w:r>
        <w:rPr>
          <w:rStyle w:val="Strong"/>
          <w:b w:val="0"/>
        </w:rPr>
        <w:t xml:space="preserve">. </w:t>
      </w:r>
      <w:r w:rsidRPr="006527BE">
        <w:rPr>
          <w:rStyle w:val="Strong"/>
          <w:b w:val="0"/>
        </w:rPr>
        <w:t xml:space="preserve">During this period, I have mentored </w:t>
      </w:r>
      <w:r>
        <w:rPr>
          <w:rStyle w:val="Strong"/>
          <w:b w:val="0"/>
        </w:rPr>
        <w:t>&gt;</w:t>
      </w:r>
      <w:r w:rsidR="00BA186A">
        <w:rPr>
          <w:rStyle w:val="Strong"/>
          <w:b w:val="0"/>
        </w:rPr>
        <w:t>100</w:t>
      </w:r>
      <w:r w:rsidRPr="006527BE">
        <w:rPr>
          <w:rStyle w:val="Strong"/>
          <w:b w:val="0"/>
        </w:rPr>
        <w:t xml:space="preserve"> undergraduate students in research. </w:t>
      </w:r>
      <w:r>
        <w:rPr>
          <w:szCs w:val="22"/>
        </w:rPr>
        <w:t>T</w:t>
      </w:r>
      <w:r w:rsidRPr="00D114A5">
        <w:rPr>
          <w:szCs w:val="22"/>
        </w:rPr>
        <w:t>he</w:t>
      </w:r>
      <w:r>
        <w:rPr>
          <w:szCs w:val="22"/>
        </w:rPr>
        <w:t>se</w:t>
      </w:r>
      <w:r w:rsidRPr="00D114A5">
        <w:rPr>
          <w:szCs w:val="22"/>
        </w:rPr>
        <w:t xml:space="preserve"> students have presented research at national and regional conferences, totaling &gt;</w:t>
      </w:r>
      <w:r w:rsidR="00CD55C0">
        <w:rPr>
          <w:szCs w:val="22"/>
        </w:rPr>
        <w:t>140</w:t>
      </w:r>
      <w:r w:rsidRPr="00D114A5">
        <w:rPr>
          <w:szCs w:val="22"/>
        </w:rPr>
        <w:t xml:space="preserve"> student posters and </w:t>
      </w:r>
      <w:r w:rsidR="00CD55C0">
        <w:rPr>
          <w:szCs w:val="22"/>
        </w:rPr>
        <w:t>15</w:t>
      </w:r>
      <w:r w:rsidRPr="00D114A5">
        <w:rPr>
          <w:szCs w:val="22"/>
        </w:rPr>
        <w:t xml:space="preserve"> invited student oral presentations. </w:t>
      </w:r>
      <w:r w:rsidR="00293FBC">
        <w:rPr>
          <w:szCs w:val="22"/>
        </w:rPr>
        <w:t>Thirty-two</w:t>
      </w:r>
      <w:r w:rsidRPr="00D114A5">
        <w:rPr>
          <w:szCs w:val="22"/>
        </w:rPr>
        <w:t xml:space="preserve"> </w:t>
      </w:r>
      <w:r w:rsidR="00053E0B">
        <w:rPr>
          <w:szCs w:val="22"/>
        </w:rPr>
        <w:t xml:space="preserve">students </w:t>
      </w:r>
      <w:r w:rsidRPr="00D114A5">
        <w:rPr>
          <w:szCs w:val="22"/>
        </w:rPr>
        <w:t xml:space="preserve">have co-authored peer-reviewed articles on research </w:t>
      </w:r>
      <w:r>
        <w:rPr>
          <w:szCs w:val="22"/>
        </w:rPr>
        <w:t>from</w:t>
      </w:r>
      <w:r w:rsidRPr="00D114A5">
        <w:rPr>
          <w:szCs w:val="22"/>
        </w:rPr>
        <w:t xml:space="preserve"> </w:t>
      </w:r>
      <w:r>
        <w:rPr>
          <w:szCs w:val="22"/>
        </w:rPr>
        <w:t>my</w:t>
      </w:r>
      <w:r w:rsidRPr="00D114A5">
        <w:rPr>
          <w:szCs w:val="22"/>
        </w:rPr>
        <w:t xml:space="preserve"> lab</w:t>
      </w:r>
      <w:r>
        <w:rPr>
          <w:szCs w:val="22"/>
        </w:rPr>
        <w:t>,</w:t>
      </w:r>
      <w:r w:rsidRPr="007C7DB6">
        <w:rPr>
          <w:szCs w:val="22"/>
        </w:rPr>
        <w:t xml:space="preserve"> </w:t>
      </w:r>
      <w:r w:rsidR="00293FBC">
        <w:rPr>
          <w:szCs w:val="22"/>
        </w:rPr>
        <w:t>19</w:t>
      </w:r>
      <w:r w:rsidRPr="00D114A5">
        <w:rPr>
          <w:szCs w:val="22"/>
        </w:rPr>
        <w:t xml:space="preserve"> as undergraduates</w:t>
      </w:r>
      <w:r w:rsidRPr="006527BE">
        <w:rPr>
          <w:rStyle w:val="Strong"/>
          <w:b w:val="0"/>
        </w:rPr>
        <w:t xml:space="preserve">. </w:t>
      </w:r>
      <w:r w:rsidR="00293FBC">
        <w:rPr>
          <w:rStyle w:val="Strong"/>
          <w:b w:val="0"/>
        </w:rPr>
        <w:t>Six</w:t>
      </w:r>
      <w:r w:rsidR="00CB4136">
        <w:rPr>
          <w:rStyle w:val="Strong"/>
          <w:b w:val="0"/>
        </w:rPr>
        <w:t xml:space="preserve"> of my </w:t>
      </w:r>
      <w:r w:rsidR="00293FBC">
        <w:rPr>
          <w:rStyle w:val="Strong"/>
          <w:b w:val="0"/>
        </w:rPr>
        <w:t>eleven</w:t>
      </w:r>
      <w:r w:rsidR="00CB4136">
        <w:rPr>
          <w:rStyle w:val="Strong"/>
          <w:b w:val="0"/>
        </w:rPr>
        <w:t xml:space="preserve"> publications since 2012 have included student co-authors </w:t>
      </w:r>
      <w:r w:rsidR="00A150DE">
        <w:rPr>
          <w:rStyle w:val="Strong"/>
          <w:b w:val="0"/>
        </w:rPr>
        <w:t xml:space="preserve">that </w:t>
      </w:r>
      <w:r w:rsidR="00CB4136">
        <w:rPr>
          <w:rStyle w:val="Strong"/>
          <w:b w:val="0"/>
        </w:rPr>
        <w:t>I have supervised.</w:t>
      </w:r>
    </w:p>
    <w:p w14:paraId="78B5F6A6" w14:textId="77777777" w:rsidR="002C07F8" w:rsidRDefault="002C07F8" w:rsidP="002C07F8">
      <w:pPr>
        <w:pStyle w:val="DataField11pt-Single"/>
        <w:ind w:firstLine="360"/>
        <w:jc w:val="both"/>
        <w:rPr>
          <w:szCs w:val="22"/>
        </w:rPr>
      </w:pPr>
      <w:r w:rsidRPr="006527BE">
        <w:rPr>
          <w:rStyle w:val="Strong"/>
          <w:b w:val="0"/>
        </w:rPr>
        <w:t xml:space="preserve">I served </w:t>
      </w:r>
      <w:r w:rsidRPr="00D114A5">
        <w:rPr>
          <w:szCs w:val="22"/>
        </w:rPr>
        <w:t>as a mentor for the NIH/NIGMS-funded Bridge</w:t>
      </w:r>
      <w:r w:rsidR="00293FBC">
        <w:rPr>
          <w:szCs w:val="22"/>
        </w:rPr>
        <w:t>s</w:t>
      </w:r>
      <w:r w:rsidRPr="00D114A5">
        <w:rPr>
          <w:szCs w:val="22"/>
        </w:rPr>
        <w:t xml:space="preserve"> </w:t>
      </w:r>
      <w:r w:rsidR="00293FBC">
        <w:rPr>
          <w:szCs w:val="22"/>
        </w:rPr>
        <w:t xml:space="preserve">to the Baccalaureate </w:t>
      </w:r>
      <w:r w:rsidR="00CF423C">
        <w:rPr>
          <w:szCs w:val="22"/>
        </w:rPr>
        <w:t>and Bridges to the Doctoral programs</w:t>
      </w:r>
      <w:r w:rsidR="00293FBC">
        <w:rPr>
          <w:szCs w:val="22"/>
        </w:rPr>
        <w:t xml:space="preserve"> led by Dr. Ron Walter</w:t>
      </w:r>
      <w:r w:rsidR="00CF423C">
        <w:rPr>
          <w:szCs w:val="22"/>
        </w:rPr>
        <w:t>, and I formerly served on the Advisory Panel to the NIH Bridges Program (2006)</w:t>
      </w:r>
      <w:r w:rsidRPr="006527BE">
        <w:rPr>
          <w:rStyle w:val="Strong"/>
          <w:b w:val="0"/>
        </w:rPr>
        <w:t xml:space="preserve">. </w:t>
      </w:r>
      <w:r w:rsidR="00CF423C">
        <w:rPr>
          <w:rStyle w:val="Strong"/>
          <w:b w:val="0"/>
        </w:rPr>
        <w:t xml:space="preserve">I formerly led a Bridges to the Baccalaureate program (1998 – ~2002). </w:t>
      </w:r>
    </w:p>
    <w:p w14:paraId="77C441BA" w14:textId="77777777" w:rsidR="002C07F8" w:rsidRDefault="00CF423C" w:rsidP="00671E17">
      <w:pPr>
        <w:pStyle w:val="DataField11pt-Single"/>
        <w:ind w:firstLine="360"/>
        <w:jc w:val="both"/>
        <w:rPr>
          <w:rStyle w:val="Strong"/>
          <w:b w:val="0"/>
        </w:rPr>
      </w:pPr>
      <w:r>
        <w:rPr>
          <w:szCs w:val="22"/>
        </w:rPr>
        <w:t>I have</w:t>
      </w:r>
      <w:r w:rsidR="007E1AE6">
        <w:rPr>
          <w:szCs w:val="22"/>
        </w:rPr>
        <w:t xml:space="preserve"> extensive experience mentoring students and serving in administrative roles in degree and training programs </w:t>
      </w:r>
      <w:r w:rsidR="0010734A">
        <w:rPr>
          <w:szCs w:val="22"/>
        </w:rPr>
        <w:t>as well as a plethora of efforts to increase representation of historically underrepresented minority students in STEM and faculty in research extensive institutions. I</w:t>
      </w:r>
      <w:r>
        <w:rPr>
          <w:szCs w:val="22"/>
        </w:rPr>
        <w:t xml:space="preserve"> could serve as a resource as ideas for the proposed Bridges program</w:t>
      </w:r>
      <w:r w:rsidR="007E1AE6">
        <w:rPr>
          <w:szCs w:val="22"/>
        </w:rPr>
        <w:t xml:space="preserve"> are developed and implemented</w:t>
      </w:r>
      <w:r w:rsidR="007E1AE6" w:rsidRPr="00D114A5">
        <w:rPr>
          <w:szCs w:val="22"/>
        </w:rPr>
        <w:t>.</w:t>
      </w:r>
      <w:r w:rsidR="007E1AE6">
        <w:rPr>
          <w:szCs w:val="22"/>
        </w:rPr>
        <w:t xml:space="preserve"> </w:t>
      </w:r>
    </w:p>
    <w:p w14:paraId="3F1A6D56" w14:textId="77777777" w:rsidR="002C07F8" w:rsidRDefault="00D67DB2" w:rsidP="00D67DB2">
      <w:pPr>
        <w:pStyle w:val="DataField11pt-Single"/>
        <w:tabs>
          <w:tab w:val="left" w:pos="708"/>
        </w:tabs>
        <w:rPr>
          <w:rStyle w:val="Strong"/>
          <w:b w:val="0"/>
        </w:rPr>
      </w:pPr>
      <w:r>
        <w:rPr>
          <w:rStyle w:val="Strong"/>
          <w:b w:val="0"/>
        </w:rPr>
        <w:tab/>
      </w:r>
    </w:p>
    <w:p w14:paraId="73E16451" w14:textId="77777777" w:rsidR="002C07F8" w:rsidRDefault="007E1AE6" w:rsidP="002C07F8">
      <w:pPr>
        <w:pStyle w:val="DataField11pt-Single"/>
        <w:jc w:val="both"/>
        <w:rPr>
          <w:rStyle w:val="Strong"/>
          <w:b w:val="0"/>
          <w:bCs w:val="0"/>
          <w:szCs w:val="22"/>
        </w:rPr>
      </w:pPr>
      <w:r w:rsidRPr="009F5EF7">
        <w:rPr>
          <w:rStyle w:val="Strong"/>
          <w:b w:val="0"/>
          <w:bCs w:val="0"/>
          <w:szCs w:val="22"/>
        </w:rPr>
        <w:t xml:space="preserve">On-going and </w:t>
      </w:r>
      <w:r w:rsidR="00635781">
        <w:rPr>
          <w:rStyle w:val="Strong"/>
          <w:b w:val="0"/>
          <w:bCs w:val="0"/>
          <w:szCs w:val="22"/>
        </w:rPr>
        <w:t xml:space="preserve">recent </w:t>
      </w:r>
      <w:r w:rsidRPr="009F5EF7">
        <w:rPr>
          <w:rStyle w:val="Strong"/>
          <w:b w:val="0"/>
          <w:bCs w:val="0"/>
          <w:szCs w:val="22"/>
        </w:rPr>
        <w:t>support I would like to highlight</w:t>
      </w:r>
      <w:r w:rsidR="002C07F8" w:rsidRPr="009F5EF7">
        <w:rPr>
          <w:rStyle w:val="Strong"/>
          <w:b w:val="0"/>
          <w:bCs w:val="0"/>
          <w:szCs w:val="22"/>
        </w:rPr>
        <w:t>:</w:t>
      </w:r>
    </w:p>
    <w:p w14:paraId="540668DC" w14:textId="6A98BB50" w:rsidR="0010734A" w:rsidRDefault="00F050BB" w:rsidP="002C07F8">
      <w:pPr>
        <w:pStyle w:val="DataField11pt-Single"/>
        <w:jc w:val="both"/>
        <w:rPr>
          <w:rStyle w:val="Strong"/>
          <w:b w:val="0"/>
          <w:bCs w:val="0"/>
          <w:szCs w:val="22"/>
        </w:rPr>
      </w:pPr>
      <w:r w:rsidRPr="00F050BB">
        <w:rPr>
          <w:rStyle w:val="Strong"/>
          <w:b w:val="0"/>
          <w:bCs w:val="0"/>
          <w:szCs w:val="22"/>
          <w:u w:val="single"/>
        </w:rPr>
        <w:t>NSF</w:t>
      </w:r>
      <w:r>
        <w:rPr>
          <w:rStyle w:val="Strong"/>
          <w:b w:val="0"/>
          <w:bCs w:val="0"/>
          <w:szCs w:val="22"/>
        </w:rPr>
        <w:t xml:space="preserve">: </w:t>
      </w:r>
      <w:r w:rsidRPr="00447A23">
        <w:t>Collaborative Proposal: Developmental and Genetic Pathways to Phenotypic Convergence in a Radiation of Groundwater Salamanders</w:t>
      </w:r>
      <w:r>
        <w:t xml:space="preserve">; </w:t>
      </w:r>
      <w:r w:rsidRPr="0010734A">
        <w:t>DEB 2032633</w:t>
      </w:r>
      <w:r>
        <w:t xml:space="preserve">; PI, total costs for Texas State University </w:t>
      </w:r>
      <w:r w:rsidRPr="00447A23">
        <w:t>$368,942</w:t>
      </w:r>
      <w:r>
        <w:t>, 2020-2024</w:t>
      </w:r>
    </w:p>
    <w:p w14:paraId="14F1AC7F" w14:textId="1F4B73C8" w:rsidR="00C1775F" w:rsidRDefault="00F050BB" w:rsidP="002C51BC">
      <w:pPr>
        <w:pStyle w:val="DataField11pt-Single"/>
        <w:rPr>
          <w:szCs w:val="22"/>
        </w:rPr>
      </w:pPr>
      <w:r w:rsidRPr="00F050BB">
        <w:rPr>
          <w:rStyle w:val="Strong"/>
          <w:b w:val="0"/>
          <w:bCs w:val="0"/>
          <w:szCs w:val="22"/>
          <w:u w:val="single"/>
        </w:rPr>
        <w:lastRenderedPageBreak/>
        <w:t>NSF</w:t>
      </w:r>
      <w:r>
        <w:rPr>
          <w:rStyle w:val="Strong"/>
          <w:b w:val="0"/>
          <w:bCs w:val="0"/>
          <w:szCs w:val="22"/>
        </w:rPr>
        <w:t xml:space="preserve">: </w:t>
      </w:r>
      <w:r w:rsidRPr="005D31DA">
        <w:rPr>
          <w:szCs w:val="22"/>
        </w:rPr>
        <w:t>INCLUDES DDLP - ACCEYSS: Association of Collaborative Communities Equipping Youth for STEM Success</w:t>
      </w:r>
      <w:r>
        <w:rPr>
          <w:szCs w:val="22"/>
        </w:rPr>
        <w:t>;</w:t>
      </w:r>
      <w:r w:rsidRPr="005D31DA">
        <w:rPr>
          <w:szCs w:val="22"/>
        </w:rPr>
        <w:t xml:space="preserve"> OIA 1934453</w:t>
      </w:r>
      <w:r>
        <w:rPr>
          <w:szCs w:val="22"/>
        </w:rPr>
        <w:t>;</w:t>
      </w:r>
      <w:r>
        <w:t xml:space="preserve"> </w:t>
      </w:r>
      <w:r w:rsidRPr="005D31DA">
        <w:rPr>
          <w:szCs w:val="22"/>
        </w:rPr>
        <w:t>co-PI</w:t>
      </w:r>
      <w:r>
        <w:rPr>
          <w:szCs w:val="22"/>
        </w:rPr>
        <w:t>, total costs</w:t>
      </w:r>
      <w:r w:rsidRPr="005D31DA">
        <w:rPr>
          <w:szCs w:val="22"/>
        </w:rPr>
        <w:t xml:space="preserve"> $14,9</w:t>
      </w:r>
      <w:r>
        <w:rPr>
          <w:szCs w:val="22"/>
        </w:rPr>
        <w:t xml:space="preserve">99, </w:t>
      </w:r>
      <w:proofErr w:type="gramStart"/>
      <w:r>
        <w:rPr>
          <w:szCs w:val="22"/>
        </w:rPr>
        <w:t>2019</w:t>
      </w:r>
      <w:proofErr w:type="gramEnd"/>
    </w:p>
    <w:p w14:paraId="62F3C8E0" w14:textId="54AC5AFA" w:rsidR="00F050BB" w:rsidRDefault="00F050BB" w:rsidP="002C51BC">
      <w:pPr>
        <w:pStyle w:val="DataField11pt-Single"/>
      </w:pPr>
      <w:r w:rsidRPr="00F050BB">
        <w:rPr>
          <w:rStyle w:val="Strong"/>
          <w:b w:val="0"/>
          <w:bCs w:val="0"/>
          <w:szCs w:val="22"/>
          <w:u w:val="single"/>
        </w:rPr>
        <w:t>NSF</w:t>
      </w:r>
      <w:r>
        <w:rPr>
          <w:rStyle w:val="Strong"/>
          <w:b w:val="0"/>
          <w:bCs w:val="0"/>
          <w:szCs w:val="22"/>
        </w:rPr>
        <w:t xml:space="preserve">: </w:t>
      </w:r>
      <w:r w:rsidRPr="005D31DA">
        <w:rPr>
          <w:szCs w:val="22"/>
        </w:rPr>
        <w:t>INCLUDES DDLP - ACCEYSS: Association of Collaborative Communities Equipping Youth for STEM Success</w:t>
      </w:r>
      <w:r>
        <w:rPr>
          <w:szCs w:val="22"/>
        </w:rPr>
        <w:t>;</w:t>
      </w:r>
      <w:r w:rsidRPr="005D31DA">
        <w:rPr>
          <w:szCs w:val="22"/>
        </w:rPr>
        <w:t xml:space="preserve"> OIA </w:t>
      </w:r>
      <w:r w:rsidRPr="00585208">
        <w:t>1764404</w:t>
      </w:r>
      <w:r>
        <w:rPr>
          <w:szCs w:val="22"/>
        </w:rPr>
        <w:t>;</w:t>
      </w:r>
      <w:r>
        <w:t xml:space="preserve"> </w:t>
      </w:r>
      <w:r w:rsidRPr="005D31DA">
        <w:rPr>
          <w:szCs w:val="22"/>
        </w:rPr>
        <w:t>co-PI</w:t>
      </w:r>
      <w:r>
        <w:rPr>
          <w:szCs w:val="22"/>
        </w:rPr>
        <w:t>, total costs</w:t>
      </w:r>
      <w:r w:rsidRPr="005D31DA">
        <w:rPr>
          <w:szCs w:val="22"/>
        </w:rPr>
        <w:t xml:space="preserve"> </w:t>
      </w:r>
      <w:r w:rsidRPr="00585208">
        <w:t>$299,536</w:t>
      </w:r>
      <w:r>
        <w:t>, 2017-2020</w:t>
      </w:r>
    </w:p>
    <w:p w14:paraId="5425FE29" w14:textId="48F9638E" w:rsidR="00F050BB" w:rsidRDefault="00F050BB" w:rsidP="002C51BC">
      <w:pPr>
        <w:pStyle w:val="DataField11pt-Single"/>
      </w:pPr>
      <w:r w:rsidRPr="00F050BB">
        <w:rPr>
          <w:rStyle w:val="Strong"/>
          <w:b w:val="0"/>
          <w:bCs w:val="0"/>
          <w:szCs w:val="22"/>
          <w:u w:val="single"/>
        </w:rPr>
        <w:t>University</w:t>
      </w:r>
      <w:r>
        <w:rPr>
          <w:rStyle w:val="Strong"/>
          <w:b w:val="0"/>
          <w:bCs w:val="0"/>
          <w:szCs w:val="22"/>
        </w:rPr>
        <w:t xml:space="preserve">: </w:t>
      </w:r>
      <w:r w:rsidRPr="00F53E98">
        <w:rPr>
          <w:szCs w:val="22"/>
        </w:rPr>
        <w:t xml:space="preserve">Research Enhancement Program Grant. The impact of one alcoholic substitution on the ability of a protein to transport </w:t>
      </w:r>
      <w:proofErr w:type="gramStart"/>
      <w:r w:rsidRPr="00F53E98">
        <w:rPr>
          <w:szCs w:val="22"/>
        </w:rPr>
        <w:t>cargo</w:t>
      </w:r>
      <w:r>
        <w:rPr>
          <w:szCs w:val="22"/>
        </w:rPr>
        <w:t>;</w:t>
      </w:r>
      <w:proofErr w:type="gramEnd"/>
      <w:r>
        <w:rPr>
          <w:szCs w:val="22"/>
        </w:rPr>
        <w:t xml:space="preserve"> PI,</w:t>
      </w:r>
      <w:r w:rsidRPr="00F53E98">
        <w:rPr>
          <w:szCs w:val="22"/>
        </w:rPr>
        <w:t xml:space="preserve"> $7895</w:t>
      </w:r>
      <w:r>
        <w:rPr>
          <w:szCs w:val="22"/>
        </w:rPr>
        <w:t>, 2022-2023</w:t>
      </w:r>
    </w:p>
    <w:p w14:paraId="647C6230" w14:textId="77777777" w:rsidR="00F050BB" w:rsidRPr="00A128A0" w:rsidRDefault="00F050BB" w:rsidP="002C51BC">
      <w:pPr>
        <w:pStyle w:val="DataField11pt-Single"/>
        <w:rPr>
          <w:rStyle w:val="Strong"/>
        </w:rPr>
      </w:pPr>
    </w:p>
    <w:p w14:paraId="16733F2F" w14:textId="77777777" w:rsidR="002C51BC" w:rsidRPr="00A128A0" w:rsidRDefault="002C51BC" w:rsidP="002C51BC">
      <w:pPr>
        <w:pStyle w:val="DataField11pt-Single"/>
        <w:rPr>
          <w:rStyle w:val="Strong"/>
        </w:rPr>
      </w:pPr>
      <w:r w:rsidRPr="00A128A0">
        <w:rPr>
          <w:rStyle w:val="Strong"/>
        </w:rPr>
        <w:t>B.</w:t>
      </w:r>
      <w:r w:rsidRPr="00A128A0">
        <w:rPr>
          <w:rStyle w:val="Strong"/>
        </w:rPr>
        <w:tab/>
        <w:t>Positions</w:t>
      </w:r>
      <w:r w:rsidR="00CF6FAD">
        <w:rPr>
          <w:rStyle w:val="Strong"/>
        </w:rPr>
        <w:t>, Scientific Appointments,</w:t>
      </w:r>
      <w:r w:rsidRPr="00A128A0">
        <w:rPr>
          <w:rStyle w:val="Strong"/>
        </w:rPr>
        <w:t xml:space="preserve"> and Honors</w:t>
      </w:r>
    </w:p>
    <w:p w14:paraId="5E4BA6A5" w14:textId="77777777" w:rsidR="00153DEB" w:rsidRPr="0010651A" w:rsidRDefault="00153DEB" w:rsidP="00534566">
      <w:pPr>
        <w:pStyle w:val="Heading2"/>
        <w:spacing w:before="240"/>
        <w:rPr>
          <w:u w:val="single"/>
        </w:rPr>
      </w:pPr>
      <w:r w:rsidRPr="0010651A">
        <w:rPr>
          <w:u w:val="single"/>
        </w:rPr>
        <w:t xml:space="preserve">Positions and </w:t>
      </w:r>
      <w:r>
        <w:rPr>
          <w:u w:val="single"/>
        </w:rPr>
        <w:t>Scientific Appointments</w:t>
      </w:r>
    </w:p>
    <w:p w14:paraId="1744E71A" w14:textId="77777777" w:rsidR="00153DEB" w:rsidRDefault="00153DEB" w:rsidP="00153DEB">
      <w:pPr>
        <w:pStyle w:val="DataField11pt-Single"/>
      </w:pPr>
      <w:r>
        <w:t xml:space="preserve">2015-present </w:t>
      </w:r>
      <w:r>
        <w:tab/>
      </w:r>
      <w:r w:rsidR="00C35598">
        <w:t>Adjunct</w:t>
      </w:r>
      <w:r w:rsidRPr="00145CEA">
        <w:t xml:space="preserve"> Professor, Department of Chemistry and Biochemistry, Texas State University</w:t>
      </w:r>
    </w:p>
    <w:p w14:paraId="49629E25" w14:textId="77777777" w:rsidR="00153DEB" w:rsidRDefault="00153DEB" w:rsidP="00153DEB">
      <w:pPr>
        <w:pStyle w:val="DataField11pt-Single"/>
      </w:pPr>
      <w:r>
        <w:t>200</w:t>
      </w:r>
      <w:r w:rsidR="00C35598">
        <w:t>4</w:t>
      </w:r>
      <w:r>
        <w:t>-</w:t>
      </w:r>
      <w:r w:rsidR="00C35598">
        <w:t>present</w:t>
      </w:r>
      <w:r>
        <w:tab/>
      </w:r>
      <w:r w:rsidRPr="00145CEA">
        <w:t xml:space="preserve">Professor, Department of </w:t>
      </w:r>
      <w:r w:rsidR="00C35598">
        <w:t>Biology</w:t>
      </w:r>
      <w:r w:rsidRPr="00145CEA">
        <w:t>, Texas State University</w:t>
      </w:r>
    </w:p>
    <w:p w14:paraId="6759D924" w14:textId="77777777" w:rsidR="00153DEB" w:rsidRDefault="00C35598" w:rsidP="00153DEB">
      <w:pPr>
        <w:ind w:left="1440" w:hanging="1440"/>
      </w:pPr>
      <w:r>
        <w:t>2001</w:t>
      </w:r>
      <w:r w:rsidR="00153DEB">
        <w:tab/>
      </w:r>
      <w:r>
        <w:t>Guest</w:t>
      </w:r>
      <w:r w:rsidR="00153DEB" w:rsidRPr="00145CEA">
        <w:t xml:space="preserve"> Professor, Department of </w:t>
      </w:r>
      <w:r>
        <w:t>Zoology</w:t>
      </w:r>
      <w:r w:rsidR="00153DEB" w:rsidRPr="00145CEA">
        <w:t xml:space="preserve">, </w:t>
      </w:r>
      <w:r w:rsidRPr="00094F2E">
        <w:rPr>
          <w:szCs w:val="26"/>
        </w:rPr>
        <w:t>Johannes Gutenberg University/ Universität Mainz</w:t>
      </w:r>
      <w:r w:rsidR="00153DEB" w:rsidRPr="00145CEA">
        <w:t xml:space="preserve"> Sponsor: </w:t>
      </w:r>
      <w:r>
        <w:t xml:space="preserve">Jürgen </w:t>
      </w:r>
      <w:proofErr w:type="spellStart"/>
      <w:r>
        <w:t>Markl</w:t>
      </w:r>
      <w:proofErr w:type="spellEnd"/>
      <w:r w:rsidR="00153DEB">
        <w:t xml:space="preserve"> </w:t>
      </w:r>
    </w:p>
    <w:p w14:paraId="7CEC22E6" w14:textId="77777777" w:rsidR="00153DEB" w:rsidRDefault="00C35598" w:rsidP="00153DEB">
      <w:pPr>
        <w:ind w:left="1440" w:hanging="1440"/>
      </w:pPr>
      <w:r>
        <w:t>1999-</w:t>
      </w:r>
      <w:r w:rsidR="00153DEB">
        <w:t>2004</w:t>
      </w:r>
      <w:r w:rsidR="00153DEB">
        <w:tab/>
      </w:r>
      <w:r>
        <w:t xml:space="preserve">Associate Professor, </w:t>
      </w:r>
      <w:r w:rsidRPr="00145CEA">
        <w:t xml:space="preserve">Department of </w:t>
      </w:r>
      <w:r>
        <w:t>Biology</w:t>
      </w:r>
      <w:r w:rsidRPr="00145CEA">
        <w:t>, Texas State University</w:t>
      </w:r>
      <w:r>
        <w:t>-San Marcos (formerly Southwest Texas State University)</w:t>
      </w:r>
    </w:p>
    <w:p w14:paraId="0A03D62E" w14:textId="77777777" w:rsidR="00153DEB" w:rsidRPr="00A13E84" w:rsidRDefault="00C35598" w:rsidP="00153DEB">
      <w:pPr>
        <w:rPr>
          <w:rStyle w:val="Strong"/>
          <w:b w:val="0"/>
          <w:bCs w:val="0"/>
        </w:rPr>
      </w:pPr>
      <w:r>
        <w:t>1993-1999</w:t>
      </w:r>
      <w:r w:rsidR="00153DEB">
        <w:tab/>
      </w:r>
      <w:r w:rsidR="00153DEB">
        <w:tab/>
      </w:r>
      <w:r>
        <w:t xml:space="preserve">Assistant Professor, </w:t>
      </w:r>
      <w:r w:rsidRPr="00145CEA">
        <w:t xml:space="preserve">Department of </w:t>
      </w:r>
      <w:r>
        <w:t>Biology</w:t>
      </w:r>
      <w:r w:rsidRPr="00145CEA">
        <w:t xml:space="preserve">, </w:t>
      </w:r>
      <w:r>
        <w:t>Southwest Texas State University</w:t>
      </w:r>
    </w:p>
    <w:p w14:paraId="503C6984" w14:textId="77777777" w:rsidR="00153DEB" w:rsidRPr="0010651A" w:rsidRDefault="00153DEB" w:rsidP="00534566">
      <w:pPr>
        <w:pStyle w:val="Heading2"/>
        <w:spacing w:before="240"/>
        <w:rPr>
          <w:u w:val="single"/>
        </w:rPr>
      </w:pPr>
      <w:r>
        <w:rPr>
          <w:u w:val="single"/>
        </w:rPr>
        <w:t>Honors</w:t>
      </w:r>
    </w:p>
    <w:p w14:paraId="38A8DFBE" w14:textId="77777777" w:rsidR="00B87CCD" w:rsidRPr="00B87CCD" w:rsidRDefault="00B87CCD" w:rsidP="00B87CCD">
      <w:pPr>
        <w:pStyle w:val="DataField11pt-Single"/>
        <w:ind w:left="1440" w:hanging="1440"/>
      </w:pPr>
      <w:r w:rsidRPr="00B87CCD">
        <w:t>2021</w:t>
      </w:r>
      <w:r w:rsidRPr="00B87CCD">
        <w:tab/>
        <w:t>College of Science and Engineering Achievement Award for Excellence in Teaching/ College of Science and Engineering's 2021 Presidential Distinction Award for Excellence in Teaching</w:t>
      </w:r>
    </w:p>
    <w:p w14:paraId="419C605A" w14:textId="77777777" w:rsidR="00B87CCD" w:rsidRPr="00B87CCD" w:rsidRDefault="00B87CCD" w:rsidP="00B87CCD">
      <w:pPr>
        <w:pStyle w:val="DataField11pt-Single"/>
        <w:ind w:left="1440" w:hanging="1440"/>
      </w:pPr>
      <w:r w:rsidRPr="00B87CCD">
        <w:t xml:space="preserve">1996, </w:t>
      </w:r>
      <w:r>
        <w:t>19</w:t>
      </w:r>
      <w:r w:rsidRPr="00B87CCD">
        <w:t xml:space="preserve">97 </w:t>
      </w:r>
      <w:r w:rsidRPr="00B87CCD">
        <w:tab/>
        <w:t xml:space="preserve">Alpha Chi National Honor Society Favorite Professor </w:t>
      </w:r>
    </w:p>
    <w:p w14:paraId="27293EDA" w14:textId="77777777" w:rsidR="00B87CCD" w:rsidRPr="00B87CCD" w:rsidRDefault="00B87CCD" w:rsidP="00B87CCD">
      <w:pPr>
        <w:pStyle w:val="DataField11pt-Single"/>
        <w:ind w:left="1440" w:hanging="1440"/>
      </w:pPr>
      <w:proofErr w:type="gramStart"/>
      <w:r w:rsidRPr="00B87CCD">
        <w:t xml:space="preserve">1996  </w:t>
      </w:r>
      <w:r w:rsidRPr="00B87CCD">
        <w:tab/>
      </w:r>
      <w:proofErr w:type="gramEnd"/>
      <w:r w:rsidRPr="00B87CCD">
        <w:t>SWT University Mentoring Program Outstanding Mentor</w:t>
      </w:r>
    </w:p>
    <w:p w14:paraId="745D0915" w14:textId="77777777" w:rsidR="00B87CCD" w:rsidRDefault="00B87CCD" w:rsidP="00153DEB">
      <w:pPr>
        <w:pStyle w:val="DataField11pt-Single"/>
        <w:ind w:left="1440" w:hanging="1440"/>
      </w:pPr>
      <w:r>
        <w:t>1991-1993</w:t>
      </w:r>
      <w:r>
        <w:tab/>
        <w:t>Chancellor’s Minority Fellow, University of California, Berkeley</w:t>
      </w:r>
    </w:p>
    <w:p w14:paraId="30326D4E" w14:textId="77777777" w:rsidR="00153DEB" w:rsidRDefault="00B87CCD" w:rsidP="00153DEB">
      <w:pPr>
        <w:pStyle w:val="DataField11pt-Single"/>
        <w:ind w:left="1440" w:hanging="1440"/>
      </w:pPr>
      <w:r>
        <w:t>1987-1993</w:t>
      </w:r>
      <w:r w:rsidR="00153DEB">
        <w:tab/>
      </w:r>
      <w:r w:rsidR="00153DEB" w:rsidRPr="006B6CCC">
        <w:t xml:space="preserve">Graduate Student, Department of </w:t>
      </w:r>
      <w:r>
        <w:t>Molecular and Cell Biology</w:t>
      </w:r>
      <w:r w:rsidR="00153DEB" w:rsidRPr="006B6CCC">
        <w:t xml:space="preserve">, </w:t>
      </w:r>
      <w:r>
        <w:t>University of California, Berkeley</w:t>
      </w:r>
    </w:p>
    <w:p w14:paraId="19981AC9" w14:textId="77777777" w:rsidR="00153DEB" w:rsidRDefault="00B87CCD" w:rsidP="00153DEB">
      <w:pPr>
        <w:pStyle w:val="DataField11pt-Single"/>
        <w:ind w:left="1440" w:hanging="1440"/>
      </w:pPr>
      <w:r>
        <w:t>1987-1990</w:t>
      </w:r>
      <w:r w:rsidR="00153DEB">
        <w:tab/>
      </w:r>
      <w:r>
        <w:t>National Science Foundation Graduate Research Fellow, University of California, Berkeley</w:t>
      </w:r>
    </w:p>
    <w:p w14:paraId="7B485580" w14:textId="77777777" w:rsidR="00153DEB" w:rsidRDefault="00FF5018" w:rsidP="00153DEB">
      <w:r>
        <w:t>1982-1986</w:t>
      </w:r>
      <w:r w:rsidR="00153DEB">
        <w:tab/>
      </w:r>
      <w:r w:rsidR="00153DEB">
        <w:tab/>
      </w:r>
      <w:r>
        <w:t>National Merit Scholar, Texas A&amp;M University</w:t>
      </w:r>
    </w:p>
    <w:p w14:paraId="21051074" w14:textId="77777777" w:rsidR="00FF5018" w:rsidRDefault="00FF5018" w:rsidP="00FF5018">
      <w:r>
        <w:t>1982-1986</w:t>
      </w:r>
      <w:r>
        <w:tab/>
      </w:r>
      <w:r>
        <w:tab/>
        <w:t>President’s Endowed Scholar, Texas A&amp;M University</w:t>
      </w:r>
    </w:p>
    <w:p w14:paraId="5A54FCD8" w14:textId="77777777" w:rsidR="00C1775F" w:rsidRPr="00A128A0" w:rsidRDefault="00C1775F" w:rsidP="002C51BC">
      <w:pPr>
        <w:pStyle w:val="DataField11pt-Single"/>
        <w:rPr>
          <w:rStyle w:val="Strong"/>
        </w:rPr>
      </w:pPr>
    </w:p>
    <w:p w14:paraId="0974C7FC" w14:textId="77777777" w:rsidR="002C51BC" w:rsidRPr="00534566" w:rsidRDefault="002C51BC" w:rsidP="002C51BC">
      <w:pPr>
        <w:pStyle w:val="DataField11pt-Single"/>
        <w:rPr>
          <w:rStyle w:val="Strong"/>
          <w:sz w:val="11"/>
          <w:szCs w:val="11"/>
        </w:rPr>
      </w:pPr>
      <w:r w:rsidRPr="00A128A0">
        <w:rPr>
          <w:rStyle w:val="Strong"/>
        </w:rPr>
        <w:t>C.</w:t>
      </w:r>
      <w:r w:rsidRPr="00A128A0">
        <w:rPr>
          <w:rStyle w:val="Strong"/>
        </w:rPr>
        <w:tab/>
        <w:t>Contributions to Science</w:t>
      </w:r>
      <w:r w:rsidR="00FE10AD">
        <w:rPr>
          <w:rStyle w:val="Strong"/>
        </w:rPr>
        <w:br/>
      </w:r>
    </w:p>
    <w:p w14:paraId="6028B608" w14:textId="77777777" w:rsidR="005345BE" w:rsidRPr="00476DEF" w:rsidRDefault="00FF5018" w:rsidP="005345BE">
      <w:pPr>
        <w:numPr>
          <w:ilvl w:val="0"/>
          <w:numId w:val="19"/>
        </w:numPr>
        <w:rPr>
          <w:i/>
          <w:szCs w:val="22"/>
        </w:rPr>
      </w:pPr>
      <w:r>
        <w:rPr>
          <w:i/>
          <w:szCs w:val="22"/>
        </w:rPr>
        <w:t>Cell Biology: Cell Signaling and Cell Motility</w:t>
      </w:r>
    </w:p>
    <w:p w14:paraId="14DC468C" w14:textId="77777777" w:rsidR="005345BE" w:rsidRPr="002341A1" w:rsidRDefault="005345BE" w:rsidP="005345BE">
      <w:pPr>
        <w:ind w:left="360"/>
        <w:jc w:val="both"/>
        <w:rPr>
          <w:szCs w:val="22"/>
        </w:rPr>
      </w:pPr>
      <w:r>
        <w:rPr>
          <w:rFonts w:cs="Arial"/>
          <w:szCs w:val="22"/>
        </w:rPr>
        <w:t>P</w:t>
      </w:r>
      <w:r w:rsidRPr="00D55FA3">
        <w:rPr>
          <w:rFonts w:cs="Arial"/>
          <w:szCs w:val="22"/>
        </w:rPr>
        <w:t xml:space="preserve">ublications </w:t>
      </w:r>
      <w:r>
        <w:rPr>
          <w:rFonts w:cs="Arial"/>
          <w:szCs w:val="22"/>
        </w:rPr>
        <w:t>that originated from my Ph.D. studies (</w:t>
      </w:r>
      <w:r w:rsidRPr="00D55FA3">
        <w:rPr>
          <w:rFonts w:cs="Arial"/>
          <w:szCs w:val="22"/>
        </w:rPr>
        <w:t xml:space="preserve">mentor: </w:t>
      </w:r>
      <w:r w:rsidR="00FF5018">
        <w:rPr>
          <w:rFonts w:cs="Arial"/>
          <w:szCs w:val="22"/>
        </w:rPr>
        <w:t>Beth Burnside)</w:t>
      </w:r>
      <w:r>
        <w:rPr>
          <w:rFonts w:cs="Arial"/>
          <w:szCs w:val="22"/>
        </w:rPr>
        <w:t xml:space="preserve"> </w:t>
      </w:r>
      <w:r w:rsidRPr="00D55FA3">
        <w:rPr>
          <w:rFonts w:cs="Arial"/>
          <w:szCs w:val="22"/>
        </w:rPr>
        <w:t xml:space="preserve">addressed </w:t>
      </w:r>
      <w:r w:rsidR="00404A2F">
        <w:rPr>
          <w:rFonts w:cs="Arial"/>
          <w:szCs w:val="22"/>
        </w:rPr>
        <w:t>the signaling pathways involved in effecting dark-adaptive movements of pigment granules in the retinal pigment epithelium of fishes</w:t>
      </w:r>
      <w:r w:rsidRPr="00D55FA3">
        <w:rPr>
          <w:rFonts w:cs="Arial"/>
          <w:szCs w:val="22"/>
        </w:rPr>
        <w:t xml:space="preserve">. </w:t>
      </w:r>
      <w:r w:rsidRPr="00AE6AEE">
        <w:rPr>
          <w:rFonts w:cs="Arial"/>
          <w:szCs w:val="22"/>
        </w:rPr>
        <w:t xml:space="preserve">Our </w:t>
      </w:r>
      <w:r w:rsidR="00404A2F">
        <w:rPr>
          <w:rFonts w:cs="Arial"/>
          <w:szCs w:val="22"/>
        </w:rPr>
        <w:t>work, which I carried on independently and continue to advance to this day,</w:t>
      </w:r>
      <w:r w:rsidRPr="00AE6AEE">
        <w:rPr>
          <w:rFonts w:cs="Arial"/>
          <w:szCs w:val="22"/>
        </w:rPr>
        <w:t xml:space="preserve"> </w:t>
      </w:r>
      <w:r w:rsidR="00404A2F">
        <w:rPr>
          <w:rFonts w:cs="Arial"/>
          <w:szCs w:val="22"/>
        </w:rPr>
        <w:t xml:space="preserve">supported a model in which the classical, intracellular signaling molecule cyclic AMP functions as a </w:t>
      </w:r>
      <w:proofErr w:type="gramStart"/>
      <w:r w:rsidR="00404A2F">
        <w:rPr>
          <w:rFonts w:cs="Arial"/>
          <w:szCs w:val="22"/>
        </w:rPr>
        <w:t>cell to cell</w:t>
      </w:r>
      <w:proofErr w:type="gramEnd"/>
      <w:r w:rsidR="00404A2F">
        <w:rPr>
          <w:rFonts w:cs="Arial"/>
          <w:szCs w:val="22"/>
        </w:rPr>
        <w:t xml:space="preserve"> signal to convey the absence of light. As a PI, our work has extended to looking at the mechanisms for light-adaptation.</w:t>
      </w:r>
      <w:r w:rsidR="008232B3">
        <w:rPr>
          <w:rFonts w:cs="Arial"/>
          <w:szCs w:val="22"/>
        </w:rPr>
        <w:t xml:space="preserve"> </w:t>
      </w:r>
      <w:r w:rsidR="008232B3">
        <w:t>*Indicates student co-authors I have supervised.</w:t>
      </w:r>
    </w:p>
    <w:p w14:paraId="52D52B3D" w14:textId="77777777" w:rsidR="00B629A0" w:rsidRDefault="00B629A0" w:rsidP="00B629A0">
      <w:pPr>
        <w:numPr>
          <w:ilvl w:val="1"/>
          <w:numId w:val="19"/>
        </w:numPr>
      </w:pPr>
      <w:r>
        <w:t>García, D. M.; Burnside, B.</w:t>
      </w:r>
      <w:r w:rsidRPr="00D55FA3">
        <w:t xml:space="preserve"> </w:t>
      </w:r>
      <w:r w:rsidRPr="00404A2F">
        <w:t>Suppression of cAMP induced pigment granule aggregation by inhibitors of organic anion transport.</w:t>
      </w:r>
      <w:r w:rsidRPr="00404A2F">
        <w:rPr>
          <w:iCs/>
        </w:rPr>
        <w:t xml:space="preserve"> Invest</w:t>
      </w:r>
      <w:r>
        <w:rPr>
          <w:iCs/>
        </w:rPr>
        <w:t>.</w:t>
      </w:r>
      <w:r w:rsidRPr="00404A2F">
        <w:rPr>
          <w:iCs/>
        </w:rPr>
        <w:t xml:space="preserve"> </w:t>
      </w:r>
      <w:proofErr w:type="spellStart"/>
      <w:r w:rsidRPr="00404A2F">
        <w:rPr>
          <w:iCs/>
        </w:rPr>
        <w:t>Ophth</w:t>
      </w:r>
      <w:proofErr w:type="spellEnd"/>
      <w:r>
        <w:rPr>
          <w:iCs/>
        </w:rPr>
        <w:t>.</w:t>
      </w:r>
      <w:r w:rsidRPr="00404A2F">
        <w:rPr>
          <w:iCs/>
        </w:rPr>
        <w:t xml:space="preserve"> Vis</w:t>
      </w:r>
      <w:r>
        <w:rPr>
          <w:iCs/>
        </w:rPr>
        <w:t>.</w:t>
      </w:r>
      <w:r w:rsidRPr="00404A2F">
        <w:rPr>
          <w:iCs/>
        </w:rPr>
        <w:t xml:space="preserve"> Sci</w:t>
      </w:r>
      <w:r w:rsidRPr="00D55FA3">
        <w:t xml:space="preserve">. </w:t>
      </w:r>
      <w:r>
        <w:t>1994</w:t>
      </w:r>
      <w:r w:rsidRPr="00D55FA3">
        <w:t xml:space="preserve">, </w:t>
      </w:r>
      <w:r>
        <w:t>35</w:t>
      </w:r>
      <w:r w:rsidRPr="00D55FA3">
        <w:t xml:space="preserve">, </w:t>
      </w:r>
      <w:r>
        <w:t>178-188.</w:t>
      </w:r>
    </w:p>
    <w:p w14:paraId="77BE2B87" w14:textId="77777777" w:rsidR="006222A8" w:rsidRPr="006222A8" w:rsidRDefault="008232B3" w:rsidP="005345BE">
      <w:pPr>
        <w:numPr>
          <w:ilvl w:val="1"/>
          <w:numId w:val="19"/>
        </w:numPr>
      </w:pPr>
      <w:r>
        <w:t>*</w:t>
      </w:r>
      <w:r w:rsidR="006222A8">
        <w:t xml:space="preserve">González, A. III; </w:t>
      </w:r>
      <w:r>
        <w:t>*</w:t>
      </w:r>
      <w:r w:rsidR="006222A8">
        <w:t xml:space="preserve">Crittenden, E.; García, D. M. </w:t>
      </w:r>
      <w:r w:rsidR="006222A8" w:rsidRPr="006222A8">
        <w:t>Carbachol-induced pigment granule dispersion in RPE</w:t>
      </w:r>
      <w:r w:rsidR="006222A8">
        <w:t xml:space="preserve">. </w:t>
      </w:r>
      <w:r w:rsidR="006222A8" w:rsidRPr="006222A8">
        <w:rPr>
          <w:iCs/>
        </w:rPr>
        <w:t>BMC Neuroscience</w:t>
      </w:r>
      <w:r w:rsidR="006222A8">
        <w:rPr>
          <w:iCs/>
        </w:rPr>
        <w:t>. 2004, 5, 23.</w:t>
      </w:r>
    </w:p>
    <w:p w14:paraId="5598C21E" w14:textId="77777777" w:rsidR="006222A8" w:rsidRDefault="008232B3" w:rsidP="005345BE">
      <w:pPr>
        <w:numPr>
          <w:ilvl w:val="1"/>
          <w:numId w:val="19"/>
        </w:numPr>
      </w:pPr>
      <w:r>
        <w:rPr>
          <w:iCs/>
        </w:rPr>
        <w:t>*</w:t>
      </w:r>
      <w:proofErr w:type="spellStart"/>
      <w:r w:rsidR="006222A8">
        <w:rPr>
          <w:iCs/>
        </w:rPr>
        <w:t>Phatarpekar</w:t>
      </w:r>
      <w:proofErr w:type="spellEnd"/>
      <w:r w:rsidR="006222A8">
        <w:rPr>
          <w:iCs/>
        </w:rPr>
        <w:t xml:space="preserve">, P. V.; </w:t>
      </w:r>
      <w:proofErr w:type="spellStart"/>
      <w:r w:rsidR="006222A8">
        <w:rPr>
          <w:iCs/>
        </w:rPr>
        <w:t>Durdan</w:t>
      </w:r>
      <w:proofErr w:type="spellEnd"/>
      <w:r w:rsidR="006222A8">
        <w:rPr>
          <w:iCs/>
        </w:rPr>
        <w:t xml:space="preserve">, S. F.; </w:t>
      </w:r>
      <w:r>
        <w:rPr>
          <w:iCs/>
        </w:rPr>
        <w:t>*</w:t>
      </w:r>
      <w:r w:rsidR="006222A8">
        <w:rPr>
          <w:iCs/>
        </w:rPr>
        <w:t xml:space="preserve">Copeland, C. M.; </w:t>
      </w:r>
      <w:r>
        <w:rPr>
          <w:iCs/>
        </w:rPr>
        <w:t>*</w:t>
      </w:r>
      <w:r w:rsidR="006222A8">
        <w:t xml:space="preserve">Crittenden, E. L.; </w:t>
      </w:r>
      <w:r>
        <w:t>*</w:t>
      </w:r>
      <w:proofErr w:type="spellStart"/>
      <w:r w:rsidR="006222A8">
        <w:t>Neece</w:t>
      </w:r>
      <w:proofErr w:type="spellEnd"/>
      <w:r w:rsidR="006222A8">
        <w:t>, J. D.; García, D. M.</w:t>
      </w:r>
      <w:r w:rsidR="006222A8" w:rsidRPr="006222A8">
        <w:t xml:space="preserve"> </w:t>
      </w:r>
      <w:r w:rsidR="006222A8" w:rsidRPr="00751DF3">
        <w:t xml:space="preserve">Molecular and pharmacological characterization of muscarinic receptors in retinal pigment epithelium. </w:t>
      </w:r>
      <w:r w:rsidR="006222A8" w:rsidRPr="006222A8">
        <w:rPr>
          <w:iCs/>
        </w:rPr>
        <w:t xml:space="preserve">J. </w:t>
      </w:r>
      <w:proofErr w:type="spellStart"/>
      <w:r w:rsidR="006222A8" w:rsidRPr="006222A8">
        <w:rPr>
          <w:iCs/>
        </w:rPr>
        <w:t>Neurochem</w:t>
      </w:r>
      <w:proofErr w:type="spellEnd"/>
      <w:r w:rsidR="006222A8" w:rsidRPr="006222A8">
        <w:rPr>
          <w:iCs/>
        </w:rPr>
        <w:t>.</w:t>
      </w:r>
      <w:r w:rsidR="006222A8" w:rsidRPr="00751DF3">
        <w:t xml:space="preserve"> </w:t>
      </w:r>
      <w:r w:rsidR="006222A8">
        <w:t xml:space="preserve">2005, 95(5), </w:t>
      </w:r>
      <w:r w:rsidR="006222A8" w:rsidRPr="00751DF3">
        <w:t>1504-1520</w:t>
      </w:r>
      <w:r w:rsidR="006222A8">
        <w:t>.</w:t>
      </w:r>
    </w:p>
    <w:p w14:paraId="605BDE46" w14:textId="77777777" w:rsidR="006222A8" w:rsidRPr="005411C7" w:rsidRDefault="008232B3" w:rsidP="005345BE">
      <w:pPr>
        <w:numPr>
          <w:ilvl w:val="1"/>
          <w:numId w:val="19"/>
        </w:numPr>
      </w:pPr>
      <w:r>
        <w:t>*</w:t>
      </w:r>
      <w:r w:rsidR="006222A8">
        <w:t xml:space="preserve">Keith, T. A.; </w:t>
      </w:r>
      <w:r>
        <w:t>*</w:t>
      </w:r>
      <w:r w:rsidR="006222A8">
        <w:t xml:space="preserve">Radhakrishnan, V.; </w:t>
      </w:r>
      <w:r>
        <w:t>*</w:t>
      </w:r>
      <w:proofErr w:type="spellStart"/>
      <w:r w:rsidR="006222A8">
        <w:t>Moredock</w:t>
      </w:r>
      <w:proofErr w:type="spellEnd"/>
      <w:r w:rsidR="006222A8">
        <w:t xml:space="preserve">, S., García, D. M. </w:t>
      </w:r>
      <w:r w:rsidR="006222A8" w:rsidRPr="006222A8">
        <w:t xml:space="preserve">Uptake of </w:t>
      </w:r>
      <w:r w:rsidR="006222A8" w:rsidRPr="006222A8">
        <w:rPr>
          <w:vertAlign w:val="superscript"/>
        </w:rPr>
        <w:t>3</w:t>
      </w:r>
      <w:r w:rsidR="006222A8" w:rsidRPr="006222A8">
        <w:t>H- cAMP by retinal pigment epithelium isolated from bluegill sunfish (</w:t>
      </w:r>
      <w:r w:rsidR="006222A8" w:rsidRPr="006222A8">
        <w:rPr>
          <w:i/>
        </w:rPr>
        <w:t>Lepomis macrochirus</w:t>
      </w:r>
      <w:r w:rsidR="006222A8" w:rsidRPr="006222A8">
        <w:t xml:space="preserve">). </w:t>
      </w:r>
      <w:r w:rsidR="006222A8" w:rsidRPr="006222A8">
        <w:rPr>
          <w:iCs/>
        </w:rPr>
        <w:t>BMC Neuroscience</w:t>
      </w:r>
      <w:r w:rsidR="006222A8">
        <w:rPr>
          <w:iCs/>
        </w:rPr>
        <w:t>.</w:t>
      </w:r>
      <w:r w:rsidR="00597AA2">
        <w:rPr>
          <w:iCs/>
        </w:rPr>
        <w:t xml:space="preserve"> 2006, 7</w:t>
      </w:r>
      <w:r w:rsidR="005411C7">
        <w:rPr>
          <w:iCs/>
        </w:rPr>
        <w:t xml:space="preserve">, </w:t>
      </w:r>
      <w:r w:rsidR="00597AA2">
        <w:rPr>
          <w:iCs/>
        </w:rPr>
        <w:t>82.</w:t>
      </w:r>
    </w:p>
    <w:p w14:paraId="481B19A5" w14:textId="77777777" w:rsidR="005345BE" w:rsidRPr="002C285A" w:rsidRDefault="005345BE" w:rsidP="005345BE">
      <w:pPr>
        <w:ind w:left="1080"/>
        <w:rPr>
          <w:sz w:val="18"/>
          <w:szCs w:val="18"/>
        </w:rPr>
      </w:pPr>
    </w:p>
    <w:p w14:paraId="52B3A45C" w14:textId="77777777" w:rsidR="005345BE" w:rsidRPr="00476DEF" w:rsidRDefault="003C48CE" w:rsidP="005345BE">
      <w:pPr>
        <w:numPr>
          <w:ilvl w:val="0"/>
          <w:numId w:val="19"/>
        </w:numPr>
        <w:rPr>
          <w:i/>
        </w:rPr>
      </w:pPr>
      <w:r>
        <w:rPr>
          <w:rFonts w:cs="Arial"/>
          <w:i/>
          <w:szCs w:val="22"/>
        </w:rPr>
        <w:t xml:space="preserve">Cytoskeleton </w:t>
      </w:r>
      <w:r w:rsidR="007B44C7">
        <w:rPr>
          <w:rFonts w:cs="Arial"/>
          <w:i/>
          <w:szCs w:val="22"/>
        </w:rPr>
        <w:t>and motor proteins</w:t>
      </w:r>
    </w:p>
    <w:p w14:paraId="50B539F5" w14:textId="77777777" w:rsidR="005345BE" w:rsidRDefault="003C48CE" w:rsidP="005345BE">
      <w:pPr>
        <w:ind w:left="360"/>
        <w:jc w:val="both"/>
      </w:pPr>
      <w:r>
        <w:rPr>
          <w:rFonts w:cs="Arial"/>
          <w:szCs w:val="22"/>
        </w:rPr>
        <w:t xml:space="preserve">My interest in cell motility </w:t>
      </w:r>
      <w:r w:rsidR="007E768A">
        <w:rPr>
          <w:rFonts w:cs="Arial"/>
          <w:szCs w:val="22"/>
        </w:rPr>
        <w:t>bleeds into</w:t>
      </w:r>
      <w:r>
        <w:rPr>
          <w:rFonts w:cs="Arial"/>
          <w:szCs w:val="22"/>
        </w:rPr>
        <w:t xml:space="preserve"> the closely related topic</w:t>
      </w:r>
      <w:r w:rsidR="007E768A">
        <w:rPr>
          <w:rFonts w:cs="Arial"/>
          <w:szCs w:val="22"/>
        </w:rPr>
        <w:t>s</w:t>
      </w:r>
      <w:r>
        <w:rPr>
          <w:rFonts w:cs="Arial"/>
          <w:szCs w:val="22"/>
        </w:rPr>
        <w:t xml:space="preserve"> of cytoskeleton and motor proteins. </w:t>
      </w:r>
      <w:r w:rsidR="007E768A">
        <w:rPr>
          <w:rFonts w:cs="Arial"/>
          <w:szCs w:val="22"/>
        </w:rPr>
        <w:t xml:space="preserve">Some finding of particular interest </w:t>
      </w:r>
      <w:proofErr w:type="gramStart"/>
      <w:r w:rsidR="007E768A">
        <w:rPr>
          <w:rFonts w:cs="Arial"/>
          <w:szCs w:val="22"/>
        </w:rPr>
        <w:t>include</w:t>
      </w:r>
      <w:proofErr w:type="gramEnd"/>
      <w:r w:rsidR="007E768A">
        <w:rPr>
          <w:rFonts w:cs="Arial"/>
          <w:szCs w:val="22"/>
        </w:rPr>
        <w:t xml:space="preserve"> evidence of a role of alpha-actinin crosslinking microfilaments and intermediate filaments and the discovery of an interesting substitution in an otherwise highly conserved region of the motor domain of myosin V. </w:t>
      </w:r>
      <w:r w:rsidR="007B44C7">
        <w:rPr>
          <w:rFonts w:cs="Arial"/>
          <w:szCs w:val="22"/>
        </w:rPr>
        <w:t>The direction we are moving in these studies integrates our interests in evolution and structure/function relationships.</w:t>
      </w:r>
      <w:r w:rsidR="008232B3">
        <w:rPr>
          <w:rFonts w:cs="Arial"/>
          <w:szCs w:val="22"/>
        </w:rPr>
        <w:t xml:space="preserve"> </w:t>
      </w:r>
      <w:r w:rsidR="008232B3">
        <w:t>*Indicates student co-authors I have supervised.</w:t>
      </w:r>
    </w:p>
    <w:p w14:paraId="537D525B" w14:textId="77777777" w:rsidR="005345BE" w:rsidRDefault="007B44C7" w:rsidP="007B44C7">
      <w:pPr>
        <w:numPr>
          <w:ilvl w:val="1"/>
          <w:numId w:val="19"/>
        </w:numPr>
      </w:pPr>
      <w:r>
        <w:lastRenderedPageBreak/>
        <w:t xml:space="preserve">Bolanos, S. H; </w:t>
      </w:r>
      <w:r w:rsidR="008232B3">
        <w:t>*</w:t>
      </w:r>
      <w:r>
        <w:t xml:space="preserve">Zamora, D. O.; García, D. M.; </w:t>
      </w:r>
      <w:proofErr w:type="spellStart"/>
      <w:r>
        <w:t>Koke</w:t>
      </w:r>
      <w:proofErr w:type="spellEnd"/>
      <w:r>
        <w:t xml:space="preserve">, J. R. </w:t>
      </w:r>
      <w:r w:rsidRPr="007B44C7">
        <w:t xml:space="preserve">An </w:t>
      </w:r>
      <w:r w:rsidR="009C284C">
        <w:rPr>
          <w:rFonts w:ascii="Symbol" w:hAnsi="Symbol"/>
        </w:rPr>
        <w:t></w:t>
      </w:r>
      <w:r w:rsidRPr="007B44C7">
        <w:t xml:space="preserve">-actinin isoform that may cross-link intermediate filaments and microfilaments. </w:t>
      </w:r>
      <w:proofErr w:type="spellStart"/>
      <w:r w:rsidRPr="007B44C7">
        <w:rPr>
          <w:iCs/>
        </w:rPr>
        <w:t>Cytobios</w:t>
      </w:r>
      <w:proofErr w:type="spellEnd"/>
      <w:r w:rsidR="005345BE" w:rsidRPr="00D55FA3">
        <w:t xml:space="preserve"> </w:t>
      </w:r>
      <w:r>
        <w:t>1998</w:t>
      </w:r>
      <w:r w:rsidR="005345BE" w:rsidRPr="00D55FA3">
        <w:t xml:space="preserve">, </w:t>
      </w:r>
      <w:r>
        <w:t>94</w:t>
      </w:r>
      <w:r w:rsidR="005345BE" w:rsidRPr="00D55FA3">
        <w:t xml:space="preserve">, </w:t>
      </w:r>
      <w:r>
        <w:t>39-61</w:t>
      </w:r>
      <w:r w:rsidR="005345BE">
        <w:t xml:space="preserve">. </w:t>
      </w:r>
    </w:p>
    <w:p w14:paraId="23D7EF36" w14:textId="77777777" w:rsidR="005345BE" w:rsidRDefault="008232B3" w:rsidP="005345BE">
      <w:pPr>
        <w:numPr>
          <w:ilvl w:val="1"/>
          <w:numId w:val="19"/>
        </w:numPr>
      </w:pPr>
      <w:r>
        <w:t>*</w:t>
      </w:r>
      <w:r w:rsidR="009C284C">
        <w:t xml:space="preserve">Dixson, J. D.; </w:t>
      </w:r>
      <w:proofErr w:type="spellStart"/>
      <w:r w:rsidR="009C284C">
        <w:t>Forstner</w:t>
      </w:r>
      <w:proofErr w:type="spellEnd"/>
      <w:r w:rsidR="009C284C">
        <w:t>, M. R. J.; García, D. M.</w:t>
      </w:r>
      <w:r w:rsidR="005345BE" w:rsidRPr="00D55FA3">
        <w:t xml:space="preserve"> </w:t>
      </w:r>
      <w:r w:rsidR="009C284C" w:rsidRPr="00085127">
        <w:t xml:space="preserve">Evolutionary history of the alpha-actinin gene family: a phylogenetic study. </w:t>
      </w:r>
      <w:r w:rsidR="009C284C" w:rsidRPr="009C284C">
        <w:rPr>
          <w:iCs/>
        </w:rPr>
        <w:t>J. Mol</w:t>
      </w:r>
      <w:r w:rsidR="009C284C">
        <w:rPr>
          <w:iCs/>
        </w:rPr>
        <w:t>.</w:t>
      </w:r>
      <w:r w:rsidR="009C284C" w:rsidRPr="009C284C">
        <w:rPr>
          <w:iCs/>
        </w:rPr>
        <w:t xml:space="preserve"> </w:t>
      </w:r>
      <w:proofErr w:type="spellStart"/>
      <w:r w:rsidR="009C284C" w:rsidRPr="009C284C">
        <w:rPr>
          <w:iCs/>
        </w:rPr>
        <w:t>Evol</w:t>
      </w:r>
      <w:proofErr w:type="spellEnd"/>
      <w:r w:rsidR="009C284C">
        <w:rPr>
          <w:iCs/>
        </w:rPr>
        <w:t>.</w:t>
      </w:r>
      <w:r w:rsidR="005345BE" w:rsidRPr="00D55FA3">
        <w:t xml:space="preserve"> 2009, </w:t>
      </w:r>
      <w:r w:rsidR="009C284C">
        <w:t>56(1)</w:t>
      </w:r>
      <w:r w:rsidR="005345BE" w:rsidRPr="00D55FA3">
        <w:t xml:space="preserve">, </w:t>
      </w:r>
      <w:r w:rsidR="009C284C">
        <w:t>1-10</w:t>
      </w:r>
      <w:r w:rsidR="005345BE">
        <w:t>.</w:t>
      </w:r>
    </w:p>
    <w:p w14:paraId="3325E35A" w14:textId="77777777" w:rsidR="00DA0450" w:rsidRDefault="005D19B4" w:rsidP="005345BE">
      <w:pPr>
        <w:numPr>
          <w:ilvl w:val="1"/>
          <w:numId w:val="19"/>
        </w:numPr>
      </w:pPr>
      <w:r>
        <w:t xml:space="preserve">García, D. M.; Bauer, H.; Dietz, T.; Schubert, T.; </w:t>
      </w:r>
      <w:proofErr w:type="spellStart"/>
      <w:r>
        <w:t>Markl</w:t>
      </w:r>
      <w:proofErr w:type="spellEnd"/>
      <w:r>
        <w:t xml:space="preserve">, J.; </w:t>
      </w:r>
      <w:proofErr w:type="spellStart"/>
      <w:r>
        <w:t>Schaffeld</w:t>
      </w:r>
      <w:proofErr w:type="spellEnd"/>
      <w:r>
        <w:t xml:space="preserve">, M. </w:t>
      </w:r>
      <w:r w:rsidRPr="005D19B4">
        <w:t xml:space="preserve">Identification of keratins and analysis of their expression in carp and goldfish: comparison to the zebrafish and trout keratin catalog. </w:t>
      </w:r>
      <w:r w:rsidRPr="005D19B4">
        <w:rPr>
          <w:iCs/>
        </w:rPr>
        <w:t>J. Cell Tis</w:t>
      </w:r>
      <w:r>
        <w:rPr>
          <w:iCs/>
        </w:rPr>
        <w:t>sue</w:t>
      </w:r>
      <w:r w:rsidRPr="005D19B4">
        <w:rPr>
          <w:iCs/>
        </w:rPr>
        <w:t xml:space="preserve"> Res</w:t>
      </w:r>
      <w:r w:rsidRPr="005D19B4">
        <w:t>.</w:t>
      </w:r>
      <w:r>
        <w:t xml:space="preserve"> 2005,</w:t>
      </w:r>
      <w:r w:rsidRPr="005D19B4">
        <w:t xml:space="preserve"> 322(2)</w:t>
      </w:r>
      <w:r>
        <w:t xml:space="preserve">, </w:t>
      </w:r>
      <w:r w:rsidRPr="005D19B4">
        <w:t>245-256.</w:t>
      </w:r>
    </w:p>
    <w:p w14:paraId="56FE5E48" w14:textId="77777777" w:rsidR="00E40E4E" w:rsidRDefault="00656DEC" w:rsidP="00E40E4E">
      <w:pPr>
        <w:numPr>
          <w:ilvl w:val="1"/>
          <w:numId w:val="19"/>
        </w:numPr>
      </w:pPr>
      <w:r>
        <w:t>*</w:t>
      </w:r>
      <w:proofErr w:type="spellStart"/>
      <w:r w:rsidR="00287CF9">
        <w:t>Nuckels</w:t>
      </w:r>
      <w:proofErr w:type="spellEnd"/>
      <w:r w:rsidR="00287CF9">
        <w:t xml:space="preserve">, R. J.; Nice, C. C.; García, D. M. </w:t>
      </w:r>
      <w:r w:rsidR="00287CF9" w:rsidRPr="00287CF9">
        <w:t xml:space="preserve">Duplicated myosin V genes in </w:t>
      </w:r>
      <w:proofErr w:type="spellStart"/>
      <w:r w:rsidR="00287CF9" w:rsidRPr="00287CF9">
        <w:t>teleosts</w:t>
      </w:r>
      <w:proofErr w:type="spellEnd"/>
      <w:r w:rsidR="00287CF9" w:rsidRPr="00287CF9">
        <w:t xml:space="preserve"> show evolutionary rate variations among the motor and cargo binding domains. </w:t>
      </w:r>
      <w:r w:rsidR="00287CF9" w:rsidRPr="00287CF9">
        <w:rPr>
          <w:iCs/>
        </w:rPr>
        <w:t>Genome Biol</w:t>
      </w:r>
      <w:r w:rsidR="00287CF9">
        <w:rPr>
          <w:iCs/>
        </w:rPr>
        <w:t xml:space="preserve">. </w:t>
      </w:r>
      <w:proofErr w:type="spellStart"/>
      <w:r w:rsidR="00287CF9" w:rsidRPr="00287CF9">
        <w:rPr>
          <w:iCs/>
        </w:rPr>
        <w:t>Evol</w:t>
      </w:r>
      <w:proofErr w:type="spellEnd"/>
      <w:r w:rsidR="00287CF9">
        <w:rPr>
          <w:iCs/>
        </w:rPr>
        <w:t>.</w:t>
      </w:r>
      <w:r w:rsidR="00287CF9" w:rsidRPr="00287CF9">
        <w:t xml:space="preserve"> </w:t>
      </w:r>
      <w:r w:rsidR="00287CF9">
        <w:t xml:space="preserve">2019, </w:t>
      </w:r>
      <w:r w:rsidR="00287CF9" w:rsidRPr="00287CF9">
        <w:t>11(2)</w:t>
      </w:r>
      <w:r w:rsidR="00287CF9">
        <w:t>,</w:t>
      </w:r>
      <w:r w:rsidR="00287CF9" w:rsidRPr="00287CF9">
        <w:t xml:space="preserve"> 415-430.</w:t>
      </w:r>
    </w:p>
    <w:p w14:paraId="7773D981" w14:textId="77777777" w:rsidR="005345BE" w:rsidRPr="002C285A" w:rsidRDefault="005345BE" w:rsidP="005345BE">
      <w:pPr>
        <w:rPr>
          <w:sz w:val="18"/>
          <w:szCs w:val="18"/>
        </w:rPr>
      </w:pPr>
    </w:p>
    <w:p w14:paraId="326C128A" w14:textId="77777777" w:rsidR="005345BE" w:rsidRPr="00E40E4E" w:rsidRDefault="00C95D0A" w:rsidP="005345BE">
      <w:pPr>
        <w:numPr>
          <w:ilvl w:val="0"/>
          <w:numId w:val="19"/>
        </w:numPr>
        <w:rPr>
          <w:i/>
        </w:rPr>
      </w:pPr>
      <w:r>
        <w:rPr>
          <w:i/>
        </w:rPr>
        <w:t>Evolutionary Developmental Biology and Nerve Regeneration</w:t>
      </w:r>
    </w:p>
    <w:p w14:paraId="77100887" w14:textId="77777777" w:rsidR="005345BE" w:rsidRDefault="00C95D0A" w:rsidP="005345BE">
      <w:pPr>
        <w:ind w:left="360"/>
        <w:jc w:val="both"/>
      </w:pPr>
      <w:r>
        <w:t>In the early 2000s, we focused some of our research efforts on optic nerve regeneration in part for personal reasons: a graduate student in the lab had a brother with paraplegia, and she was interested in exploring potential therapeutic avenues. Roger Sperry’s work on optic nerve regeneration in salamanders was in</w:t>
      </w:r>
      <w:r w:rsidR="007E768A">
        <w:t>spirational in our approach, and t</w:t>
      </w:r>
      <w:r>
        <w:t>his subtopic in developmental biology segued into an interest in evolutionary developmental biology</w:t>
      </w:r>
      <w:r w:rsidR="007E768A">
        <w:t xml:space="preserve"> using Central Texas salamanders as a model system. *Indicates student co-authors I have supervised.</w:t>
      </w:r>
    </w:p>
    <w:p w14:paraId="3D241F6D" w14:textId="77777777" w:rsidR="007E768A" w:rsidRPr="007E768A" w:rsidRDefault="007E768A" w:rsidP="007E768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1080"/>
        <w:rPr>
          <w:bCs/>
        </w:rPr>
      </w:pPr>
      <w:r>
        <w:t>*</w:t>
      </w:r>
      <w:r w:rsidRPr="00751DF3">
        <w:t>Saul, K. E.</w:t>
      </w:r>
      <w:r>
        <w:t>;</w:t>
      </w:r>
      <w:r w:rsidRPr="00751DF3">
        <w:t xml:space="preserve"> </w:t>
      </w:r>
      <w:proofErr w:type="spellStart"/>
      <w:r w:rsidRPr="00751DF3">
        <w:t>Koke</w:t>
      </w:r>
      <w:proofErr w:type="spellEnd"/>
      <w:r>
        <w:t>,</w:t>
      </w:r>
      <w:r w:rsidRPr="00751DF3">
        <w:t xml:space="preserve"> J. R.</w:t>
      </w:r>
      <w:r>
        <w:t>;</w:t>
      </w:r>
      <w:r w:rsidRPr="00751DF3">
        <w:t xml:space="preserve"> García</w:t>
      </w:r>
      <w:r>
        <w:t>,</w:t>
      </w:r>
      <w:r w:rsidRPr="007E768A">
        <w:t xml:space="preserve"> </w:t>
      </w:r>
      <w:r w:rsidRPr="00751DF3">
        <w:t xml:space="preserve">D. M. </w:t>
      </w:r>
      <w:r w:rsidRPr="007E768A">
        <w:rPr>
          <w:bCs/>
        </w:rPr>
        <w:t>Activating transcription factor 3 (ATF3) expression in the neural retina and optic nerve of zebrafish during optic nerve regeneration.  Comp</w:t>
      </w:r>
      <w:r w:rsidR="00803C34">
        <w:rPr>
          <w:bCs/>
        </w:rPr>
        <w:t>.</w:t>
      </w:r>
      <w:r w:rsidRPr="007E768A">
        <w:rPr>
          <w:bCs/>
        </w:rPr>
        <w:t xml:space="preserve"> </w:t>
      </w:r>
      <w:proofErr w:type="spellStart"/>
      <w:r w:rsidRPr="007E768A">
        <w:rPr>
          <w:bCs/>
        </w:rPr>
        <w:t>Biochem</w:t>
      </w:r>
      <w:proofErr w:type="spellEnd"/>
      <w:r w:rsidR="00803C34">
        <w:rPr>
          <w:bCs/>
        </w:rPr>
        <w:t>.</w:t>
      </w:r>
      <w:r w:rsidRPr="007E768A">
        <w:rPr>
          <w:bCs/>
        </w:rPr>
        <w:t xml:space="preserve"> Physio</w:t>
      </w:r>
      <w:r w:rsidR="00803C34">
        <w:rPr>
          <w:bCs/>
        </w:rPr>
        <w:t>l.</w:t>
      </w:r>
      <w:r w:rsidRPr="007E768A">
        <w:rPr>
          <w:bCs/>
        </w:rPr>
        <w:t>, part A</w:t>
      </w:r>
      <w:r w:rsidR="00803C34">
        <w:rPr>
          <w:bCs/>
        </w:rPr>
        <w:t>,</w:t>
      </w:r>
      <w:r>
        <w:rPr>
          <w:i/>
        </w:rPr>
        <w:t xml:space="preserve"> </w:t>
      </w:r>
      <w:r w:rsidRPr="00751DF3">
        <w:t>2010</w:t>
      </w:r>
      <w:r w:rsidRPr="007E768A">
        <w:rPr>
          <w:i/>
        </w:rPr>
        <w:t>,</w:t>
      </w:r>
      <w:r w:rsidRPr="007E768A">
        <w:rPr>
          <w:bCs/>
        </w:rPr>
        <w:t xml:space="preserve"> 155</w:t>
      </w:r>
      <w:r w:rsidR="00085682">
        <w:rPr>
          <w:bCs/>
        </w:rPr>
        <w:t xml:space="preserve">, </w:t>
      </w:r>
      <w:r w:rsidRPr="007E768A">
        <w:rPr>
          <w:bCs/>
        </w:rPr>
        <w:t>172-182.</w:t>
      </w:r>
    </w:p>
    <w:p w14:paraId="2DD66028" w14:textId="77777777" w:rsidR="005345BE" w:rsidRDefault="00803C34" w:rsidP="005345BE">
      <w:pPr>
        <w:numPr>
          <w:ilvl w:val="0"/>
          <w:numId w:val="20"/>
        </w:numPr>
        <w:ind w:left="1080"/>
      </w:pPr>
      <w:r>
        <w:rPr>
          <w:szCs w:val="20"/>
        </w:rPr>
        <w:t>*</w:t>
      </w:r>
      <w:r w:rsidRPr="00751DF3">
        <w:rPr>
          <w:szCs w:val="20"/>
        </w:rPr>
        <w:t>Neve, L. D.</w:t>
      </w:r>
      <w:r>
        <w:rPr>
          <w:szCs w:val="20"/>
        </w:rPr>
        <w:t>;</w:t>
      </w:r>
      <w:r w:rsidRPr="00751DF3">
        <w:rPr>
          <w:szCs w:val="20"/>
        </w:rPr>
        <w:t xml:space="preserve"> Savage, A. A.</w:t>
      </w:r>
      <w:r>
        <w:rPr>
          <w:szCs w:val="20"/>
        </w:rPr>
        <w:t>;</w:t>
      </w:r>
      <w:r w:rsidRPr="00751DF3">
        <w:rPr>
          <w:szCs w:val="20"/>
        </w:rPr>
        <w:t xml:space="preserve"> </w:t>
      </w:r>
      <w:proofErr w:type="spellStart"/>
      <w:r w:rsidRPr="00751DF3">
        <w:t>Koke</w:t>
      </w:r>
      <w:proofErr w:type="spellEnd"/>
      <w:r>
        <w:t>,</w:t>
      </w:r>
      <w:r w:rsidRPr="00751DF3">
        <w:t xml:space="preserve"> J. R.</w:t>
      </w:r>
      <w:r>
        <w:t>;</w:t>
      </w:r>
      <w:r w:rsidRPr="00751DF3">
        <w:t xml:space="preserve"> García</w:t>
      </w:r>
      <w:r>
        <w:t>,</w:t>
      </w:r>
      <w:r w:rsidRPr="007E768A">
        <w:t xml:space="preserve"> </w:t>
      </w:r>
      <w:r w:rsidRPr="00751DF3">
        <w:t>D. M.</w:t>
      </w:r>
      <w:r>
        <w:rPr>
          <w:szCs w:val="20"/>
        </w:rPr>
        <w:t xml:space="preserve"> </w:t>
      </w:r>
      <w:r w:rsidRPr="00751DF3">
        <w:rPr>
          <w:szCs w:val="20"/>
        </w:rPr>
        <w:t xml:space="preserve">Activating transcription factor 3 and reactive astrocytes following optic nerve injury in zebrafish. </w:t>
      </w:r>
      <w:r w:rsidRPr="007E768A">
        <w:rPr>
          <w:bCs/>
        </w:rPr>
        <w:t>Comp</w:t>
      </w:r>
      <w:r>
        <w:rPr>
          <w:bCs/>
        </w:rPr>
        <w:t>.</w:t>
      </w:r>
      <w:r w:rsidRPr="007E768A">
        <w:rPr>
          <w:bCs/>
        </w:rPr>
        <w:t xml:space="preserve"> </w:t>
      </w:r>
      <w:proofErr w:type="spellStart"/>
      <w:r w:rsidRPr="007E768A">
        <w:rPr>
          <w:bCs/>
        </w:rPr>
        <w:t>Biochem</w:t>
      </w:r>
      <w:proofErr w:type="spellEnd"/>
      <w:r>
        <w:rPr>
          <w:bCs/>
        </w:rPr>
        <w:t>.</w:t>
      </w:r>
      <w:r w:rsidRPr="007E768A">
        <w:rPr>
          <w:bCs/>
        </w:rPr>
        <w:t xml:space="preserve"> Physio</w:t>
      </w:r>
      <w:r>
        <w:rPr>
          <w:bCs/>
        </w:rPr>
        <w:t>l.</w:t>
      </w:r>
      <w:r w:rsidRPr="00803C34">
        <w:rPr>
          <w:szCs w:val="20"/>
        </w:rPr>
        <w:t>, part</w:t>
      </w:r>
      <w:r w:rsidRPr="00751DF3">
        <w:rPr>
          <w:i/>
          <w:szCs w:val="20"/>
        </w:rPr>
        <w:t xml:space="preserve"> </w:t>
      </w:r>
      <w:r w:rsidRPr="00803C34">
        <w:rPr>
          <w:szCs w:val="20"/>
        </w:rPr>
        <w:t>C</w:t>
      </w:r>
      <w:r>
        <w:t>,</w:t>
      </w:r>
      <w:r w:rsidRPr="00751DF3">
        <w:rPr>
          <w:i/>
        </w:rPr>
        <w:t xml:space="preserve"> </w:t>
      </w:r>
      <w:r w:rsidRPr="00751DF3">
        <w:rPr>
          <w:szCs w:val="20"/>
        </w:rPr>
        <w:t>2012</w:t>
      </w:r>
      <w:r>
        <w:rPr>
          <w:szCs w:val="20"/>
        </w:rPr>
        <w:t xml:space="preserve">, </w:t>
      </w:r>
      <w:r w:rsidRPr="00751DF3">
        <w:t>155(2)</w:t>
      </w:r>
      <w:r>
        <w:t xml:space="preserve">, </w:t>
      </w:r>
      <w:r w:rsidRPr="00751DF3">
        <w:t>213-218</w:t>
      </w:r>
      <w:r w:rsidRPr="00751DF3">
        <w:rPr>
          <w:i/>
        </w:rPr>
        <w:t>.</w:t>
      </w:r>
    </w:p>
    <w:p w14:paraId="1433A3EB" w14:textId="60BCB9D5" w:rsidR="005345BE" w:rsidRDefault="007424D2" w:rsidP="005345BE">
      <w:pPr>
        <w:numPr>
          <w:ilvl w:val="0"/>
          <w:numId w:val="20"/>
        </w:numPr>
        <w:ind w:left="1080"/>
      </w:pPr>
      <w:r>
        <w:t>*</w:t>
      </w:r>
      <w:r w:rsidRPr="00856E8E">
        <w:t>Tovar, R. U.</w:t>
      </w:r>
      <w:r>
        <w:t>;</w:t>
      </w:r>
      <w:r w:rsidRPr="00856E8E">
        <w:t xml:space="preserve"> Cantu, V.</w:t>
      </w:r>
      <w:r>
        <w:t>;</w:t>
      </w:r>
      <w:r w:rsidRPr="00856E8E">
        <w:t xml:space="preserve"> </w:t>
      </w:r>
      <w:r>
        <w:t>*</w:t>
      </w:r>
      <w:proofErr w:type="spellStart"/>
      <w:r w:rsidRPr="00856E8E">
        <w:t>Fremaux</w:t>
      </w:r>
      <w:proofErr w:type="spellEnd"/>
      <w:r>
        <w:t>,</w:t>
      </w:r>
      <w:r w:rsidRPr="007424D2">
        <w:t xml:space="preserve"> </w:t>
      </w:r>
      <w:r w:rsidRPr="00856E8E">
        <w:t>B.</w:t>
      </w:r>
      <w:r>
        <w:t>;</w:t>
      </w:r>
      <w:r w:rsidRPr="00856E8E">
        <w:t xml:space="preserve"> </w:t>
      </w:r>
      <w:r>
        <w:t>*</w:t>
      </w:r>
      <w:r w:rsidRPr="00856E8E">
        <w:t>Gonzalez Jr., P.</w:t>
      </w:r>
      <w:r>
        <w:t>;</w:t>
      </w:r>
      <w:r w:rsidRPr="00856E8E">
        <w:t xml:space="preserve"> </w:t>
      </w:r>
      <w:r>
        <w:t>*</w:t>
      </w:r>
      <w:r w:rsidRPr="00856E8E">
        <w:t>Spikes, A.</w:t>
      </w:r>
      <w:r>
        <w:t>;</w:t>
      </w:r>
      <w:r w:rsidRPr="00856E8E">
        <w:t xml:space="preserve"> </w:t>
      </w:r>
      <w:r w:rsidRPr="00751DF3">
        <w:t>García</w:t>
      </w:r>
      <w:r>
        <w:t>,</w:t>
      </w:r>
      <w:r w:rsidRPr="007E768A">
        <w:t xml:space="preserve"> </w:t>
      </w:r>
      <w:r w:rsidRPr="00751DF3">
        <w:t>D. M.</w:t>
      </w:r>
      <w:r w:rsidRPr="00856E8E">
        <w:t xml:space="preserve"> Comparative development and ocular histology between epigean and subterranean salamanders (</w:t>
      </w:r>
      <w:r w:rsidRPr="00856E8E">
        <w:rPr>
          <w:i/>
        </w:rPr>
        <w:t>Eurycea</w:t>
      </w:r>
      <w:r w:rsidRPr="00856E8E">
        <w:t xml:space="preserve">) from central Texas. </w:t>
      </w:r>
      <w:proofErr w:type="spellStart"/>
      <w:r w:rsidRPr="007424D2">
        <w:t>PeerJ</w:t>
      </w:r>
      <w:proofErr w:type="spellEnd"/>
      <w:r w:rsidRPr="00856E8E">
        <w:rPr>
          <w:i/>
        </w:rPr>
        <w:t xml:space="preserve"> </w:t>
      </w:r>
      <w:r w:rsidRPr="00856E8E">
        <w:t>2021</w:t>
      </w:r>
      <w:r>
        <w:t xml:space="preserve">, </w:t>
      </w:r>
      <w:r w:rsidRPr="00856E8E">
        <w:t>9</w:t>
      </w:r>
      <w:r>
        <w:t xml:space="preserve">, </w:t>
      </w:r>
      <w:r w:rsidRPr="00856E8E">
        <w:t>e11840</w:t>
      </w:r>
      <w:r>
        <w:t>.</w:t>
      </w:r>
      <w:r w:rsidR="005345BE">
        <w:t xml:space="preserve"> </w:t>
      </w:r>
    </w:p>
    <w:p w14:paraId="33E2203C" w14:textId="77777777" w:rsidR="00B629A0" w:rsidRDefault="00B629A0" w:rsidP="00B629A0"/>
    <w:p w14:paraId="3D51E396" w14:textId="72EC5AAA" w:rsidR="00B629A0" w:rsidRDefault="00B629A0" w:rsidP="00B629A0">
      <w:r>
        <w:rPr>
          <w:i/>
          <w:iCs/>
        </w:rPr>
        <w:t>4.</w:t>
      </w:r>
      <w:r>
        <w:rPr>
          <w:i/>
          <w:iCs/>
        </w:rPr>
        <w:tab/>
        <w:t>Reagents and Techniques</w:t>
      </w:r>
    </w:p>
    <w:p w14:paraId="770355CC" w14:textId="2C017CAD" w:rsidR="00B629A0" w:rsidRPr="00B629A0" w:rsidRDefault="00B629A0" w:rsidP="00B629A0">
      <w:pPr>
        <w:ind w:left="360"/>
      </w:pPr>
      <w:r>
        <w:t xml:space="preserve">Through the years, my lab has contributed to developing techniques and defining reagents, including commercially available antibodies, and more recently with Karen Lewis’s lab testing their applicability for use in zebrafish. </w:t>
      </w:r>
    </w:p>
    <w:p w14:paraId="11A41480" w14:textId="77777777" w:rsidR="00B629A0" w:rsidRDefault="00B629A0" w:rsidP="00B629A0">
      <w:pPr>
        <w:numPr>
          <w:ilvl w:val="1"/>
          <w:numId w:val="19"/>
        </w:numPr>
      </w:pPr>
      <w:r>
        <w:t xml:space="preserve">García, D. M.; Weigum, S. E.; </w:t>
      </w:r>
      <w:proofErr w:type="spellStart"/>
      <w:r>
        <w:t>Koke</w:t>
      </w:r>
      <w:proofErr w:type="spellEnd"/>
      <w:r>
        <w:t xml:space="preserve">, J. R. </w:t>
      </w:r>
      <w:r w:rsidRPr="008232B3">
        <w:t xml:space="preserve">GFAP and nuclear </w:t>
      </w:r>
      <w:proofErr w:type="spellStart"/>
      <w:r w:rsidRPr="008232B3">
        <w:t>lamins</w:t>
      </w:r>
      <w:proofErr w:type="spellEnd"/>
      <w:r w:rsidRPr="008232B3">
        <w:t xml:space="preserve"> share an epitope recognized by monoclonal antibody J1-31</w:t>
      </w:r>
      <w:r>
        <w:t xml:space="preserve">. </w:t>
      </w:r>
      <w:r w:rsidRPr="008232B3">
        <w:rPr>
          <w:iCs/>
        </w:rPr>
        <w:t>Brain Res</w:t>
      </w:r>
      <w:r>
        <w:rPr>
          <w:iCs/>
        </w:rPr>
        <w:t>. 2003,</w:t>
      </w:r>
      <w:r w:rsidRPr="008232B3">
        <w:t xml:space="preserve"> 976(1)</w:t>
      </w:r>
      <w:r>
        <w:t xml:space="preserve">, </w:t>
      </w:r>
      <w:r w:rsidRPr="008232B3">
        <w:t>9-21.</w:t>
      </w:r>
    </w:p>
    <w:p w14:paraId="38E05201" w14:textId="77777777" w:rsidR="00B629A0" w:rsidRPr="008232B3" w:rsidRDefault="00B629A0" w:rsidP="00B629A0">
      <w:pPr>
        <w:numPr>
          <w:ilvl w:val="1"/>
          <w:numId w:val="19"/>
        </w:numPr>
      </w:pPr>
      <w:r>
        <w:t xml:space="preserve">Weigum, S. E.; García, D. M.; Raabe, T. R.; Christodoulides, N.; </w:t>
      </w:r>
      <w:proofErr w:type="spellStart"/>
      <w:r>
        <w:t>Koke</w:t>
      </w:r>
      <w:proofErr w:type="spellEnd"/>
      <w:r>
        <w:t xml:space="preserve">, J. R. </w:t>
      </w:r>
      <w:r w:rsidRPr="008232B3">
        <w:t xml:space="preserve">Discrete nuclear structures in actively growing neuroblastoma cells are revealed by antibodies raised against phosphorylated neurofilament proteins.  </w:t>
      </w:r>
      <w:r w:rsidRPr="008232B3">
        <w:rPr>
          <w:iCs/>
        </w:rPr>
        <w:t xml:space="preserve">BMC </w:t>
      </w:r>
      <w:proofErr w:type="spellStart"/>
      <w:r w:rsidRPr="008232B3">
        <w:rPr>
          <w:iCs/>
        </w:rPr>
        <w:t>Neurosci</w:t>
      </w:r>
      <w:proofErr w:type="spellEnd"/>
      <w:r>
        <w:rPr>
          <w:iCs/>
        </w:rPr>
        <w:t>. 2003, 4, 6.</w:t>
      </w:r>
    </w:p>
    <w:p w14:paraId="73ABFEFC" w14:textId="77777777" w:rsidR="00B629A0" w:rsidRDefault="00B629A0" w:rsidP="00B629A0">
      <w:pPr>
        <w:numPr>
          <w:ilvl w:val="1"/>
          <w:numId w:val="19"/>
        </w:numPr>
      </w:pPr>
      <w:r>
        <w:t xml:space="preserve">*Villarreal, M. A.; </w:t>
      </w:r>
      <w:proofErr w:type="spellStart"/>
      <w:r>
        <w:t>Biediger</w:t>
      </w:r>
      <w:proofErr w:type="spellEnd"/>
      <w:r>
        <w:t xml:space="preserve">, N. M.; Bonner, N. A.; Miller, J. N.; Zepeda, S. K.; *Ricard, B. J.; García, D. M.; Lewis, K. A. </w:t>
      </w:r>
      <w:r w:rsidRPr="005411C7">
        <w:t xml:space="preserve">Determining zebrafish epitope reactivity to commercially available antibodies.  </w:t>
      </w:r>
      <w:r w:rsidRPr="005411C7">
        <w:rPr>
          <w:iCs/>
        </w:rPr>
        <w:t>Zebrafish</w:t>
      </w:r>
      <w:r w:rsidRPr="005411C7">
        <w:t xml:space="preserve"> </w:t>
      </w:r>
      <w:r>
        <w:t xml:space="preserve">2017, </w:t>
      </w:r>
      <w:r w:rsidRPr="005411C7">
        <w:t>14(4)</w:t>
      </w:r>
      <w:r>
        <w:t>,</w:t>
      </w:r>
      <w:r w:rsidRPr="005411C7">
        <w:t xml:space="preserve"> 387-389.</w:t>
      </w:r>
    </w:p>
    <w:p w14:paraId="2FDB37F3" w14:textId="77777777" w:rsidR="00B629A0" w:rsidRDefault="00B629A0" w:rsidP="00B629A0">
      <w:pPr>
        <w:numPr>
          <w:ilvl w:val="1"/>
          <w:numId w:val="19"/>
        </w:numPr>
      </w:pPr>
      <w:r>
        <w:t xml:space="preserve">*Ibarra, D. E.; *Wiebe, D. E.; *Mireles, T. M.; *Pattillo, A.; *Roberts, T.; *Wood, T. S.; *Przybylski, C.; *Rodriguez, C. J.; García, D. M. </w:t>
      </w:r>
      <w:r w:rsidRPr="001D5DFC">
        <w:t xml:space="preserve">A method for quantifying pigment position in retinal pigment epithelium.  </w:t>
      </w:r>
      <w:r w:rsidRPr="001D5DFC">
        <w:rPr>
          <w:iCs/>
        </w:rPr>
        <w:t>Exp. Eye Res</w:t>
      </w:r>
      <w:r>
        <w:rPr>
          <w:i/>
        </w:rPr>
        <w:t>.</w:t>
      </w:r>
      <w:r>
        <w:rPr>
          <w:iCs/>
        </w:rPr>
        <w:t xml:space="preserve"> 2020, 195, </w:t>
      </w:r>
      <w:r w:rsidRPr="001D5DFC">
        <w:rPr>
          <w:iCs/>
        </w:rPr>
        <w:t>108038</w:t>
      </w:r>
      <w:r>
        <w:rPr>
          <w:iCs/>
        </w:rPr>
        <w:t>.</w:t>
      </w:r>
    </w:p>
    <w:p w14:paraId="1D58AD02" w14:textId="77777777" w:rsidR="00B629A0" w:rsidRDefault="00B629A0" w:rsidP="00B629A0"/>
    <w:p w14:paraId="1C24297E" w14:textId="145A7254" w:rsidR="006B20F8" w:rsidRPr="00476DEF" w:rsidRDefault="00B629A0" w:rsidP="00B629A0">
      <w:pPr>
        <w:rPr>
          <w:i/>
        </w:rPr>
      </w:pPr>
      <w:r>
        <w:rPr>
          <w:i/>
        </w:rPr>
        <w:t>5.</w:t>
      </w:r>
      <w:r>
        <w:rPr>
          <w:i/>
        </w:rPr>
        <w:tab/>
      </w:r>
      <w:r w:rsidR="00656DEC">
        <w:rPr>
          <w:i/>
        </w:rPr>
        <w:t>Science Education, Teacher Education</w:t>
      </w:r>
      <w:r w:rsidR="00475C15">
        <w:rPr>
          <w:i/>
        </w:rPr>
        <w:t>,</w:t>
      </w:r>
      <w:r w:rsidR="00656DEC">
        <w:rPr>
          <w:i/>
        </w:rPr>
        <w:t xml:space="preserve"> Informal Education</w:t>
      </w:r>
      <w:r w:rsidR="00475C15">
        <w:rPr>
          <w:i/>
        </w:rPr>
        <w:t xml:space="preserve"> and Educational Disparities</w:t>
      </w:r>
    </w:p>
    <w:p w14:paraId="32588650" w14:textId="77777777" w:rsidR="006B20F8" w:rsidRDefault="00C95D0A" w:rsidP="006B20F8">
      <w:pPr>
        <w:ind w:left="360"/>
        <w:jc w:val="both"/>
      </w:pPr>
      <w:r>
        <w:t>When</w:t>
      </w:r>
      <w:r w:rsidR="004416E4">
        <w:t xml:space="preserve"> I started on faculty at (then) Southwest Texas State University, I have been struck by the ill-preparedness of </w:t>
      </w:r>
      <w:r w:rsidR="008F51DB">
        <w:t xml:space="preserve">some of </w:t>
      </w:r>
      <w:r w:rsidR="004416E4">
        <w:t xml:space="preserve">our students, and I have been fortunate to have colleagues interested in addressing some of their </w:t>
      </w:r>
      <w:proofErr w:type="gramStart"/>
      <w:r w:rsidR="004416E4">
        <w:t>short-comings</w:t>
      </w:r>
      <w:proofErr w:type="gramEnd"/>
      <w:r w:rsidR="004416E4">
        <w:t xml:space="preserve"> head-on. This activity is manifested in grant activity – teacher improvement grants</w:t>
      </w:r>
      <w:r w:rsidR="009247DC">
        <w:t>, NSF INCLUDES grants and laboratory improvement grants – as well as publications:</w:t>
      </w:r>
    </w:p>
    <w:p w14:paraId="0925861B" w14:textId="77777777" w:rsidR="006B20F8" w:rsidRDefault="009247DC" w:rsidP="006B20F8">
      <w:pPr>
        <w:numPr>
          <w:ilvl w:val="0"/>
          <w:numId w:val="21"/>
        </w:numPr>
      </w:pPr>
      <w:proofErr w:type="spellStart"/>
      <w:r w:rsidRPr="00085127">
        <w:t>Westerlund</w:t>
      </w:r>
      <w:proofErr w:type="spellEnd"/>
      <w:r w:rsidRPr="00085127">
        <w:t>, J. F.</w:t>
      </w:r>
      <w:r>
        <w:t>;</w:t>
      </w:r>
      <w:r w:rsidRPr="00085127">
        <w:t xml:space="preserve"> García, D. M.</w:t>
      </w:r>
      <w:r>
        <w:t>;</w:t>
      </w:r>
      <w:r w:rsidRPr="00085127">
        <w:t xml:space="preserve"> </w:t>
      </w:r>
      <w:proofErr w:type="spellStart"/>
      <w:r w:rsidRPr="00085127">
        <w:t>Koke</w:t>
      </w:r>
      <w:proofErr w:type="spellEnd"/>
      <w:r>
        <w:t>,</w:t>
      </w:r>
      <w:r w:rsidRPr="009247DC">
        <w:t xml:space="preserve"> </w:t>
      </w:r>
      <w:r w:rsidRPr="00085127">
        <w:t>J. R.</w:t>
      </w:r>
      <w:r>
        <w:t>;</w:t>
      </w:r>
      <w:r w:rsidRPr="00085127">
        <w:t xml:space="preserve"> Taylor</w:t>
      </w:r>
      <w:r>
        <w:t>,</w:t>
      </w:r>
      <w:r w:rsidRPr="00085127">
        <w:t xml:space="preserve"> T. A.</w:t>
      </w:r>
      <w:r>
        <w:t>;</w:t>
      </w:r>
      <w:r w:rsidRPr="00085127">
        <w:t xml:space="preserve"> Mason</w:t>
      </w:r>
      <w:r>
        <w:t>,</w:t>
      </w:r>
      <w:r w:rsidRPr="009247DC">
        <w:t xml:space="preserve"> </w:t>
      </w:r>
      <w:r w:rsidRPr="00085127">
        <w:t xml:space="preserve">D. S. Summer scientific research for teachers: the experience and its effect.  </w:t>
      </w:r>
      <w:r w:rsidRPr="009247DC">
        <w:rPr>
          <w:iCs/>
        </w:rPr>
        <w:t>J. Science Teacher Education</w:t>
      </w:r>
      <w:r w:rsidRPr="00085127">
        <w:t xml:space="preserve"> 2002</w:t>
      </w:r>
      <w:r>
        <w:t xml:space="preserve">, </w:t>
      </w:r>
      <w:r w:rsidRPr="00085127">
        <w:t>13(1)</w:t>
      </w:r>
      <w:r>
        <w:t xml:space="preserve">, </w:t>
      </w:r>
      <w:r w:rsidRPr="00085127">
        <w:t>63-83</w:t>
      </w:r>
      <w:r w:rsidR="006B20F8">
        <w:t>.</w:t>
      </w:r>
    </w:p>
    <w:p w14:paraId="7F966184" w14:textId="77777777" w:rsidR="00F41B95" w:rsidRPr="00751DF3" w:rsidRDefault="00F41B95" w:rsidP="00F41B95">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pPr>
      <w:r w:rsidRPr="00751DF3">
        <w:t>Schwartz, R.</w:t>
      </w:r>
      <w:r>
        <w:t>;</w:t>
      </w:r>
      <w:r w:rsidRPr="00751DF3">
        <w:t xml:space="preserve"> </w:t>
      </w:r>
      <w:proofErr w:type="spellStart"/>
      <w:r w:rsidRPr="00751DF3">
        <w:t>Westerlund</w:t>
      </w:r>
      <w:proofErr w:type="spellEnd"/>
      <w:r w:rsidRPr="00751DF3">
        <w:t>,</w:t>
      </w:r>
      <w:r>
        <w:t xml:space="preserve"> J.;</w:t>
      </w:r>
      <w:r w:rsidRPr="00751DF3">
        <w:t xml:space="preserve"> García</w:t>
      </w:r>
      <w:r>
        <w:t>,</w:t>
      </w:r>
      <w:r w:rsidRPr="00751DF3">
        <w:t xml:space="preserve"> D.</w:t>
      </w:r>
      <w:r>
        <w:t xml:space="preserve"> M.;</w:t>
      </w:r>
      <w:r w:rsidRPr="00751DF3">
        <w:t xml:space="preserve"> Taylor</w:t>
      </w:r>
      <w:r>
        <w:t>,</w:t>
      </w:r>
      <w:r w:rsidRPr="00F41B95">
        <w:t xml:space="preserve"> </w:t>
      </w:r>
      <w:r w:rsidRPr="00751DF3">
        <w:t xml:space="preserve">T. The impact of full immersion scientific research experiences on teachers’ views of the nature of science.  </w:t>
      </w:r>
      <w:r w:rsidRPr="00F41B95">
        <w:t>Electronic J</w:t>
      </w:r>
      <w:r>
        <w:t>.</w:t>
      </w:r>
      <w:r w:rsidRPr="00F41B95">
        <w:t xml:space="preserve"> Sci</w:t>
      </w:r>
      <w:r>
        <w:t>.</w:t>
      </w:r>
      <w:r w:rsidRPr="00F41B95">
        <w:rPr>
          <w:i/>
        </w:rPr>
        <w:t xml:space="preserve"> </w:t>
      </w:r>
      <w:r w:rsidRPr="00F41B95">
        <w:t>Ed</w:t>
      </w:r>
      <w:r>
        <w:t xml:space="preserve">. </w:t>
      </w:r>
      <w:r w:rsidRPr="00751DF3">
        <w:t>2010</w:t>
      </w:r>
      <w:r>
        <w:t xml:space="preserve">, </w:t>
      </w:r>
      <w:r w:rsidRPr="00751DF3">
        <w:t>14</w:t>
      </w:r>
      <w:r>
        <w:t xml:space="preserve">, </w:t>
      </w:r>
      <w:r w:rsidRPr="00751DF3">
        <w:t xml:space="preserve">2. </w:t>
      </w:r>
    </w:p>
    <w:p w14:paraId="47280F7F" w14:textId="77777777" w:rsidR="000170C5" w:rsidRDefault="00F41B95" w:rsidP="000170C5">
      <w:pPr>
        <w:numPr>
          <w:ilvl w:val="0"/>
          <w:numId w:val="21"/>
        </w:numPr>
      </w:pPr>
      <w:r w:rsidRPr="0098502D">
        <w:t>Ashford-</w:t>
      </w:r>
      <w:proofErr w:type="spellStart"/>
      <w:r w:rsidRPr="0098502D">
        <w:t>Hanserd</w:t>
      </w:r>
      <w:proofErr w:type="spellEnd"/>
      <w:r w:rsidRPr="0098502D">
        <w:t>, S.</w:t>
      </w:r>
      <w:r>
        <w:t>;</w:t>
      </w:r>
      <w:r w:rsidRPr="0098502D">
        <w:t xml:space="preserve"> Daniel, K. L.</w:t>
      </w:r>
      <w:r>
        <w:t>;</w:t>
      </w:r>
      <w:r w:rsidRPr="0098502D">
        <w:t xml:space="preserve"> García</w:t>
      </w:r>
      <w:r>
        <w:t>,</w:t>
      </w:r>
      <w:r w:rsidRPr="0098502D">
        <w:t xml:space="preserve"> D. M.</w:t>
      </w:r>
      <w:r>
        <w:t>;</w:t>
      </w:r>
      <w:r w:rsidRPr="0098502D">
        <w:t xml:space="preserve"> </w:t>
      </w:r>
      <w:proofErr w:type="spellStart"/>
      <w:r w:rsidRPr="0098502D">
        <w:t>Idema</w:t>
      </w:r>
      <w:proofErr w:type="spellEnd"/>
      <w:r>
        <w:t>,</w:t>
      </w:r>
      <w:r w:rsidRPr="00F41B95">
        <w:t xml:space="preserve"> </w:t>
      </w:r>
      <w:r w:rsidRPr="0098502D">
        <w:t>J</w:t>
      </w:r>
      <w:r>
        <w:t xml:space="preserve">. </w:t>
      </w:r>
      <w:r w:rsidRPr="0098502D">
        <w:t xml:space="preserve">Factors that influence persistence of minority students in STEM majors at a Hispanic Serving Institution.  </w:t>
      </w:r>
      <w:r w:rsidRPr="00F41B95">
        <w:t>J</w:t>
      </w:r>
      <w:r>
        <w:t xml:space="preserve">. </w:t>
      </w:r>
      <w:r w:rsidRPr="00F41B95">
        <w:t>Res</w:t>
      </w:r>
      <w:r>
        <w:t>.</w:t>
      </w:r>
      <w:r w:rsidRPr="0098502D">
        <w:rPr>
          <w:i/>
        </w:rPr>
        <w:t xml:space="preserve"> </w:t>
      </w:r>
      <w:r w:rsidRPr="00F41B95">
        <w:t>Tech</w:t>
      </w:r>
      <w:r>
        <w:t>.</w:t>
      </w:r>
      <w:r w:rsidRPr="00F41B95">
        <w:t xml:space="preserve"> Careers 2020, 4(1).</w:t>
      </w:r>
      <w:r>
        <w:t xml:space="preserve"> </w:t>
      </w:r>
      <w:hyperlink r:id="rId10" w:history="1">
        <w:r w:rsidRPr="00F41B95">
          <w:rPr>
            <w:rStyle w:val="Hyperlink"/>
          </w:rPr>
          <w:t>https://doi.org/10.9741/2578-2118.1048</w:t>
        </w:r>
      </w:hyperlink>
    </w:p>
    <w:p w14:paraId="66E74F6E" w14:textId="77777777" w:rsidR="000170C5" w:rsidRPr="000170C5" w:rsidRDefault="000170C5" w:rsidP="000170C5">
      <w:pPr>
        <w:numPr>
          <w:ilvl w:val="0"/>
          <w:numId w:val="21"/>
        </w:numPr>
      </w:pPr>
      <w:r w:rsidRPr="000170C5">
        <w:rPr>
          <w:iCs/>
          <w:szCs w:val="20"/>
        </w:rPr>
        <w:lastRenderedPageBreak/>
        <w:t>Ashford-</w:t>
      </w:r>
      <w:proofErr w:type="spellStart"/>
      <w:r w:rsidRPr="000170C5">
        <w:rPr>
          <w:iCs/>
          <w:szCs w:val="20"/>
        </w:rPr>
        <w:t>Hanserd</w:t>
      </w:r>
      <w:proofErr w:type="spellEnd"/>
      <w:r w:rsidRPr="000170C5">
        <w:rPr>
          <w:iCs/>
          <w:szCs w:val="20"/>
        </w:rPr>
        <w:t>, S.N.</w:t>
      </w:r>
      <w:r>
        <w:rPr>
          <w:iCs/>
          <w:szCs w:val="20"/>
        </w:rPr>
        <w:t>;</w:t>
      </w:r>
      <w:r w:rsidRPr="000170C5">
        <w:rPr>
          <w:iCs/>
          <w:szCs w:val="20"/>
        </w:rPr>
        <w:t xml:space="preserve"> Daniel</w:t>
      </w:r>
      <w:r>
        <w:rPr>
          <w:iCs/>
          <w:szCs w:val="20"/>
        </w:rPr>
        <w:t>,</w:t>
      </w:r>
      <w:r w:rsidRPr="000170C5">
        <w:rPr>
          <w:iCs/>
          <w:szCs w:val="20"/>
        </w:rPr>
        <w:t xml:space="preserve"> K.L.</w:t>
      </w:r>
      <w:r>
        <w:rPr>
          <w:iCs/>
          <w:szCs w:val="20"/>
        </w:rPr>
        <w:t>;</w:t>
      </w:r>
      <w:r w:rsidRPr="000170C5">
        <w:rPr>
          <w:iCs/>
          <w:szCs w:val="20"/>
        </w:rPr>
        <w:t xml:space="preserve"> García, D.</w:t>
      </w:r>
      <w:r>
        <w:rPr>
          <w:iCs/>
          <w:szCs w:val="20"/>
        </w:rPr>
        <w:t>;</w:t>
      </w:r>
      <w:r w:rsidRPr="000170C5">
        <w:rPr>
          <w:iCs/>
          <w:szCs w:val="20"/>
        </w:rPr>
        <w:t xml:space="preserve"> Lerma</w:t>
      </w:r>
      <w:r>
        <w:rPr>
          <w:iCs/>
          <w:szCs w:val="20"/>
        </w:rPr>
        <w:t>,</w:t>
      </w:r>
      <w:r w:rsidRPr="000170C5">
        <w:rPr>
          <w:iCs/>
          <w:szCs w:val="20"/>
        </w:rPr>
        <w:t xml:space="preserve"> Y.</w:t>
      </w:r>
      <w:r>
        <w:rPr>
          <w:iCs/>
          <w:szCs w:val="20"/>
        </w:rPr>
        <w:t>;</w:t>
      </w:r>
      <w:r w:rsidRPr="000170C5">
        <w:rPr>
          <w:iCs/>
          <w:szCs w:val="20"/>
        </w:rPr>
        <w:t xml:space="preserve"> Pedroso</w:t>
      </w:r>
      <w:r>
        <w:rPr>
          <w:iCs/>
          <w:szCs w:val="20"/>
        </w:rPr>
        <w:t>,</w:t>
      </w:r>
      <w:r w:rsidRPr="000170C5">
        <w:rPr>
          <w:iCs/>
          <w:szCs w:val="20"/>
        </w:rPr>
        <w:t xml:space="preserve"> R.</w:t>
      </w:r>
      <w:r w:rsidRPr="000170C5">
        <w:rPr>
          <w:szCs w:val="20"/>
        </w:rPr>
        <w:t xml:space="preserve"> </w:t>
      </w:r>
      <w:r w:rsidRPr="000170C5">
        <w:rPr>
          <w:bCs/>
          <w:szCs w:val="20"/>
        </w:rPr>
        <w:t xml:space="preserve">Influences on </w:t>
      </w:r>
      <w:r>
        <w:rPr>
          <w:bCs/>
          <w:szCs w:val="20"/>
        </w:rPr>
        <w:t>h</w:t>
      </w:r>
      <w:r w:rsidRPr="000170C5">
        <w:rPr>
          <w:bCs/>
          <w:szCs w:val="20"/>
        </w:rPr>
        <w:t xml:space="preserve">istorically </w:t>
      </w:r>
      <w:r>
        <w:rPr>
          <w:bCs/>
          <w:szCs w:val="20"/>
        </w:rPr>
        <w:t>u</w:t>
      </w:r>
      <w:r w:rsidRPr="000170C5">
        <w:rPr>
          <w:bCs/>
          <w:szCs w:val="20"/>
        </w:rPr>
        <w:t xml:space="preserve">nderrepresented </w:t>
      </w:r>
      <w:r>
        <w:rPr>
          <w:bCs/>
          <w:szCs w:val="20"/>
        </w:rPr>
        <w:t>m</w:t>
      </w:r>
      <w:r w:rsidRPr="000170C5">
        <w:rPr>
          <w:bCs/>
          <w:szCs w:val="20"/>
        </w:rPr>
        <w:t xml:space="preserve">inority </w:t>
      </w:r>
      <w:r>
        <w:rPr>
          <w:bCs/>
          <w:szCs w:val="20"/>
        </w:rPr>
        <w:t>s</w:t>
      </w:r>
      <w:r w:rsidRPr="000170C5">
        <w:rPr>
          <w:bCs/>
          <w:szCs w:val="20"/>
        </w:rPr>
        <w:t xml:space="preserve">tudents' </w:t>
      </w:r>
      <w:r>
        <w:rPr>
          <w:bCs/>
          <w:szCs w:val="20"/>
        </w:rPr>
        <w:t>d</w:t>
      </w:r>
      <w:r w:rsidRPr="000170C5">
        <w:rPr>
          <w:bCs/>
          <w:szCs w:val="20"/>
        </w:rPr>
        <w:t xml:space="preserve">ecisions to </w:t>
      </w:r>
      <w:r>
        <w:rPr>
          <w:bCs/>
          <w:szCs w:val="20"/>
        </w:rPr>
        <w:t>e</w:t>
      </w:r>
      <w:r w:rsidRPr="000170C5">
        <w:rPr>
          <w:bCs/>
          <w:szCs w:val="20"/>
        </w:rPr>
        <w:t xml:space="preserve">nroll and </w:t>
      </w:r>
      <w:r>
        <w:rPr>
          <w:bCs/>
          <w:szCs w:val="20"/>
        </w:rPr>
        <w:t>p</w:t>
      </w:r>
      <w:r w:rsidRPr="000170C5">
        <w:rPr>
          <w:bCs/>
          <w:szCs w:val="20"/>
        </w:rPr>
        <w:t xml:space="preserve">ersist in STEM </w:t>
      </w:r>
      <w:r>
        <w:rPr>
          <w:bCs/>
          <w:szCs w:val="20"/>
        </w:rPr>
        <w:t>m</w:t>
      </w:r>
      <w:r w:rsidRPr="000170C5">
        <w:rPr>
          <w:bCs/>
          <w:szCs w:val="20"/>
        </w:rPr>
        <w:t xml:space="preserve">ajors. </w:t>
      </w:r>
      <w:r w:rsidRPr="000170C5">
        <w:rPr>
          <w:i/>
          <w:iCs/>
          <w:szCs w:val="20"/>
        </w:rPr>
        <w:t>Proceedings of the Annual Meeting of NARST: A Worldwide Organization for Improving Science Teaching and Learning through Research.</w:t>
      </w:r>
      <w:r w:rsidRPr="000170C5">
        <w:rPr>
          <w:szCs w:val="20"/>
        </w:rPr>
        <w:t xml:space="preserve"> 2021</w:t>
      </w:r>
    </w:p>
    <w:p w14:paraId="535E3B41" w14:textId="77777777" w:rsidR="00FC5F9E" w:rsidRPr="00E03323" w:rsidRDefault="000D0897" w:rsidP="000D0897">
      <w:pPr>
        <w:pStyle w:val="Heading2"/>
        <w:spacing w:before="240"/>
        <w:rPr>
          <w:rStyle w:val="Strong"/>
          <w:b/>
        </w:rPr>
      </w:pPr>
      <w:r>
        <w:t>Part</w:t>
      </w:r>
      <w:r w:rsidR="008F51DB">
        <w:t>i</w:t>
      </w:r>
      <w:r>
        <w:t>al</w:t>
      </w:r>
      <w:r w:rsidR="005345BE" w:rsidRPr="00673BC5">
        <w:t xml:space="preserve"> List of Published Work in My</w:t>
      </w:r>
      <w:r w:rsidR="005345BE">
        <w:t xml:space="preserve"> </w:t>
      </w:r>
      <w:r w:rsidR="005345BE" w:rsidRPr="00673BC5">
        <w:t>Bibliograph</w:t>
      </w:r>
      <w:r w:rsidR="005345BE">
        <w:t xml:space="preserve">y:   </w:t>
      </w:r>
      <w:hyperlink r:id="rId11" w:history="1">
        <w:r>
          <w:rPr>
            <w:rStyle w:val="Hyperlink"/>
            <w:rFonts w:ascii="Source Sans Pro" w:hAnsi="Source Sans Pro"/>
            <w:color w:val="376FAA"/>
            <w:sz w:val="23"/>
            <w:szCs w:val="23"/>
            <w:shd w:val="clear" w:color="auto" w:fill="FFFFFF"/>
          </w:rPr>
          <w:t>https://www.ncbi.nlm.nih.gov/myncbi/dana.garcia.1/bibliography/public/</w:t>
        </w:r>
      </w:hyperlink>
    </w:p>
    <w:sectPr w:rsidR="00FC5F9E" w:rsidRPr="00E03323"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1197" w14:textId="77777777" w:rsidR="00BE28DD" w:rsidRDefault="00BE28DD">
      <w:r>
        <w:separator/>
      </w:r>
    </w:p>
  </w:endnote>
  <w:endnote w:type="continuationSeparator" w:id="0">
    <w:p w14:paraId="03DBD56C" w14:textId="77777777" w:rsidR="00BE28DD" w:rsidRDefault="00BE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223E5" w14:textId="77777777" w:rsidR="00BE28DD" w:rsidRDefault="00BE28DD">
      <w:r>
        <w:separator/>
      </w:r>
    </w:p>
  </w:footnote>
  <w:footnote w:type="continuationSeparator" w:id="0">
    <w:p w14:paraId="460A2E36" w14:textId="77777777" w:rsidR="00BE28DD" w:rsidRDefault="00BE2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804D" w14:textId="77777777"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5805113C"/>
    <w:multiLevelType w:val="hybridMultilevel"/>
    <w:tmpl w:val="4662A05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2112625036">
    <w:abstractNumId w:val="9"/>
  </w:num>
  <w:num w:numId="2" w16cid:durableId="1226717974">
    <w:abstractNumId w:val="7"/>
  </w:num>
  <w:num w:numId="3" w16cid:durableId="444353167">
    <w:abstractNumId w:val="6"/>
  </w:num>
  <w:num w:numId="4" w16cid:durableId="1163080336">
    <w:abstractNumId w:val="5"/>
  </w:num>
  <w:num w:numId="5" w16cid:durableId="1322352034">
    <w:abstractNumId w:val="4"/>
  </w:num>
  <w:num w:numId="6" w16cid:durableId="1857618240">
    <w:abstractNumId w:val="8"/>
  </w:num>
  <w:num w:numId="7" w16cid:durableId="357661065">
    <w:abstractNumId w:val="3"/>
  </w:num>
  <w:num w:numId="8" w16cid:durableId="715423081">
    <w:abstractNumId w:val="2"/>
  </w:num>
  <w:num w:numId="9" w16cid:durableId="709770600">
    <w:abstractNumId w:val="1"/>
  </w:num>
  <w:num w:numId="10" w16cid:durableId="1657995884">
    <w:abstractNumId w:val="0"/>
  </w:num>
  <w:num w:numId="11" w16cid:durableId="1004043425">
    <w:abstractNumId w:val="0"/>
  </w:num>
  <w:num w:numId="12" w16cid:durableId="203105966">
    <w:abstractNumId w:val="15"/>
  </w:num>
  <w:num w:numId="13" w16cid:durableId="572282084">
    <w:abstractNumId w:val="11"/>
  </w:num>
  <w:num w:numId="14" w16cid:durableId="1978099281">
    <w:abstractNumId w:val="19"/>
  </w:num>
  <w:num w:numId="15" w16cid:durableId="1287472045">
    <w:abstractNumId w:val="17"/>
  </w:num>
  <w:num w:numId="16" w16cid:durableId="506597565">
    <w:abstractNumId w:val="18"/>
  </w:num>
  <w:num w:numId="17" w16cid:durableId="1627348114">
    <w:abstractNumId w:val="10"/>
  </w:num>
  <w:num w:numId="18" w16cid:durableId="231619304">
    <w:abstractNumId w:val="13"/>
  </w:num>
  <w:num w:numId="19" w16cid:durableId="76948577">
    <w:abstractNumId w:val="12"/>
  </w:num>
  <w:num w:numId="20" w16cid:durableId="863977798">
    <w:abstractNumId w:val="14"/>
  </w:num>
  <w:num w:numId="21" w16cid:durableId="12484216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170C5"/>
    <w:rsid w:val="00023A7A"/>
    <w:rsid w:val="00025BA2"/>
    <w:rsid w:val="00027E26"/>
    <w:rsid w:val="00030820"/>
    <w:rsid w:val="00037A83"/>
    <w:rsid w:val="00053E0B"/>
    <w:rsid w:val="00067621"/>
    <w:rsid w:val="000750B5"/>
    <w:rsid w:val="00082F7B"/>
    <w:rsid w:val="00084466"/>
    <w:rsid w:val="00085682"/>
    <w:rsid w:val="000D0897"/>
    <w:rsid w:val="000E3BEC"/>
    <w:rsid w:val="00106DA1"/>
    <w:rsid w:val="0010734A"/>
    <w:rsid w:val="00122EB3"/>
    <w:rsid w:val="00132CA6"/>
    <w:rsid w:val="0014571A"/>
    <w:rsid w:val="00153DEB"/>
    <w:rsid w:val="00170D87"/>
    <w:rsid w:val="00177D49"/>
    <w:rsid w:val="00182189"/>
    <w:rsid w:val="00183022"/>
    <w:rsid w:val="00196B0E"/>
    <w:rsid w:val="001A663A"/>
    <w:rsid w:val="001A6823"/>
    <w:rsid w:val="001C065C"/>
    <w:rsid w:val="001D5DFC"/>
    <w:rsid w:val="00202565"/>
    <w:rsid w:val="0021523B"/>
    <w:rsid w:val="002429B4"/>
    <w:rsid w:val="002506F6"/>
    <w:rsid w:val="00253862"/>
    <w:rsid w:val="00272ABA"/>
    <w:rsid w:val="0028051C"/>
    <w:rsid w:val="00287CF9"/>
    <w:rsid w:val="00293FBC"/>
    <w:rsid w:val="002A70D9"/>
    <w:rsid w:val="002B2608"/>
    <w:rsid w:val="002B7443"/>
    <w:rsid w:val="002C07F8"/>
    <w:rsid w:val="002C285A"/>
    <w:rsid w:val="002C4808"/>
    <w:rsid w:val="002C51BC"/>
    <w:rsid w:val="002D1EA9"/>
    <w:rsid w:val="002D5166"/>
    <w:rsid w:val="002D7520"/>
    <w:rsid w:val="002E2CA2"/>
    <w:rsid w:val="002E5125"/>
    <w:rsid w:val="00307C9E"/>
    <w:rsid w:val="00321A19"/>
    <w:rsid w:val="0035045F"/>
    <w:rsid w:val="0036743F"/>
    <w:rsid w:val="00370F43"/>
    <w:rsid w:val="0037667F"/>
    <w:rsid w:val="00382AB6"/>
    <w:rsid w:val="00383712"/>
    <w:rsid w:val="00397C34"/>
    <w:rsid w:val="003C2647"/>
    <w:rsid w:val="003C3CA5"/>
    <w:rsid w:val="003C48CE"/>
    <w:rsid w:val="003C62D6"/>
    <w:rsid w:val="003C6731"/>
    <w:rsid w:val="003D2399"/>
    <w:rsid w:val="003E4A92"/>
    <w:rsid w:val="003F6A45"/>
    <w:rsid w:val="0040289D"/>
    <w:rsid w:val="00404A2F"/>
    <w:rsid w:val="004166AF"/>
    <w:rsid w:val="00420282"/>
    <w:rsid w:val="00422769"/>
    <w:rsid w:val="00432346"/>
    <w:rsid w:val="004363F1"/>
    <w:rsid w:val="004416E4"/>
    <w:rsid w:val="00447F3A"/>
    <w:rsid w:val="004759D9"/>
    <w:rsid w:val="00475C15"/>
    <w:rsid w:val="004858AE"/>
    <w:rsid w:val="0049068A"/>
    <w:rsid w:val="00493D23"/>
    <w:rsid w:val="004A3FC8"/>
    <w:rsid w:val="004C054A"/>
    <w:rsid w:val="004D0023"/>
    <w:rsid w:val="004E03AD"/>
    <w:rsid w:val="00503B57"/>
    <w:rsid w:val="005145BB"/>
    <w:rsid w:val="00517BFD"/>
    <w:rsid w:val="00534566"/>
    <w:rsid w:val="005345BE"/>
    <w:rsid w:val="005411C7"/>
    <w:rsid w:val="0054471F"/>
    <w:rsid w:val="005461F3"/>
    <w:rsid w:val="00547118"/>
    <w:rsid w:val="00547AC9"/>
    <w:rsid w:val="00592740"/>
    <w:rsid w:val="0059658A"/>
    <w:rsid w:val="00597AA2"/>
    <w:rsid w:val="005A7F6F"/>
    <w:rsid w:val="005C2BDD"/>
    <w:rsid w:val="005C2CF8"/>
    <w:rsid w:val="005C47A8"/>
    <w:rsid w:val="005D19B4"/>
    <w:rsid w:val="005D31DA"/>
    <w:rsid w:val="005E3AB7"/>
    <w:rsid w:val="005E406E"/>
    <w:rsid w:val="005F0B12"/>
    <w:rsid w:val="005F5F51"/>
    <w:rsid w:val="00601C69"/>
    <w:rsid w:val="00616BCC"/>
    <w:rsid w:val="006222A8"/>
    <w:rsid w:val="006236F6"/>
    <w:rsid w:val="00624261"/>
    <w:rsid w:val="00633777"/>
    <w:rsid w:val="00635781"/>
    <w:rsid w:val="00646AF9"/>
    <w:rsid w:val="00656AB8"/>
    <w:rsid w:val="00656DEC"/>
    <w:rsid w:val="006609B6"/>
    <w:rsid w:val="00671E17"/>
    <w:rsid w:val="006730BD"/>
    <w:rsid w:val="0068699D"/>
    <w:rsid w:val="006967D2"/>
    <w:rsid w:val="00696D82"/>
    <w:rsid w:val="006A353C"/>
    <w:rsid w:val="006A56FC"/>
    <w:rsid w:val="006B160A"/>
    <w:rsid w:val="006B20F8"/>
    <w:rsid w:val="006B2D1C"/>
    <w:rsid w:val="006C1E1F"/>
    <w:rsid w:val="006C4618"/>
    <w:rsid w:val="006E6FB5"/>
    <w:rsid w:val="007050F5"/>
    <w:rsid w:val="0071140F"/>
    <w:rsid w:val="00722C8F"/>
    <w:rsid w:val="007424D2"/>
    <w:rsid w:val="00763DE9"/>
    <w:rsid w:val="00781234"/>
    <w:rsid w:val="00797E66"/>
    <w:rsid w:val="007B44C7"/>
    <w:rsid w:val="007B7AF3"/>
    <w:rsid w:val="007E1AE6"/>
    <w:rsid w:val="007E6E1E"/>
    <w:rsid w:val="007E768A"/>
    <w:rsid w:val="00803C34"/>
    <w:rsid w:val="008073EB"/>
    <w:rsid w:val="00810F5F"/>
    <w:rsid w:val="00821968"/>
    <w:rsid w:val="008232B3"/>
    <w:rsid w:val="00843027"/>
    <w:rsid w:val="00873917"/>
    <w:rsid w:val="00874EBC"/>
    <w:rsid w:val="0087514A"/>
    <w:rsid w:val="00890CA9"/>
    <w:rsid w:val="008E54B8"/>
    <w:rsid w:val="008F51DB"/>
    <w:rsid w:val="00910878"/>
    <w:rsid w:val="009211D3"/>
    <w:rsid w:val="009247DC"/>
    <w:rsid w:val="00933173"/>
    <w:rsid w:val="00934124"/>
    <w:rsid w:val="00952A27"/>
    <w:rsid w:val="00960DC9"/>
    <w:rsid w:val="00977FA5"/>
    <w:rsid w:val="009B0FAA"/>
    <w:rsid w:val="009C284C"/>
    <w:rsid w:val="009D7E97"/>
    <w:rsid w:val="009E4E2E"/>
    <w:rsid w:val="009E52CA"/>
    <w:rsid w:val="009F72E5"/>
    <w:rsid w:val="00A0082E"/>
    <w:rsid w:val="00A03FFA"/>
    <w:rsid w:val="00A04942"/>
    <w:rsid w:val="00A04B52"/>
    <w:rsid w:val="00A1469B"/>
    <w:rsid w:val="00A14EF5"/>
    <w:rsid w:val="00A150DE"/>
    <w:rsid w:val="00A26D0F"/>
    <w:rsid w:val="00A42D9B"/>
    <w:rsid w:val="00A50A8B"/>
    <w:rsid w:val="00A55D1D"/>
    <w:rsid w:val="00A63D7C"/>
    <w:rsid w:val="00A7514C"/>
    <w:rsid w:val="00A8122C"/>
    <w:rsid w:val="00A83312"/>
    <w:rsid w:val="00A8628A"/>
    <w:rsid w:val="00AA1E01"/>
    <w:rsid w:val="00AE016E"/>
    <w:rsid w:val="00AE41C4"/>
    <w:rsid w:val="00B1109C"/>
    <w:rsid w:val="00B41C0A"/>
    <w:rsid w:val="00B55F8B"/>
    <w:rsid w:val="00B629A0"/>
    <w:rsid w:val="00B8003A"/>
    <w:rsid w:val="00B87CCD"/>
    <w:rsid w:val="00BA186A"/>
    <w:rsid w:val="00BE28DD"/>
    <w:rsid w:val="00C05C55"/>
    <w:rsid w:val="00C076C6"/>
    <w:rsid w:val="00C1247F"/>
    <w:rsid w:val="00C137DA"/>
    <w:rsid w:val="00C1775F"/>
    <w:rsid w:val="00C20F69"/>
    <w:rsid w:val="00C3113F"/>
    <w:rsid w:val="00C35598"/>
    <w:rsid w:val="00C4536F"/>
    <w:rsid w:val="00C46ADA"/>
    <w:rsid w:val="00C50A75"/>
    <w:rsid w:val="00C8438D"/>
    <w:rsid w:val="00C85025"/>
    <w:rsid w:val="00C918BD"/>
    <w:rsid w:val="00C94E59"/>
    <w:rsid w:val="00C95D0A"/>
    <w:rsid w:val="00CA680A"/>
    <w:rsid w:val="00CB4136"/>
    <w:rsid w:val="00CD55C0"/>
    <w:rsid w:val="00CE0951"/>
    <w:rsid w:val="00CF423C"/>
    <w:rsid w:val="00CF68A2"/>
    <w:rsid w:val="00CF6FAD"/>
    <w:rsid w:val="00D2676A"/>
    <w:rsid w:val="00D3779E"/>
    <w:rsid w:val="00D40629"/>
    <w:rsid w:val="00D679E5"/>
    <w:rsid w:val="00D67DB2"/>
    <w:rsid w:val="00D74391"/>
    <w:rsid w:val="00D83360"/>
    <w:rsid w:val="00D932D9"/>
    <w:rsid w:val="00DA0450"/>
    <w:rsid w:val="00DB7B85"/>
    <w:rsid w:val="00DD31B4"/>
    <w:rsid w:val="00DF7645"/>
    <w:rsid w:val="00E03323"/>
    <w:rsid w:val="00E047AD"/>
    <w:rsid w:val="00E12287"/>
    <w:rsid w:val="00E127A1"/>
    <w:rsid w:val="00E15579"/>
    <w:rsid w:val="00E20E6D"/>
    <w:rsid w:val="00E252B3"/>
    <w:rsid w:val="00E355C2"/>
    <w:rsid w:val="00E40E4E"/>
    <w:rsid w:val="00E51DFC"/>
    <w:rsid w:val="00E53B95"/>
    <w:rsid w:val="00E65DF3"/>
    <w:rsid w:val="00E67A05"/>
    <w:rsid w:val="00E74AB7"/>
    <w:rsid w:val="00E81FE1"/>
    <w:rsid w:val="00E81FEE"/>
    <w:rsid w:val="00E87F28"/>
    <w:rsid w:val="00E90203"/>
    <w:rsid w:val="00EA0405"/>
    <w:rsid w:val="00EA494F"/>
    <w:rsid w:val="00ED1A05"/>
    <w:rsid w:val="00ED35D7"/>
    <w:rsid w:val="00ED61AB"/>
    <w:rsid w:val="00EF4C32"/>
    <w:rsid w:val="00EF69CD"/>
    <w:rsid w:val="00F02126"/>
    <w:rsid w:val="00F050BB"/>
    <w:rsid w:val="00F0752E"/>
    <w:rsid w:val="00F07AB3"/>
    <w:rsid w:val="00F262AB"/>
    <w:rsid w:val="00F36BD3"/>
    <w:rsid w:val="00F41123"/>
    <w:rsid w:val="00F41B95"/>
    <w:rsid w:val="00F41E59"/>
    <w:rsid w:val="00F53E98"/>
    <w:rsid w:val="00F7284D"/>
    <w:rsid w:val="00F94A2B"/>
    <w:rsid w:val="00FA00C6"/>
    <w:rsid w:val="00FC5F9E"/>
    <w:rsid w:val="00FE10AD"/>
    <w:rsid w:val="00FE52B9"/>
    <w:rsid w:val="00FE7A5F"/>
    <w:rsid w:val="00FF1D5B"/>
    <w:rsid w:val="00FF5018"/>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628CF"/>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tabs>
        <w:tab w:val="clear" w:pos="720"/>
        <w:tab w:val="num" w:pos="360"/>
      </w:tabs>
      <w:ind w:left="0" w:firstLine="0"/>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styleId="FollowedHyperlink">
    <w:name w:val="FollowedHyperlink"/>
    <w:basedOn w:val="DefaultParagraphFont"/>
    <w:rsid w:val="005345BE"/>
    <w:rPr>
      <w:color w:val="954F72" w:themeColor="followedHyperlink"/>
      <w:u w:val="single"/>
    </w:rPr>
  </w:style>
  <w:style w:type="paragraph" w:styleId="ListParagraph">
    <w:name w:val="List Paragraph"/>
    <w:basedOn w:val="Normal"/>
    <w:uiPriority w:val="34"/>
    <w:qFormat/>
    <w:rsid w:val="00F41B95"/>
    <w:pPr>
      <w:ind w:left="720"/>
      <w:contextualSpacing/>
    </w:pPr>
  </w:style>
  <w:style w:type="character" w:styleId="UnresolvedMention">
    <w:name w:val="Unresolved Mention"/>
    <w:basedOn w:val="DefaultParagraphFont"/>
    <w:uiPriority w:val="99"/>
    <w:semiHidden/>
    <w:unhideWhenUsed/>
    <w:rsid w:val="00F41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25808">
      <w:bodyDiv w:val="1"/>
      <w:marLeft w:val="0"/>
      <w:marRight w:val="0"/>
      <w:marTop w:val="0"/>
      <w:marBottom w:val="0"/>
      <w:divBdr>
        <w:top w:val="none" w:sz="0" w:space="0" w:color="auto"/>
        <w:left w:val="none" w:sz="0" w:space="0" w:color="auto"/>
        <w:bottom w:val="none" w:sz="0" w:space="0" w:color="auto"/>
        <w:right w:val="none" w:sz="0" w:space="0" w:color="auto"/>
      </w:divBdr>
    </w:div>
    <w:div w:id="9249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myncbi/dana.garcia.1/bibliography/public/" TargetMode="External"/><Relationship Id="rId5" Type="http://schemas.openxmlformats.org/officeDocument/2006/relationships/styles" Target="styles.xml"/><Relationship Id="rId10" Type="http://schemas.openxmlformats.org/officeDocument/2006/relationships/hyperlink" Target="https://doi.org/10.9741/2578-2118.104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12682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Garcia, Dana M</cp:lastModifiedBy>
  <cp:revision>5</cp:revision>
  <cp:lastPrinted>2011-03-11T19:43:00Z</cp:lastPrinted>
  <dcterms:created xsi:type="dcterms:W3CDTF">2023-08-28T13:14:00Z</dcterms:created>
  <dcterms:modified xsi:type="dcterms:W3CDTF">2023-08-28T13:43:00Z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