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E3DBA" w14:textId="77777777" w:rsidR="00A94376" w:rsidRDefault="00A94376" w:rsidP="00876779">
      <w:pPr>
        <w:rPr>
          <w:rFonts w:ascii="Arial" w:hAnsi="Arial" w:cs="Arial"/>
          <w:b/>
          <w:bCs/>
        </w:rPr>
      </w:pPr>
    </w:p>
    <w:p w14:paraId="2B9302A1" w14:textId="77777777" w:rsidR="00A94376" w:rsidRDefault="00A94376" w:rsidP="00A94376">
      <w:pPr>
        <w:rPr>
          <w:rFonts w:ascii="Arial" w:hAnsi="Arial" w:cs="Arial"/>
          <w:b/>
          <w:bCs/>
        </w:rPr>
      </w:pPr>
    </w:p>
    <w:p w14:paraId="41D8B035" w14:textId="77777777" w:rsidR="00A94376" w:rsidRDefault="00A94376" w:rsidP="00A94376">
      <w:pPr>
        <w:rPr>
          <w:rFonts w:ascii="Arial" w:hAnsi="Arial" w:cs="Arial"/>
          <w:b/>
          <w:bCs/>
        </w:rPr>
      </w:pPr>
    </w:p>
    <w:p w14:paraId="30ECB34D" w14:textId="018FC81B" w:rsidR="00876779" w:rsidRDefault="00B361CD" w:rsidP="00A9437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Start-Up Funds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4226A6">
        <w:rPr>
          <w:rFonts w:ascii="Arial" w:hAnsi="Arial" w:cs="Arial"/>
          <w:b/>
          <w:bCs/>
        </w:rPr>
        <w:tab/>
      </w:r>
      <w:r w:rsidR="00323F5A">
        <w:rPr>
          <w:rFonts w:ascii="Arial" w:hAnsi="Arial" w:cs="Arial"/>
          <w:b/>
          <w:bCs/>
        </w:rPr>
        <w:tab/>
      </w:r>
      <w:r w:rsidR="00323F5A">
        <w:rPr>
          <w:rFonts w:ascii="Arial" w:hAnsi="Arial" w:cs="Arial"/>
          <w:b/>
          <w:bCs/>
        </w:rPr>
        <w:tab/>
      </w:r>
      <w:r w:rsidR="00E26425">
        <w:rPr>
          <w:rFonts w:ascii="Arial" w:hAnsi="Arial" w:cs="Arial"/>
          <w:b/>
          <w:bCs/>
        </w:rPr>
        <w:t>R</w:t>
      </w:r>
      <w:r w:rsidR="004226A6">
        <w:rPr>
          <w:rFonts w:ascii="Arial" w:hAnsi="Arial" w:cs="Arial"/>
          <w:b/>
          <w:bCs/>
        </w:rPr>
        <w:t xml:space="preserve">/PPS No. </w:t>
      </w:r>
      <w:r w:rsidR="00600F3C">
        <w:rPr>
          <w:rFonts w:ascii="Arial" w:hAnsi="Arial" w:cs="Arial"/>
          <w:b/>
          <w:bCs/>
        </w:rPr>
        <w:t>03.12</w:t>
      </w:r>
    </w:p>
    <w:p w14:paraId="03A766D8" w14:textId="2440AD4E" w:rsidR="00876779" w:rsidRDefault="00B361CD" w:rsidP="00A9437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876779">
        <w:rPr>
          <w:rFonts w:ascii="Arial" w:hAnsi="Arial" w:cs="Arial"/>
          <w:b/>
          <w:bCs/>
        </w:rPr>
        <w:tab/>
      </w:r>
      <w:r w:rsidR="00876779">
        <w:rPr>
          <w:rFonts w:ascii="Arial" w:hAnsi="Arial" w:cs="Arial"/>
          <w:b/>
          <w:bCs/>
        </w:rPr>
        <w:tab/>
      </w:r>
      <w:r w:rsidR="00876779">
        <w:rPr>
          <w:rFonts w:ascii="Arial" w:hAnsi="Arial" w:cs="Arial"/>
          <w:b/>
          <w:bCs/>
        </w:rPr>
        <w:tab/>
        <w:t xml:space="preserve">Issue No. </w:t>
      </w:r>
      <w:r w:rsidR="00D12BAB">
        <w:rPr>
          <w:rFonts w:ascii="Arial" w:hAnsi="Arial" w:cs="Arial"/>
          <w:b/>
          <w:bCs/>
        </w:rPr>
        <w:t>3</w:t>
      </w:r>
    </w:p>
    <w:p w14:paraId="48212617" w14:textId="411CAF90" w:rsidR="0060311A" w:rsidRDefault="00876779" w:rsidP="00A94376">
      <w:pPr>
        <w:tabs>
          <w:tab w:val="center" w:pos="46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Effective Date:</w:t>
      </w:r>
      <w:r w:rsidR="00D12BAB">
        <w:rPr>
          <w:rFonts w:ascii="Arial" w:hAnsi="Arial" w:cs="Arial"/>
          <w:b/>
          <w:bCs/>
        </w:rPr>
        <w:t xml:space="preserve"> 02/27/2023</w:t>
      </w:r>
    </w:p>
    <w:p w14:paraId="3ABF0DFB" w14:textId="7778E309" w:rsidR="00A94376" w:rsidRDefault="0060311A" w:rsidP="0060311A">
      <w:pPr>
        <w:tabs>
          <w:tab w:val="center" w:pos="4680"/>
        </w:tabs>
        <w:ind w:left="50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Next Review Date: </w:t>
      </w:r>
      <w:r w:rsidR="00562597">
        <w:rPr>
          <w:rFonts w:ascii="Arial" w:hAnsi="Arial" w:cs="Arial"/>
          <w:b/>
          <w:bCs/>
        </w:rPr>
        <w:t>12/01/202</w:t>
      </w:r>
      <w:r w:rsidR="00D12BAB">
        <w:rPr>
          <w:rFonts w:ascii="Arial" w:hAnsi="Arial" w:cs="Arial"/>
          <w:b/>
          <w:bCs/>
        </w:rPr>
        <w:t>8</w:t>
      </w:r>
      <w:r w:rsidR="0056259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(E</w:t>
      </w:r>
      <w:r w:rsidR="005826C9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Y)</w:t>
      </w:r>
      <w:r w:rsidR="00876779">
        <w:rPr>
          <w:rFonts w:ascii="Arial" w:hAnsi="Arial" w:cs="Arial"/>
          <w:b/>
          <w:bCs/>
        </w:rPr>
        <w:br/>
      </w:r>
      <w:r w:rsidR="00A94376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r</w:t>
      </w:r>
      <w:r w:rsidR="00D12BAB">
        <w:rPr>
          <w:rFonts w:ascii="Arial" w:hAnsi="Arial" w:cs="Arial"/>
          <w:b/>
          <w:bCs/>
        </w:rPr>
        <w:t>.</w:t>
      </w:r>
      <w:r w:rsidR="00A94376">
        <w:rPr>
          <w:rFonts w:ascii="Arial" w:hAnsi="Arial" w:cs="Arial"/>
          <w:b/>
          <w:bCs/>
        </w:rPr>
        <w:t xml:space="preserve"> Reviewer:</w:t>
      </w:r>
      <w:r>
        <w:rPr>
          <w:rFonts w:ascii="Arial" w:hAnsi="Arial" w:cs="Arial"/>
          <w:b/>
          <w:bCs/>
        </w:rPr>
        <w:t xml:space="preserve"> </w:t>
      </w:r>
      <w:r w:rsidR="00E26425">
        <w:rPr>
          <w:rFonts w:ascii="Arial" w:hAnsi="Arial" w:cs="Arial"/>
          <w:b/>
          <w:bCs/>
        </w:rPr>
        <w:t xml:space="preserve">Vice President for Research </w:t>
      </w:r>
      <w:r w:rsidR="00D12BAB">
        <w:rPr>
          <w:rFonts w:ascii="Arial" w:hAnsi="Arial" w:cs="Arial"/>
          <w:b/>
          <w:bCs/>
        </w:rPr>
        <w:t xml:space="preserve"> </w:t>
      </w:r>
    </w:p>
    <w:p w14:paraId="61743309" w14:textId="689F74FB" w:rsidR="00646390" w:rsidRDefault="00646390" w:rsidP="00943417">
      <w:pPr>
        <w:tabs>
          <w:tab w:val="center" w:pos="4680"/>
        </w:tabs>
        <w:rPr>
          <w:rFonts w:ascii="Arial" w:hAnsi="Arial" w:cs="Arial"/>
          <w:b/>
          <w:bCs/>
        </w:rPr>
      </w:pPr>
    </w:p>
    <w:p w14:paraId="4857A2D1" w14:textId="77777777" w:rsidR="00D12BAB" w:rsidRDefault="00D12BAB" w:rsidP="0060311A">
      <w:pPr>
        <w:tabs>
          <w:tab w:val="center" w:pos="4680"/>
        </w:tabs>
        <w:ind w:left="5040"/>
        <w:rPr>
          <w:rFonts w:ascii="Arial" w:hAnsi="Arial" w:cs="Arial"/>
          <w:b/>
          <w:bCs/>
        </w:rPr>
      </w:pPr>
    </w:p>
    <w:p w14:paraId="26D5F46A" w14:textId="729C135B" w:rsidR="00646390" w:rsidRPr="00827038" w:rsidRDefault="00D12BAB" w:rsidP="00A94376">
      <w:r>
        <w:rPr>
          <w:rStyle w:val="Strong"/>
          <w:rFonts w:ascii="Arial" w:hAnsi="Arial" w:cs="Arial"/>
        </w:rPr>
        <w:t>POLICY STATEMENT</w:t>
      </w:r>
    </w:p>
    <w:p w14:paraId="5AAF9BF4" w14:textId="5542641A" w:rsidR="0053529A" w:rsidRDefault="0053529A" w:rsidP="00A94376">
      <w:pPr>
        <w:ind w:left="720" w:hanging="720"/>
        <w:rPr>
          <w:rStyle w:val="style81"/>
        </w:rPr>
      </w:pPr>
    </w:p>
    <w:p w14:paraId="6F072EC8" w14:textId="7CEFB47F" w:rsidR="00D12BAB" w:rsidRPr="00E05759" w:rsidRDefault="00D12BAB" w:rsidP="00E05759">
      <w:pPr>
        <w:rPr>
          <w:rStyle w:val="style81"/>
          <w:i/>
          <w:iCs/>
        </w:rPr>
      </w:pPr>
      <w:r w:rsidRPr="00E05759">
        <w:rPr>
          <w:rStyle w:val="style81"/>
          <w:i/>
          <w:iCs/>
        </w:rPr>
        <w:t>Texas State University is committed to</w:t>
      </w:r>
      <w:r w:rsidR="00E05759" w:rsidRPr="00E05759">
        <w:rPr>
          <w:rStyle w:val="style81"/>
          <w:i/>
          <w:iCs/>
        </w:rPr>
        <w:t xml:space="preserve"> providing start-up funds to pay for expenses incurred in support of new faculty member</w:t>
      </w:r>
      <w:r w:rsidR="00B251A2">
        <w:rPr>
          <w:rStyle w:val="style81"/>
          <w:i/>
          <w:iCs/>
        </w:rPr>
        <w:t>’</w:t>
      </w:r>
      <w:r w:rsidR="00E05759" w:rsidRPr="00E05759">
        <w:rPr>
          <w:rStyle w:val="style81"/>
          <w:i/>
          <w:iCs/>
        </w:rPr>
        <w:t xml:space="preserve">s scholarly efforts and outcomes that support the mission of the university. </w:t>
      </w:r>
    </w:p>
    <w:p w14:paraId="0094D1DE" w14:textId="77777777" w:rsidR="00D12BAB" w:rsidRDefault="00D12BAB" w:rsidP="00B251A2">
      <w:pPr>
        <w:tabs>
          <w:tab w:val="left" w:pos="1440"/>
        </w:tabs>
        <w:ind w:left="720" w:hanging="720"/>
        <w:rPr>
          <w:rStyle w:val="style81"/>
        </w:rPr>
      </w:pPr>
    </w:p>
    <w:p w14:paraId="1DFEBD87" w14:textId="0D78257A" w:rsidR="00827038" w:rsidRDefault="00A119F0" w:rsidP="00B83AF9">
      <w:pPr>
        <w:ind w:left="-90" w:firstLine="90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 xml:space="preserve">01. </w:t>
      </w:r>
      <w:r>
        <w:rPr>
          <w:rStyle w:val="Strong"/>
          <w:rFonts w:ascii="Arial" w:hAnsi="Arial" w:cs="Arial"/>
        </w:rPr>
        <w:tab/>
      </w:r>
      <w:r w:rsidR="00D12BAB">
        <w:rPr>
          <w:rStyle w:val="Strong"/>
          <w:rFonts w:ascii="Arial" w:hAnsi="Arial" w:cs="Arial"/>
        </w:rPr>
        <w:t>BACKGROUND INFORMATION</w:t>
      </w:r>
    </w:p>
    <w:p w14:paraId="50B9AE5F" w14:textId="77777777" w:rsidR="00A94376" w:rsidRPr="00827038" w:rsidRDefault="00A94376" w:rsidP="00A94376">
      <w:pPr>
        <w:ind w:left="720" w:hanging="720"/>
      </w:pPr>
    </w:p>
    <w:p w14:paraId="7E63538A" w14:textId="6978C5BB" w:rsidR="00827038" w:rsidRPr="000E7E26" w:rsidRDefault="00A94376" w:rsidP="00B83AF9">
      <w:pPr>
        <w:tabs>
          <w:tab w:val="left" w:pos="720"/>
          <w:tab w:val="left" w:pos="1440"/>
          <w:tab w:val="left" w:pos="1530"/>
        </w:tabs>
        <w:ind w:left="1440" w:hanging="720"/>
        <w:rPr>
          <w:rFonts w:ascii="Arial" w:hAnsi="Arial" w:cs="Arial"/>
        </w:rPr>
      </w:pPr>
      <w:r w:rsidRPr="000E7E26">
        <w:rPr>
          <w:rFonts w:ascii="Arial" w:hAnsi="Arial" w:cs="Arial"/>
        </w:rPr>
        <w:t>01.01</w:t>
      </w:r>
      <w:r w:rsidRPr="000E7E26">
        <w:rPr>
          <w:rFonts w:ascii="Arial" w:hAnsi="Arial" w:cs="Arial"/>
        </w:rPr>
        <w:tab/>
      </w:r>
      <w:r w:rsidR="00850887">
        <w:rPr>
          <w:rFonts w:ascii="Arial" w:hAnsi="Arial" w:cs="Arial"/>
        </w:rPr>
        <w:t>S</w:t>
      </w:r>
      <w:r w:rsidR="00827038" w:rsidRPr="00CB7A6F">
        <w:rPr>
          <w:rFonts w:ascii="Arial" w:hAnsi="Arial" w:cs="Arial"/>
        </w:rPr>
        <w:t>tart-up funds are funds committed to faculty member</w:t>
      </w:r>
      <w:r w:rsidR="000E7E26" w:rsidRPr="00CB7A6F">
        <w:rPr>
          <w:rFonts w:ascii="Arial" w:hAnsi="Arial" w:cs="Arial"/>
        </w:rPr>
        <w:t>s</w:t>
      </w:r>
      <w:r w:rsidR="00827038" w:rsidRPr="00CB7A6F">
        <w:rPr>
          <w:rFonts w:ascii="Arial" w:hAnsi="Arial" w:cs="Arial"/>
        </w:rPr>
        <w:t xml:space="preserve"> at the point of hiring</w:t>
      </w:r>
      <w:r w:rsidR="000E7E26" w:rsidRPr="00CB7A6F">
        <w:rPr>
          <w:rFonts w:ascii="Arial" w:hAnsi="Arial" w:cs="Arial"/>
        </w:rPr>
        <w:t xml:space="preserve"> </w:t>
      </w:r>
      <w:r w:rsidR="000E7E26" w:rsidRPr="00021B02">
        <w:rPr>
          <w:rFonts w:ascii="Arial" w:hAnsi="Arial" w:cs="Arial"/>
        </w:rPr>
        <w:t>in order to build, develop</w:t>
      </w:r>
      <w:r w:rsidR="00885633">
        <w:rPr>
          <w:rFonts w:ascii="Arial" w:hAnsi="Arial" w:cs="Arial"/>
        </w:rPr>
        <w:t>,</w:t>
      </w:r>
      <w:r w:rsidR="000E7E26" w:rsidRPr="00021B02">
        <w:rPr>
          <w:rFonts w:ascii="Arial" w:hAnsi="Arial" w:cs="Arial"/>
        </w:rPr>
        <w:t xml:space="preserve"> and enhance </w:t>
      </w:r>
      <w:r w:rsidR="00CF20B7">
        <w:rPr>
          <w:rFonts w:ascii="Arial" w:hAnsi="Arial" w:cs="Arial"/>
        </w:rPr>
        <w:t>scholarly efforts and outcomes</w:t>
      </w:r>
      <w:r w:rsidR="000E7E26" w:rsidRPr="00021B02">
        <w:rPr>
          <w:rFonts w:ascii="Arial" w:hAnsi="Arial" w:cs="Arial"/>
        </w:rPr>
        <w:t xml:space="preserve"> that are important to the ongoing mission of Texas State University. </w:t>
      </w:r>
      <w:r w:rsidR="00030BE4" w:rsidRPr="00CB7A6F">
        <w:rPr>
          <w:rFonts w:ascii="Arial" w:hAnsi="Arial" w:cs="Arial"/>
        </w:rPr>
        <w:t>These</w:t>
      </w:r>
      <w:r w:rsidR="00030BE4" w:rsidRPr="00021B02">
        <w:rPr>
          <w:rFonts w:ascii="Arial" w:hAnsi="Arial" w:cs="Arial"/>
        </w:rPr>
        <w:t xml:space="preserve"> funds</w:t>
      </w:r>
      <w:r w:rsidR="00030BE4" w:rsidRPr="000E7E26">
        <w:rPr>
          <w:rFonts w:ascii="Arial" w:hAnsi="Arial" w:cs="Arial"/>
        </w:rPr>
        <w:t xml:space="preserve"> represent a clear investment</w:t>
      </w:r>
      <w:r w:rsidR="00030BE4" w:rsidRPr="00021B02">
        <w:rPr>
          <w:rFonts w:ascii="Arial" w:hAnsi="Arial" w:cs="Arial"/>
        </w:rPr>
        <w:t xml:space="preserve"> in the professional careers of faculty</w:t>
      </w:r>
      <w:r w:rsidR="00CF20B7">
        <w:rPr>
          <w:rFonts w:ascii="Arial" w:hAnsi="Arial" w:cs="Arial"/>
        </w:rPr>
        <w:t xml:space="preserve"> and </w:t>
      </w:r>
      <w:r w:rsidR="00827038" w:rsidRPr="000E7E26">
        <w:rPr>
          <w:rFonts w:ascii="Arial" w:hAnsi="Arial" w:cs="Arial"/>
        </w:rPr>
        <w:t xml:space="preserve">are provided </w:t>
      </w:r>
      <w:r w:rsidR="00CF20B7">
        <w:rPr>
          <w:rFonts w:ascii="Arial" w:hAnsi="Arial" w:cs="Arial"/>
        </w:rPr>
        <w:t xml:space="preserve">to </w:t>
      </w:r>
      <w:r w:rsidR="008F1D1F">
        <w:rPr>
          <w:rFonts w:ascii="Arial" w:hAnsi="Arial" w:cs="Arial"/>
        </w:rPr>
        <w:t xml:space="preserve">ensure </w:t>
      </w:r>
      <w:r w:rsidR="00CF20B7">
        <w:rPr>
          <w:rFonts w:ascii="Arial" w:hAnsi="Arial" w:cs="Arial"/>
        </w:rPr>
        <w:t>that new faculty members</w:t>
      </w:r>
      <w:r w:rsidR="00827038" w:rsidRPr="000E7E26">
        <w:rPr>
          <w:rFonts w:ascii="Arial" w:hAnsi="Arial" w:cs="Arial"/>
        </w:rPr>
        <w:t xml:space="preserve"> obtain necessary equipm</w:t>
      </w:r>
      <w:r w:rsidR="00850887">
        <w:rPr>
          <w:rFonts w:ascii="Arial" w:hAnsi="Arial" w:cs="Arial"/>
        </w:rPr>
        <w:t xml:space="preserve">ent, </w:t>
      </w:r>
      <w:r w:rsidR="00562597">
        <w:rPr>
          <w:rFonts w:ascii="Arial" w:hAnsi="Arial" w:cs="Arial"/>
        </w:rPr>
        <w:t xml:space="preserve">instrumentation, supplies, </w:t>
      </w:r>
      <w:r w:rsidR="00850887">
        <w:rPr>
          <w:rFonts w:ascii="Arial" w:hAnsi="Arial" w:cs="Arial"/>
        </w:rPr>
        <w:t>or</w:t>
      </w:r>
      <w:r w:rsidR="00827038" w:rsidRPr="000E7E26">
        <w:rPr>
          <w:rFonts w:ascii="Arial" w:hAnsi="Arial" w:cs="Arial"/>
        </w:rPr>
        <w:t xml:space="preserve"> other </w:t>
      </w:r>
      <w:r w:rsidR="00F23B0B" w:rsidRPr="00CB7A6F">
        <w:rPr>
          <w:rFonts w:ascii="Arial" w:hAnsi="Arial" w:cs="Arial"/>
        </w:rPr>
        <w:t xml:space="preserve">resources </w:t>
      </w:r>
      <w:r w:rsidR="00827038" w:rsidRPr="00CB7A6F">
        <w:rPr>
          <w:rFonts w:ascii="Arial" w:hAnsi="Arial" w:cs="Arial"/>
        </w:rPr>
        <w:t>required to initiate a competitive research</w:t>
      </w:r>
      <w:r w:rsidR="00562597">
        <w:rPr>
          <w:rFonts w:ascii="Arial" w:hAnsi="Arial" w:cs="Arial"/>
        </w:rPr>
        <w:t xml:space="preserve">, </w:t>
      </w:r>
      <w:r w:rsidR="00827038" w:rsidRPr="00CB7A6F">
        <w:rPr>
          <w:rFonts w:ascii="Arial" w:hAnsi="Arial" w:cs="Arial"/>
        </w:rPr>
        <w:t>scholarly</w:t>
      </w:r>
      <w:r w:rsidR="00562597">
        <w:rPr>
          <w:rFonts w:ascii="Arial" w:hAnsi="Arial" w:cs="Arial"/>
        </w:rPr>
        <w:t xml:space="preserve">, or </w:t>
      </w:r>
      <w:r w:rsidR="00691F94">
        <w:rPr>
          <w:rFonts w:ascii="Arial" w:hAnsi="Arial" w:cs="Arial"/>
        </w:rPr>
        <w:t>creative</w:t>
      </w:r>
      <w:r w:rsidR="00827038" w:rsidRPr="00CB7A6F">
        <w:rPr>
          <w:rFonts w:ascii="Arial" w:hAnsi="Arial" w:cs="Arial"/>
        </w:rPr>
        <w:t xml:space="preserve"> </w:t>
      </w:r>
      <w:r w:rsidR="00E13705" w:rsidRPr="00CB7A6F">
        <w:rPr>
          <w:rFonts w:ascii="Arial" w:hAnsi="Arial" w:cs="Arial"/>
        </w:rPr>
        <w:t xml:space="preserve">agenda </w:t>
      </w:r>
      <w:r w:rsidR="0052640B">
        <w:rPr>
          <w:rFonts w:ascii="Arial" w:hAnsi="Arial" w:cs="Arial"/>
        </w:rPr>
        <w:t>that will generate externally-</w:t>
      </w:r>
      <w:r w:rsidR="00562597">
        <w:rPr>
          <w:rFonts w:ascii="Arial" w:hAnsi="Arial" w:cs="Arial"/>
        </w:rPr>
        <w:t xml:space="preserve">funded grants </w:t>
      </w:r>
      <w:r w:rsidR="00827038" w:rsidRPr="00CB7A6F">
        <w:rPr>
          <w:rFonts w:ascii="Arial" w:hAnsi="Arial" w:cs="Arial"/>
        </w:rPr>
        <w:t>or contracts.</w:t>
      </w:r>
    </w:p>
    <w:p w14:paraId="107434AE" w14:textId="504A9F94" w:rsidR="00E13705" w:rsidRDefault="00E13705" w:rsidP="00E13705">
      <w:pPr>
        <w:rPr>
          <w:rFonts w:ascii="Helvetica" w:hAnsi="Helvetica"/>
          <w:sz w:val="28"/>
          <w:szCs w:val="28"/>
        </w:rPr>
      </w:pPr>
    </w:p>
    <w:p w14:paraId="1ADF361F" w14:textId="7DCC7629" w:rsidR="00E13705" w:rsidRPr="00021B02" w:rsidRDefault="00E13705" w:rsidP="00E05759">
      <w:pPr>
        <w:tabs>
          <w:tab w:val="left" w:pos="720"/>
        </w:tabs>
        <w:rPr>
          <w:rFonts w:ascii="Arial" w:hAnsi="Arial" w:cs="Arial"/>
          <w:b/>
        </w:rPr>
      </w:pPr>
      <w:r w:rsidRPr="00021B02">
        <w:rPr>
          <w:rFonts w:ascii="Arial" w:hAnsi="Arial" w:cs="Arial"/>
          <w:b/>
        </w:rPr>
        <w:t xml:space="preserve">02. </w:t>
      </w:r>
      <w:r w:rsidR="00E05759">
        <w:rPr>
          <w:rFonts w:ascii="Arial" w:hAnsi="Arial" w:cs="Arial"/>
          <w:b/>
        </w:rPr>
        <w:tab/>
      </w:r>
      <w:r w:rsidRPr="00021B02">
        <w:rPr>
          <w:rFonts w:ascii="Arial" w:hAnsi="Arial" w:cs="Arial"/>
          <w:b/>
        </w:rPr>
        <w:t>ELIGIBILITY</w:t>
      </w:r>
      <w:r w:rsidR="00EA026A">
        <w:rPr>
          <w:rFonts w:ascii="Arial" w:hAnsi="Arial" w:cs="Arial"/>
          <w:b/>
        </w:rPr>
        <w:t xml:space="preserve"> AND SOURCE OF FUNDS</w:t>
      </w:r>
    </w:p>
    <w:p w14:paraId="3490E0B5" w14:textId="77777777" w:rsidR="00E13705" w:rsidRPr="00021B02" w:rsidRDefault="00E13705" w:rsidP="00E13705">
      <w:pPr>
        <w:rPr>
          <w:rFonts w:ascii="Arial" w:hAnsi="Arial" w:cs="Arial"/>
        </w:rPr>
      </w:pPr>
    </w:p>
    <w:p w14:paraId="2B7F0710" w14:textId="27AFCD93" w:rsidR="00A81946" w:rsidRPr="00021B02" w:rsidRDefault="00EA026A" w:rsidP="00B83AF9">
      <w:pPr>
        <w:ind w:left="1440" w:hanging="720"/>
        <w:rPr>
          <w:rFonts w:ascii="Arial" w:hAnsi="Arial" w:cs="Arial"/>
        </w:rPr>
      </w:pPr>
      <w:r w:rsidRPr="002D6148">
        <w:rPr>
          <w:rFonts w:ascii="Arial" w:hAnsi="Arial" w:cs="Arial"/>
        </w:rPr>
        <w:t>02.01</w:t>
      </w:r>
      <w:r w:rsidRPr="002D6148">
        <w:rPr>
          <w:rFonts w:ascii="Arial" w:hAnsi="Arial" w:cs="Arial"/>
        </w:rPr>
        <w:tab/>
      </w:r>
      <w:r w:rsidR="00F50585" w:rsidRPr="002D6148">
        <w:rPr>
          <w:rFonts w:ascii="Arial" w:hAnsi="Arial" w:cs="Arial"/>
        </w:rPr>
        <w:t>N</w:t>
      </w:r>
      <w:r w:rsidR="00E13705" w:rsidRPr="00021B02">
        <w:rPr>
          <w:rFonts w:ascii="Arial" w:hAnsi="Arial" w:cs="Arial"/>
        </w:rPr>
        <w:t>ew tenure-</w:t>
      </w:r>
      <w:r w:rsidR="0061760E" w:rsidRPr="002D6148">
        <w:rPr>
          <w:rFonts w:ascii="Arial" w:hAnsi="Arial" w:cs="Arial"/>
        </w:rPr>
        <w:t xml:space="preserve">track faculty members </w:t>
      </w:r>
      <w:r w:rsidR="00E13705" w:rsidRPr="00021B02">
        <w:rPr>
          <w:rFonts w:ascii="Arial" w:hAnsi="Arial" w:cs="Arial"/>
        </w:rPr>
        <w:t xml:space="preserve">are eligible to receive start-up funding support. </w:t>
      </w:r>
      <w:r w:rsidR="008C4ADF">
        <w:rPr>
          <w:rFonts w:ascii="Arial" w:hAnsi="Arial" w:cs="Arial"/>
        </w:rPr>
        <w:t>Other f</w:t>
      </w:r>
      <w:r w:rsidR="00CF20B7">
        <w:rPr>
          <w:rFonts w:ascii="Arial" w:hAnsi="Arial" w:cs="Arial"/>
        </w:rPr>
        <w:t xml:space="preserve">aculty members may be eligible. </w:t>
      </w:r>
      <w:r w:rsidR="002D6148">
        <w:rPr>
          <w:rFonts w:ascii="Arial" w:hAnsi="Arial" w:cs="Arial"/>
        </w:rPr>
        <w:t>For a</w:t>
      </w:r>
      <w:r w:rsidR="00CF20B7">
        <w:rPr>
          <w:rFonts w:ascii="Arial" w:hAnsi="Arial" w:cs="Arial"/>
        </w:rPr>
        <w:t>ny</w:t>
      </w:r>
      <w:r w:rsidR="002D6148">
        <w:rPr>
          <w:rFonts w:ascii="Arial" w:hAnsi="Arial" w:cs="Arial"/>
        </w:rPr>
        <w:t xml:space="preserve"> faculty member </w:t>
      </w:r>
      <w:r w:rsidR="00A81946" w:rsidRPr="00021B02">
        <w:rPr>
          <w:rFonts w:ascii="Arial" w:hAnsi="Arial" w:cs="Arial"/>
        </w:rPr>
        <w:t xml:space="preserve">hired before completion of the terminal </w:t>
      </w:r>
      <w:r w:rsidR="002D6148" w:rsidRPr="002D6148">
        <w:rPr>
          <w:rFonts w:ascii="Arial" w:hAnsi="Arial" w:cs="Arial"/>
        </w:rPr>
        <w:t>degree</w:t>
      </w:r>
      <w:r w:rsidR="002D6148">
        <w:rPr>
          <w:rFonts w:ascii="Arial" w:hAnsi="Arial" w:cs="Arial"/>
        </w:rPr>
        <w:t xml:space="preserve">, start-up funds become available after </w:t>
      </w:r>
      <w:r w:rsidR="00A81946" w:rsidRPr="00021B02">
        <w:rPr>
          <w:rFonts w:ascii="Arial" w:hAnsi="Arial" w:cs="Arial"/>
        </w:rPr>
        <w:t>the degree is completed.</w:t>
      </w:r>
    </w:p>
    <w:p w14:paraId="54664185" w14:textId="4CCA7AEB" w:rsidR="00292695" w:rsidRDefault="00292695" w:rsidP="00915FF1">
      <w:pPr>
        <w:rPr>
          <w:rFonts w:ascii="Arial" w:hAnsi="Arial" w:cs="Arial"/>
          <w:sz w:val="28"/>
          <w:szCs w:val="28"/>
        </w:rPr>
      </w:pPr>
    </w:p>
    <w:p w14:paraId="4388DDF4" w14:textId="12EC64D9" w:rsidR="00827038" w:rsidRDefault="006F0FAF" w:rsidP="00B83AF9">
      <w:pPr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02</w:t>
      </w:r>
      <w:r w:rsidR="00600A61">
        <w:rPr>
          <w:rFonts w:ascii="Arial" w:hAnsi="Arial" w:cs="Arial"/>
        </w:rPr>
        <w:t>.02</w:t>
      </w:r>
      <w:r>
        <w:rPr>
          <w:rFonts w:ascii="Arial" w:hAnsi="Arial" w:cs="Arial"/>
        </w:rPr>
        <w:t xml:space="preserve"> </w:t>
      </w:r>
      <w:r w:rsidR="00B251A2">
        <w:rPr>
          <w:rFonts w:ascii="Arial" w:hAnsi="Arial" w:cs="Arial"/>
        </w:rPr>
        <w:tab/>
      </w:r>
      <w:r w:rsidR="00E13705" w:rsidRPr="00021B02">
        <w:rPr>
          <w:rFonts w:ascii="Arial" w:hAnsi="Arial" w:cs="Arial"/>
        </w:rPr>
        <w:t>Start-up funds may be contributed by any administrative or academic unit, including the Office of the Provost and Vice President for Academic Affairs</w:t>
      </w:r>
      <w:r w:rsidR="00562597">
        <w:rPr>
          <w:rFonts w:ascii="Arial" w:hAnsi="Arial" w:cs="Arial"/>
        </w:rPr>
        <w:t>,</w:t>
      </w:r>
      <w:r w:rsidR="00850887">
        <w:rPr>
          <w:rFonts w:ascii="Arial" w:hAnsi="Arial" w:cs="Arial"/>
        </w:rPr>
        <w:t xml:space="preserve"> </w:t>
      </w:r>
      <w:r w:rsidR="00E13705" w:rsidRPr="00021B02">
        <w:rPr>
          <w:rFonts w:ascii="Arial" w:hAnsi="Arial" w:cs="Arial"/>
        </w:rPr>
        <w:t>colleges, departments</w:t>
      </w:r>
      <w:r w:rsidR="00562597">
        <w:rPr>
          <w:rFonts w:ascii="Arial" w:hAnsi="Arial" w:cs="Arial"/>
        </w:rPr>
        <w:t xml:space="preserve">, </w:t>
      </w:r>
      <w:r w:rsidR="00EA026A">
        <w:rPr>
          <w:rFonts w:ascii="Arial" w:hAnsi="Arial" w:cs="Arial"/>
        </w:rPr>
        <w:t>schools</w:t>
      </w:r>
      <w:r w:rsidR="00E13705" w:rsidRPr="00021B02">
        <w:rPr>
          <w:rFonts w:ascii="Arial" w:hAnsi="Arial" w:cs="Arial"/>
        </w:rPr>
        <w:t>, and other offices</w:t>
      </w:r>
      <w:r w:rsidR="00ED451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This policy describes procedures for </w:t>
      </w:r>
      <w:r w:rsidR="00F82CAC">
        <w:rPr>
          <w:rFonts w:ascii="Arial" w:hAnsi="Arial" w:cs="Arial"/>
        </w:rPr>
        <w:t xml:space="preserve">start-up </w:t>
      </w:r>
      <w:r w:rsidR="00850887">
        <w:rPr>
          <w:rFonts w:ascii="Arial" w:hAnsi="Arial" w:cs="Arial"/>
        </w:rPr>
        <w:t>funding provided by the p</w:t>
      </w:r>
      <w:r>
        <w:rPr>
          <w:rFonts w:ascii="Arial" w:hAnsi="Arial" w:cs="Arial"/>
        </w:rPr>
        <w:t>rovost</w:t>
      </w:r>
      <w:r w:rsidR="0052640B">
        <w:rPr>
          <w:rFonts w:ascii="Arial" w:hAnsi="Arial" w:cs="Arial"/>
        </w:rPr>
        <w:t xml:space="preserve"> and vice president for Academic Affairs</w:t>
      </w:r>
      <w:r>
        <w:rPr>
          <w:rFonts w:ascii="Arial" w:hAnsi="Arial" w:cs="Arial"/>
        </w:rPr>
        <w:t xml:space="preserve">. </w:t>
      </w:r>
      <w:r w:rsidR="00ED4517">
        <w:rPr>
          <w:rFonts w:ascii="Arial" w:hAnsi="Arial" w:cs="Arial"/>
        </w:rPr>
        <w:t>In many</w:t>
      </w:r>
      <w:r w:rsidR="00B6261C">
        <w:rPr>
          <w:rFonts w:ascii="Arial" w:hAnsi="Arial" w:cs="Arial"/>
        </w:rPr>
        <w:t xml:space="preserve"> cases, provost </w:t>
      </w:r>
      <w:r w:rsidR="00ED4517">
        <w:rPr>
          <w:rFonts w:ascii="Arial" w:hAnsi="Arial" w:cs="Arial"/>
        </w:rPr>
        <w:t>funds are supplemented by commitments from the hiring academic unit</w:t>
      </w:r>
      <w:r w:rsidR="00281922">
        <w:rPr>
          <w:rFonts w:ascii="Arial" w:hAnsi="Arial" w:cs="Arial"/>
        </w:rPr>
        <w:t xml:space="preserve"> and others</w:t>
      </w:r>
      <w:r w:rsidR="00ED4517">
        <w:rPr>
          <w:rFonts w:ascii="Arial" w:hAnsi="Arial" w:cs="Arial"/>
        </w:rPr>
        <w:t xml:space="preserve">. </w:t>
      </w:r>
    </w:p>
    <w:p w14:paraId="1605F674" w14:textId="77777777" w:rsidR="00E05759" w:rsidRPr="00562597" w:rsidRDefault="00E05759" w:rsidP="00021B02">
      <w:pPr>
        <w:rPr>
          <w:rFonts w:ascii="Arial" w:hAnsi="Arial" w:cs="Arial"/>
        </w:rPr>
      </w:pPr>
    </w:p>
    <w:p w14:paraId="74B7A730" w14:textId="6C119E42" w:rsidR="00827038" w:rsidRDefault="00A119F0" w:rsidP="0011787E">
      <w:pPr>
        <w:tabs>
          <w:tab w:val="left" w:pos="810"/>
        </w:tabs>
        <w:ind w:left="720" w:hanging="720"/>
        <w:outlineLvl w:val="0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0</w:t>
      </w:r>
      <w:r w:rsidR="008400FC">
        <w:rPr>
          <w:rStyle w:val="Strong"/>
          <w:rFonts w:ascii="Arial" w:hAnsi="Arial" w:cs="Arial"/>
        </w:rPr>
        <w:t>3</w:t>
      </w:r>
      <w:r>
        <w:rPr>
          <w:rStyle w:val="Strong"/>
          <w:rFonts w:ascii="Arial" w:hAnsi="Arial" w:cs="Arial"/>
        </w:rPr>
        <w:t xml:space="preserve">. </w:t>
      </w:r>
      <w:r>
        <w:rPr>
          <w:rStyle w:val="Strong"/>
          <w:rFonts w:ascii="Arial" w:hAnsi="Arial" w:cs="Arial"/>
        </w:rPr>
        <w:tab/>
      </w:r>
      <w:r w:rsidR="00827038" w:rsidRPr="00827038">
        <w:rPr>
          <w:rStyle w:val="Strong"/>
          <w:rFonts w:ascii="Arial" w:hAnsi="Arial" w:cs="Arial"/>
        </w:rPr>
        <w:t>PROCEDURE</w:t>
      </w:r>
      <w:r w:rsidR="00562597">
        <w:rPr>
          <w:rStyle w:val="Strong"/>
          <w:rFonts w:ascii="Arial" w:hAnsi="Arial" w:cs="Arial"/>
        </w:rPr>
        <w:t>S FOR PROVIDING START-UP FUNDS</w:t>
      </w:r>
      <w:r w:rsidR="00827038" w:rsidRPr="00827038">
        <w:rPr>
          <w:rStyle w:val="Strong"/>
          <w:rFonts w:ascii="Arial" w:hAnsi="Arial" w:cs="Arial"/>
        </w:rPr>
        <w:t xml:space="preserve"> </w:t>
      </w:r>
    </w:p>
    <w:p w14:paraId="4495DC91" w14:textId="77777777" w:rsidR="00CB2071" w:rsidRPr="00827038" w:rsidRDefault="00CB2071" w:rsidP="00A94376">
      <w:pPr>
        <w:jc w:val="center"/>
      </w:pPr>
    </w:p>
    <w:p w14:paraId="7E3588F7" w14:textId="246BA7E7" w:rsidR="0048378E" w:rsidRDefault="00A119F0" w:rsidP="00C72FBA">
      <w:pPr>
        <w:tabs>
          <w:tab w:val="left" w:pos="720"/>
          <w:tab w:val="left" w:pos="1440"/>
        </w:tabs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8400FC">
        <w:rPr>
          <w:rFonts w:ascii="Arial" w:hAnsi="Arial" w:cs="Arial"/>
        </w:rPr>
        <w:t>3</w:t>
      </w:r>
      <w:r w:rsidR="00AA7511">
        <w:rPr>
          <w:rFonts w:ascii="Arial" w:hAnsi="Arial" w:cs="Arial"/>
        </w:rPr>
        <w:t>.</w:t>
      </w:r>
      <w:r w:rsidR="00A94376">
        <w:rPr>
          <w:rFonts w:ascii="Arial" w:hAnsi="Arial" w:cs="Arial"/>
        </w:rPr>
        <w:t>01</w:t>
      </w:r>
      <w:r w:rsidR="00A94376">
        <w:rPr>
          <w:rFonts w:ascii="Arial" w:hAnsi="Arial" w:cs="Arial"/>
        </w:rPr>
        <w:tab/>
      </w:r>
      <w:r w:rsidR="0046776E">
        <w:rPr>
          <w:rFonts w:ascii="Arial" w:hAnsi="Arial" w:cs="Arial"/>
        </w:rPr>
        <w:t>R</w:t>
      </w:r>
      <w:r w:rsidR="00D40726" w:rsidRPr="00503D9D">
        <w:rPr>
          <w:rFonts w:ascii="Arial" w:hAnsi="Arial" w:cs="Arial"/>
        </w:rPr>
        <w:t xml:space="preserve">equests for start-up funds </w:t>
      </w:r>
      <w:r w:rsidR="00862963">
        <w:rPr>
          <w:rFonts w:ascii="Arial" w:hAnsi="Arial" w:cs="Arial"/>
        </w:rPr>
        <w:t xml:space="preserve">are </w:t>
      </w:r>
      <w:r w:rsidR="0046776E">
        <w:rPr>
          <w:rFonts w:ascii="Arial" w:hAnsi="Arial" w:cs="Arial"/>
        </w:rPr>
        <w:t>structured</w:t>
      </w:r>
      <w:r w:rsidR="00862963">
        <w:rPr>
          <w:rFonts w:ascii="Arial" w:hAnsi="Arial" w:cs="Arial"/>
        </w:rPr>
        <w:t xml:space="preserve"> </w:t>
      </w:r>
      <w:r w:rsidR="00C30BBD">
        <w:rPr>
          <w:rFonts w:ascii="Arial" w:hAnsi="Arial" w:cs="Arial"/>
        </w:rPr>
        <w:t>for a two-year time</w:t>
      </w:r>
      <w:r w:rsidR="0052640B">
        <w:rPr>
          <w:rFonts w:ascii="Arial" w:hAnsi="Arial" w:cs="Arial"/>
        </w:rPr>
        <w:t xml:space="preserve"> </w:t>
      </w:r>
      <w:r w:rsidR="00C30BBD">
        <w:rPr>
          <w:rFonts w:ascii="Arial" w:hAnsi="Arial" w:cs="Arial"/>
        </w:rPr>
        <w:t xml:space="preserve">frame </w:t>
      </w:r>
      <w:r w:rsidR="00ED4517">
        <w:rPr>
          <w:rFonts w:ascii="Arial" w:hAnsi="Arial" w:cs="Arial"/>
        </w:rPr>
        <w:t>and</w:t>
      </w:r>
      <w:r w:rsidR="00D40726" w:rsidRPr="00503D9D">
        <w:rPr>
          <w:rFonts w:ascii="Arial" w:hAnsi="Arial" w:cs="Arial"/>
        </w:rPr>
        <w:t xml:space="preserve"> </w:t>
      </w:r>
      <w:r w:rsidR="00D40726" w:rsidRPr="0022487B">
        <w:rPr>
          <w:rFonts w:ascii="Arial" w:hAnsi="Arial" w:cs="Arial"/>
        </w:rPr>
        <w:t xml:space="preserve">include the faculty member’s research goals, </w:t>
      </w:r>
      <w:r w:rsidR="00D40726">
        <w:rPr>
          <w:rFonts w:ascii="Arial" w:hAnsi="Arial" w:cs="Arial"/>
        </w:rPr>
        <w:t>targeted</w:t>
      </w:r>
      <w:r w:rsidR="00D40726" w:rsidRPr="0022487B">
        <w:rPr>
          <w:rFonts w:ascii="Arial" w:hAnsi="Arial" w:cs="Arial"/>
        </w:rPr>
        <w:t xml:space="preserve"> funding sources </w:t>
      </w:r>
      <w:r w:rsidR="00D40726" w:rsidRPr="0022487B">
        <w:rPr>
          <w:rFonts w:ascii="Arial" w:hAnsi="Arial" w:cs="Arial"/>
        </w:rPr>
        <w:lastRenderedPageBreak/>
        <w:t xml:space="preserve">and </w:t>
      </w:r>
      <w:r w:rsidR="00D40726">
        <w:rPr>
          <w:rFonts w:ascii="Arial" w:hAnsi="Arial" w:cs="Arial"/>
        </w:rPr>
        <w:t xml:space="preserve">potential </w:t>
      </w:r>
      <w:r w:rsidR="00D40726" w:rsidRPr="0022487B">
        <w:rPr>
          <w:rFonts w:ascii="Arial" w:hAnsi="Arial" w:cs="Arial"/>
        </w:rPr>
        <w:t xml:space="preserve">publication </w:t>
      </w:r>
      <w:r w:rsidR="00D40726">
        <w:rPr>
          <w:rFonts w:ascii="Arial" w:hAnsi="Arial" w:cs="Arial"/>
        </w:rPr>
        <w:t>venues</w:t>
      </w:r>
      <w:r w:rsidR="00D40726" w:rsidRPr="0022487B">
        <w:rPr>
          <w:rFonts w:ascii="Arial" w:hAnsi="Arial" w:cs="Arial"/>
        </w:rPr>
        <w:t xml:space="preserve">, and a </w:t>
      </w:r>
      <w:r w:rsidR="00915FF1">
        <w:rPr>
          <w:rFonts w:ascii="Arial" w:hAnsi="Arial" w:cs="Arial"/>
        </w:rPr>
        <w:t>description</w:t>
      </w:r>
      <w:r w:rsidR="00EA026A">
        <w:rPr>
          <w:rFonts w:ascii="Arial" w:hAnsi="Arial" w:cs="Arial"/>
        </w:rPr>
        <w:t>, time</w:t>
      </w:r>
      <w:r w:rsidR="0052640B">
        <w:rPr>
          <w:rFonts w:ascii="Arial" w:hAnsi="Arial" w:cs="Arial"/>
        </w:rPr>
        <w:t xml:space="preserve"> </w:t>
      </w:r>
      <w:r w:rsidR="00EA026A">
        <w:rPr>
          <w:rFonts w:ascii="Arial" w:hAnsi="Arial" w:cs="Arial"/>
        </w:rPr>
        <w:t>frame,</w:t>
      </w:r>
      <w:r w:rsidR="00205E00">
        <w:rPr>
          <w:rFonts w:ascii="Arial" w:hAnsi="Arial" w:cs="Arial"/>
        </w:rPr>
        <w:t xml:space="preserve"> </w:t>
      </w:r>
      <w:r w:rsidR="00D40726" w:rsidRPr="0022487B">
        <w:rPr>
          <w:rFonts w:ascii="Arial" w:hAnsi="Arial" w:cs="Arial"/>
        </w:rPr>
        <w:t>justification</w:t>
      </w:r>
      <w:r w:rsidR="00205E00">
        <w:rPr>
          <w:rFonts w:ascii="Arial" w:hAnsi="Arial" w:cs="Arial"/>
        </w:rPr>
        <w:t>, and proposed location</w:t>
      </w:r>
      <w:r w:rsidR="00D40726" w:rsidRPr="0022487B">
        <w:rPr>
          <w:rFonts w:ascii="Arial" w:hAnsi="Arial" w:cs="Arial"/>
        </w:rPr>
        <w:t xml:space="preserve"> for each </w:t>
      </w:r>
      <w:r w:rsidR="00845205">
        <w:rPr>
          <w:rFonts w:ascii="Arial" w:hAnsi="Arial" w:cs="Arial"/>
        </w:rPr>
        <w:t>requested resource</w:t>
      </w:r>
      <w:r w:rsidR="00D40726" w:rsidRPr="0022487B">
        <w:rPr>
          <w:rFonts w:ascii="Arial" w:hAnsi="Arial" w:cs="Arial"/>
        </w:rPr>
        <w:t>.</w:t>
      </w:r>
      <w:r w:rsidR="00862963">
        <w:rPr>
          <w:rFonts w:ascii="Arial" w:hAnsi="Arial" w:cs="Arial"/>
        </w:rPr>
        <w:t xml:space="preserve"> </w:t>
      </w:r>
      <w:hyperlink r:id="rId7" w:history="1">
        <w:r w:rsidR="0046776E" w:rsidRPr="001B6BFE">
          <w:rPr>
            <w:rStyle w:val="Hyperlink"/>
            <w:rFonts w:ascii="Arial" w:hAnsi="Arial" w:cs="Arial"/>
          </w:rPr>
          <w:t>Faculty and Academic Resources</w:t>
        </w:r>
      </w:hyperlink>
      <w:r w:rsidR="0046776E">
        <w:rPr>
          <w:rFonts w:ascii="Arial" w:hAnsi="Arial" w:cs="Arial"/>
        </w:rPr>
        <w:t xml:space="preserve"> maintains the template and guidelines for start-up requests, including allowable and unallowable expenses.</w:t>
      </w:r>
    </w:p>
    <w:p w14:paraId="77FB4333" w14:textId="66D4772C" w:rsidR="00D40726" w:rsidRDefault="0046776E" w:rsidP="00972E95">
      <w:pPr>
        <w:tabs>
          <w:tab w:val="left" w:pos="720"/>
          <w:tab w:val="left" w:pos="1440"/>
        </w:tabs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A026A">
        <w:rPr>
          <w:rFonts w:ascii="Arial" w:hAnsi="Arial" w:cs="Arial"/>
        </w:rPr>
        <w:t xml:space="preserve"> </w:t>
      </w:r>
    </w:p>
    <w:p w14:paraId="5BE9F17E" w14:textId="33BE8D3A" w:rsidR="00CB7A6F" w:rsidRPr="00021B02" w:rsidRDefault="00EA026A" w:rsidP="00972E95">
      <w:pPr>
        <w:tabs>
          <w:tab w:val="left" w:pos="720"/>
        </w:tabs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8400FC">
        <w:rPr>
          <w:rFonts w:ascii="Arial" w:hAnsi="Arial" w:cs="Arial"/>
        </w:rPr>
        <w:t>3</w:t>
      </w:r>
      <w:r w:rsidR="0052640B">
        <w:rPr>
          <w:rFonts w:ascii="Arial" w:hAnsi="Arial" w:cs="Arial"/>
        </w:rPr>
        <w:t>.02</w:t>
      </w:r>
      <w:r w:rsidR="0052640B">
        <w:rPr>
          <w:rFonts w:ascii="Arial" w:hAnsi="Arial" w:cs="Arial"/>
        </w:rPr>
        <w:tab/>
      </w:r>
      <w:r w:rsidR="006F0FAF">
        <w:rPr>
          <w:rFonts w:ascii="Arial" w:hAnsi="Arial" w:cs="Arial"/>
        </w:rPr>
        <w:t>During the</w:t>
      </w:r>
      <w:r w:rsidR="008E6875">
        <w:rPr>
          <w:rFonts w:ascii="Arial" w:hAnsi="Arial" w:cs="Arial"/>
        </w:rPr>
        <w:t xml:space="preserve"> faculty </w:t>
      </w:r>
      <w:r w:rsidR="006F0FAF">
        <w:rPr>
          <w:rFonts w:ascii="Arial" w:hAnsi="Arial" w:cs="Arial"/>
        </w:rPr>
        <w:t>search process, academic units</w:t>
      </w:r>
      <w:r w:rsidR="006F0FAF" w:rsidRPr="00503D9D">
        <w:rPr>
          <w:rFonts w:ascii="Arial" w:hAnsi="Arial" w:cs="Arial"/>
        </w:rPr>
        <w:t xml:space="preserve"> are encouraged to discuss university guidelines</w:t>
      </w:r>
      <w:r w:rsidR="008E6875">
        <w:rPr>
          <w:rFonts w:ascii="Arial" w:hAnsi="Arial" w:cs="Arial"/>
        </w:rPr>
        <w:t xml:space="preserve"> and</w:t>
      </w:r>
      <w:r w:rsidR="006F0FAF" w:rsidRPr="00503D9D">
        <w:rPr>
          <w:rFonts w:ascii="Arial" w:hAnsi="Arial" w:cs="Arial"/>
        </w:rPr>
        <w:t xml:space="preserve"> </w:t>
      </w:r>
      <w:r w:rsidR="006262F4">
        <w:rPr>
          <w:rFonts w:ascii="Arial" w:hAnsi="Arial" w:cs="Arial"/>
        </w:rPr>
        <w:t>general</w:t>
      </w:r>
      <w:r w:rsidR="006F0FAF" w:rsidRPr="00503D9D">
        <w:rPr>
          <w:rFonts w:ascii="Arial" w:hAnsi="Arial" w:cs="Arial"/>
        </w:rPr>
        <w:t xml:space="preserve"> expectations</w:t>
      </w:r>
      <w:r w:rsidR="00E02E70">
        <w:rPr>
          <w:rFonts w:ascii="Arial" w:hAnsi="Arial" w:cs="Arial"/>
        </w:rPr>
        <w:t xml:space="preserve"> associa</w:t>
      </w:r>
      <w:r w:rsidR="008E6875">
        <w:rPr>
          <w:rFonts w:ascii="Arial" w:hAnsi="Arial" w:cs="Arial"/>
        </w:rPr>
        <w:t>ted with start-up packages with potential faculty candidates</w:t>
      </w:r>
      <w:r w:rsidR="006F0FAF">
        <w:rPr>
          <w:rFonts w:ascii="Arial" w:hAnsi="Arial" w:cs="Arial"/>
        </w:rPr>
        <w:t>.</w:t>
      </w:r>
      <w:r w:rsidR="001749F7">
        <w:rPr>
          <w:rFonts w:ascii="Arial" w:hAnsi="Arial" w:cs="Arial"/>
        </w:rPr>
        <w:t xml:space="preserve"> </w:t>
      </w:r>
    </w:p>
    <w:p w14:paraId="25E72E62" w14:textId="76DD238B" w:rsidR="00DB52B0" w:rsidRPr="00021B02" w:rsidRDefault="00DB52B0" w:rsidP="00EA026A">
      <w:pPr>
        <w:rPr>
          <w:rFonts w:ascii="Arial" w:hAnsi="Arial" w:cs="Arial"/>
        </w:rPr>
      </w:pPr>
    </w:p>
    <w:p w14:paraId="14002879" w14:textId="5DD2933C" w:rsidR="00EA026A" w:rsidRDefault="00A94376" w:rsidP="00972E95">
      <w:pPr>
        <w:tabs>
          <w:tab w:val="left" w:pos="720"/>
        </w:tabs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8400FC">
        <w:rPr>
          <w:rFonts w:ascii="Arial" w:hAnsi="Arial" w:cs="Arial"/>
        </w:rPr>
        <w:t>3</w:t>
      </w:r>
      <w:r>
        <w:rPr>
          <w:rFonts w:ascii="Arial" w:hAnsi="Arial" w:cs="Arial"/>
        </w:rPr>
        <w:t>.0</w:t>
      </w:r>
      <w:r w:rsidR="00F23B0B">
        <w:rPr>
          <w:rFonts w:ascii="Arial" w:hAnsi="Arial" w:cs="Arial"/>
        </w:rPr>
        <w:t>3</w:t>
      </w:r>
      <w:r>
        <w:rPr>
          <w:rFonts w:ascii="Arial" w:hAnsi="Arial" w:cs="Arial"/>
        </w:rPr>
        <w:tab/>
      </w:r>
      <w:r w:rsidR="006D556E">
        <w:rPr>
          <w:rFonts w:ascii="Arial" w:hAnsi="Arial" w:cs="Arial"/>
        </w:rPr>
        <w:t xml:space="preserve">As part of the </w:t>
      </w:r>
      <w:r w:rsidR="00EA026A">
        <w:rPr>
          <w:rFonts w:ascii="Arial" w:hAnsi="Arial" w:cs="Arial"/>
        </w:rPr>
        <w:t>interview process, t</w:t>
      </w:r>
      <w:r w:rsidR="00827038" w:rsidRPr="00827038">
        <w:rPr>
          <w:rFonts w:ascii="Arial" w:hAnsi="Arial" w:cs="Arial"/>
        </w:rPr>
        <w:t xml:space="preserve">he </w:t>
      </w:r>
      <w:r w:rsidR="00850887">
        <w:rPr>
          <w:rFonts w:ascii="Arial" w:hAnsi="Arial" w:cs="Arial"/>
        </w:rPr>
        <w:t>c</w:t>
      </w:r>
      <w:r w:rsidR="00827038" w:rsidRPr="00827038">
        <w:rPr>
          <w:rFonts w:ascii="Arial" w:hAnsi="Arial" w:cs="Arial"/>
        </w:rPr>
        <w:t>hair</w:t>
      </w:r>
      <w:r w:rsidR="00721B9C">
        <w:rPr>
          <w:rFonts w:ascii="Arial" w:hAnsi="Arial" w:cs="Arial"/>
        </w:rPr>
        <w:t xml:space="preserve"> or </w:t>
      </w:r>
      <w:r w:rsidR="00850887">
        <w:rPr>
          <w:rFonts w:ascii="Arial" w:hAnsi="Arial" w:cs="Arial"/>
        </w:rPr>
        <w:t>d</w:t>
      </w:r>
      <w:r w:rsidR="00915FF1">
        <w:rPr>
          <w:rFonts w:ascii="Arial" w:hAnsi="Arial" w:cs="Arial"/>
        </w:rPr>
        <w:t>irector</w:t>
      </w:r>
      <w:r w:rsidR="003708D9">
        <w:rPr>
          <w:rFonts w:ascii="Arial" w:hAnsi="Arial" w:cs="Arial"/>
        </w:rPr>
        <w:t xml:space="preserve"> will discuss the candidate’s potential start-up need</w:t>
      </w:r>
      <w:r w:rsidR="00EE11D6">
        <w:rPr>
          <w:rFonts w:ascii="Arial" w:hAnsi="Arial" w:cs="Arial"/>
        </w:rPr>
        <w:t>s</w:t>
      </w:r>
      <w:r w:rsidR="0008413E">
        <w:rPr>
          <w:rFonts w:ascii="Arial" w:hAnsi="Arial" w:cs="Arial"/>
        </w:rPr>
        <w:t xml:space="preserve"> </w:t>
      </w:r>
      <w:r w:rsidR="00EE11D6">
        <w:rPr>
          <w:rFonts w:ascii="Arial" w:hAnsi="Arial" w:cs="Arial"/>
        </w:rPr>
        <w:t>and</w:t>
      </w:r>
      <w:r w:rsidR="0008413E">
        <w:rPr>
          <w:rFonts w:ascii="Arial" w:hAnsi="Arial" w:cs="Arial"/>
        </w:rPr>
        <w:t xml:space="preserve"> </w:t>
      </w:r>
      <w:r w:rsidR="00EA026A" w:rsidRPr="0034350C">
        <w:rPr>
          <w:rFonts w:ascii="Arial" w:hAnsi="Arial" w:cs="Arial"/>
        </w:rPr>
        <w:t xml:space="preserve">the performance expectations </w:t>
      </w:r>
      <w:r w:rsidR="00045B6A">
        <w:rPr>
          <w:rFonts w:ascii="Arial" w:hAnsi="Arial" w:cs="Arial"/>
        </w:rPr>
        <w:t>for scholarly productivity</w:t>
      </w:r>
      <w:r w:rsidR="00EA026A" w:rsidRPr="0034350C">
        <w:rPr>
          <w:rFonts w:ascii="Arial" w:hAnsi="Arial" w:cs="Arial"/>
        </w:rPr>
        <w:t xml:space="preserve">. </w:t>
      </w:r>
      <w:r w:rsidR="00EE11D6">
        <w:rPr>
          <w:rFonts w:ascii="Arial" w:hAnsi="Arial" w:cs="Arial"/>
        </w:rPr>
        <w:t xml:space="preserve">Performance </w:t>
      </w:r>
      <w:r w:rsidR="00915FF1">
        <w:rPr>
          <w:rFonts w:ascii="Arial" w:hAnsi="Arial" w:cs="Arial"/>
        </w:rPr>
        <w:t>e</w:t>
      </w:r>
      <w:r w:rsidR="003708D9">
        <w:rPr>
          <w:rFonts w:ascii="Arial" w:hAnsi="Arial" w:cs="Arial"/>
        </w:rPr>
        <w:t xml:space="preserve">xpectations </w:t>
      </w:r>
      <w:r w:rsidR="00EE11D6">
        <w:rPr>
          <w:rFonts w:ascii="Arial" w:hAnsi="Arial" w:cs="Arial"/>
        </w:rPr>
        <w:t xml:space="preserve">may include </w:t>
      </w:r>
      <w:r w:rsidR="00F23B0B">
        <w:rPr>
          <w:rFonts w:ascii="Arial" w:hAnsi="Arial" w:cs="Arial"/>
        </w:rPr>
        <w:t>annual</w:t>
      </w:r>
      <w:r w:rsidR="00EA026A" w:rsidRPr="0034350C">
        <w:rPr>
          <w:rFonts w:ascii="Arial" w:hAnsi="Arial" w:cs="Arial"/>
        </w:rPr>
        <w:t xml:space="preserve"> publication </w:t>
      </w:r>
      <w:r w:rsidR="003708D9">
        <w:rPr>
          <w:rFonts w:ascii="Arial" w:hAnsi="Arial" w:cs="Arial"/>
        </w:rPr>
        <w:t xml:space="preserve">rates, appropriate publication outlets, </w:t>
      </w:r>
      <w:r w:rsidR="005F0576">
        <w:rPr>
          <w:rFonts w:ascii="Arial" w:hAnsi="Arial" w:cs="Arial"/>
        </w:rPr>
        <w:t>preferred</w:t>
      </w:r>
      <w:r w:rsidR="0096497B">
        <w:rPr>
          <w:rFonts w:ascii="Arial" w:hAnsi="Arial" w:cs="Arial"/>
        </w:rPr>
        <w:t xml:space="preserve"> funding sources, </w:t>
      </w:r>
      <w:r w:rsidR="00EE11D6">
        <w:rPr>
          <w:rFonts w:ascii="Arial" w:hAnsi="Arial" w:cs="Arial"/>
        </w:rPr>
        <w:t xml:space="preserve">expected level of </w:t>
      </w:r>
      <w:r w:rsidR="00EA026A" w:rsidRPr="0034350C">
        <w:rPr>
          <w:rFonts w:ascii="Arial" w:hAnsi="Arial" w:cs="Arial"/>
        </w:rPr>
        <w:t xml:space="preserve">external funding </w:t>
      </w:r>
      <w:r w:rsidR="003708D9">
        <w:rPr>
          <w:rFonts w:ascii="Arial" w:hAnsi="Arial" w:cs="Arial"/>
        </w:rPr>
        <w:t>awards</w:t>
      </w:r>
      <w:r w:rsidR="00EE11D6">
        <w:rPr>
          <w:rFonts w:ascii="Arial" w:hAnsi="Arial" w:cs="Arial"/>
        </w:rPr>
        <w:t xml:space="preserve">, student research activities, and others relevant to the department and discipline. </w:t>
      </w:r>
      <w:r w:rsidR="003708D9">
        <w:rPr>
          <w:rFonts w:ascii="Arial" w:hAnsi="Arial" w:cs="Arial"/>
        </w:rPr>
        <w:t xml:space="preserve"> </w:t>
      </w:r>
    </w:p>
    <w:p w14:paraId="4089847A" w14:textId="77777777" w:rsidR="00972E95" w:rsidRDefault="00827038" w:rsidP="00972E95">
      <w:pPr>
        <w:rPr>
          <w:rFonts w:ascii="Arial" w:hAnsi="Arial" w:cs="Arial"/>
        </w:rPr>
      </w:pPr>
      <w:r w:rsidRPr="00D862E3">
        <w:rPr>
          <w:rFonts w:ascii="Arial" w:hAnsi="Arial" w:cs="Arial"/>
        </w:rPr>
        <w:t xml:space="preserve"> </w:t>
      </w:r>
    </w:p>
    <w:p w14:paraId="3C7ECCD3" w14:textId="3DC840BB" w:rsidR="0006404E" w:rsidRDefault="00F23B0B" w:rsidP="00972E95">
      <w:pPr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8400FC">
        <w:rPr>
          <w:rFonts w:ascii="Arial" w:hAnsi="Arial" w:cs="Arial"/>
        </w:rPr>
        <w:t>3</w:t>
      </w:r>
      <w:r w:rsidR="0052640B">
        <w:rPr>
          <w:rFonts w:ascii="Arial" w:hAnsi="Arial" w:cs="Arial"/>
        </w:rPr>
        <w:t>.04</w:t>
      </w:r>
      <w:r w:rsidR="0052640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As part of </w:t>
      </w:r>
      <w:r w:rsidR="007B51E9">
        <w:rPr>
          <w:rFonts w:ascii="Arial" w:hAnsi="Arial" w:cs="Arial"/>
        </w:rPr>
        <w:t xml:space="preserve">the </w:t>
      </w:r>
      <w:r w:rsidR="006D556E">
        <w:rPr>
          <w:rFonts w:ascii="Arial" w:hAnsi="Arial" w:cs="Arial"/>
        </w:rPr>
        <w:t xml:space="preserve">hiring </w:t>
      </w:r>
      <w:r w:rsidR="001A127D">
        <w:rPr>
          <w:rFonts w:ascii="Arial" w:hAnsi="Arial" w:cs="Arial"/>
        </w:rPr>
        <w:t>negotiation</w:t>
      </w:r>
      <w:r w:rsidR="007B51E9">
        <w:rPr>
          <w:rFonts w:ascii="Arial" w:hAnsi="Arial" w:cs="Arial"/>
        </w:rPr>
        <w:t xml:space="preserve"> process, the </w:t>
      </w:r>
      <w:r w:rsidR="00850887">
        <w:rPr>
          <w:rFonts w:ascii="Arial" w:hAnsi="Arial" w:cs="Arial"/>
        </w:rPr>
        <w:t>c</w:t>
      </w:r>
      <w:r w:rsidR="007B51E9">
        <w:rPr>
          <w:rFonts w:ascii="Arial" w:hAnsi="Arial" w:cs="Arial"/>
        </w:rPr>
        <w:t>hair</w:t>
      </w:r>
      <w:r w:rsidR="00721B9C">
        <w:rPr>
          <w:rFonts w:ascii="Arial" w:hAnsi="Arial" w:cs="Arial"/>
        </w:rPr>
        <w:t xml:space="preserve"> or </w:t>
      </w:r>
      <w:r w:rsidR="00850887">
        <w:rPr>
          <w:rFonts w:ascii="Arial" w:hAnsi="Arial" w:cs="Arial"/>
        </w:rPr>
        <w:t>d</w:t>
      </w:r>
      <w:r w:rsidR="00205E00">
        <w:rPr>
          <w:rFonts w:ascii="Arial" w:hAnsi="Arial" w:cs="Arial"/>
        </w:rPr>
        <w:t>irector</w:t>
      </w:r>
      <w:r w:rsidR="007B51E9">
        <w:rPr>
          <w:rFonts w:ascii="Arial" w:hAnsi="Arial" w:cs="Arial"/>
        </w:rPr>
        <w:t xml:space="preserve"> will </w:t>
      </w:r>
      <w:r w:rsidR="0006404E">
        <w:rPr>
          <w:rFonts w:ascii="Arial" w:hAnsi="Arial" w:cs="Arial"/>
        </w:rPr>
        <w:t xml:space="preserve">work with the </w:t>
      </w:r>
      <w:r w:rsidR="007B51E9">
        <w:rPr>
          <w:rFonts w:ascii="Arial" w:hAnsi="Arial" w:cs="Arial"/>
        </w:rPr>
        <w:t xml:space="preserve">faculty candidate </w:t>
      </w:r>
      <w:r w:rsidR="00537B7D">
        <w:rPr>
          <w:rFonts w:ascii="Arial" w:hAnsi="Arial" w:cs="Arial"/>
        </w:rPr>
        <w:t>to complete the</w:t>
      </w:r>
      <w:r w:rsidR="007B51E9">
        <w:rPr>
          <w:rFonts w:ascii="Arial" w:hAnsi="Arial" w:cs="Arial"/>
        </w:rPr>
        <w:t xml:space="preserve"> start-up request</w:t>
      </w:r>
      <w:r w:rsidR="00463E3D">
        <w:rPr>
          <w:rFonts w:ascii="Arial" w:hAnsi="Arial" w:cs="Arial"/>
        </w:rPr>
        <w:t xml:space="preserve"> using the university’s template</w:t>
      </w:r>
      <w:r w:rsidR="007B51E9">
        <w:rPr>
          <w:rFonts w:ascii="Arial" w:hAnsi="Arial" w:cs="Arial"/>
        </w:rPr>
        <w:t>.</w:t>
      </w:r>
      <w:r w:rsidR="0006404E">
        <w:rPr>
          <w:rFonts w:ascii="Arial" w:hAnsi="Arial" w:cs="Arial"/>
        </w:rPr>
        <w:t xml:space="preserve"> </w:t>
      </w:r>
      <w:r w:rsidR="00205E00">
        <w:rPr>
          <w:rFonts w:ascii="Arial" w:hAnsi="Arial" w:cs="Arial"/>
        </w:rPr>
        <w:t xml:space="preserve">The </w:t>
      </w:r>
      <w:r w:rsidR="00850887">
        <w:rPr>
          <w:rFonts w:ascii="Arial" w:hAnsi="Arial" w:cs="Arial"/>
        </w:rPr>
        <w:t>c</w:t>
      </w:r>
      <w:r w:rsidR="0011787E">
        <w:rPr>
          <w:rFonts w:ascii="Arial" w:hAnsi="Arial" w:cs="Arial"/>
        </w:rPr>
        <w:t xml:space="preserve">hair or </w:t>
      </w:r>
      <w:r w:rsidR="00850887">
        <w:rPr>
          <w:rFonts w:ascii="Arial" w:hAnsi="Arial" w:cs="Arial"/>
        </w:rPr>
        <w:t>d</w:t>
      </w:r>
      <w:r w:rsidR="00205E00">
        <w:rPr>
          <w:rFonts w:ascii="Arial" w:hAnsi="Arial" w:cs="Arial"/>
        </w:rPr>
        <w:t xml:space="preserve">irector is </w:t>
      </w:r>
      <w:r w:rsidR="00205E00" w:rsidRPr="00640387">
        <w:rPr>
          <w:rFonts w:ascii="Arial" w:hAnsi="Arial" w:cs="Arial"/>
        </w:rPr>
        <w:t xml:space="preserve">responsible for ensuring that the start-up package </w:t>
      </w:r>
      <w:r w:rsidR="00205E00">
        <w:rPr>
          <w:rFonts w:ascii="Arial" w:hAnsi="Arial" w:cs="Arial"/>
        </w:rPr>
        <w:t>is</w:t>
      </w:r>
      <w:r w:rsidR="00205E00" w:rsidRPr="00640387">
        <w:rPr>
          <w:rFonts w:ascii="Arial" w:hAnsi="Arial" w:cs="Arial"/>
        </w:rPr>
        <w:t xml:space="preserve"> </w:t>
      </w:r>
      <w:r w:rsidR="00455349">
        <w:rPr>
          <w:rFonts w:ascii="Arial" w:hAnsi="Arial" w:cs="Arial"/>
        </w:rPr>
        <w:t xml:space="preserve">mindful of existing resources on campus and is </w:t>
      </w:r>
      <w:r w:rsidR="00205E00" w:rsidRPr="00640387">
        <w:rPr>
          <w:rFonts w:ascii="Arial" w:hAnsi="Arial" w:cs="Arial"/>
        </w:rPr>
        <w:t xml:space="preserve">ample, but not excessive, for meeting </w:t>
      </w:r>
      <w:r w:rsidR="00205E00">
        <w:rPr>
          <w:rFonts w:ascii="Arial" w:hAnsi="Arial" w:cs="Arial"/>
        </w:rPr>
        <w:t xml:space="preserve">the </w:t>
      </w:r>
      <w:r w:rsidR="00205E00" w:rsidRPr="00640387">
        <w:rPr>
          <w:rFonts w:ascii="Arial" w:hAnsi="Arial" w:cs="Arial"/>
        </w:rPr>
        <w:t>start-up needs of the faculty member.</w:t>
      </w:r>
    </w:p>
    <w:p w14:paraId="4A7DDA6F" w14:textId="77777777" w:rsidR="00972E95" w:rsidRDefault="00972E95" w:rsidP="00021B02">
      <w:pPr>
        <w:rPr>
          <w:rFonts w:ascii="Arial" w:hAnsi="Arial" w:cs="Arial"/>
        </w:rPr>
      </w:pPr>
    </w:p>
    <w:p w14:paraId="26CD2155" w14:textId="48846021" w:rsidR="00EA026A" w:rsidRDefault="00030BE4" w:rsidP="00972E95">
      <w:pPr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8400FC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.05 </w:t>
      </w:r>
      <w:r w:rsidR="00C72FBA">
        <w:rPr>
          <w:rFonts w:ascii="Arial" w:hAnsi="Arial" w:cs="Arial"/>
        </w:rPr>
        <w:tab/>
      </w:r>
      <w:r w:rsidR="007B51E9">
        <w:rPr>
          <w:rFonts w:ascii="Arial" w:hAnsi="Arial" w:cs="Arial"/>
        </w:rPr>
        <w:t>The</w:t>
      </w:r>
      <w:r w:rsidR="00F67162">
        <w:rPr>
          <w:rFonts w:ascii="Arial" w:hAnsi="Arial" w:cs="Arial"/>
        </w:rPr>
        <w:t xml:space="preserve"> </w:t>
      </w:r>
      <w:r w:rsidR="00E61131">
        <w:rPr>
          <w:rFonts w:ascii="Arial" w:hAnsi="Arial" w:cs="Arial"/>
        </w:rPr>
        <w:t>c</w:t>
      </w:r>
      <w:r w:rsidR="0011787E">
        <w:rPr>
          <w:rFonts w:ascii="Arial" w:hAnsi="Arial" w:cs="Arial"/>
        </w:rPr>
        <w:t xml:space="preserve">hair or </w:t>
      </w:r>
      <w:r w:rsidR="00E61131">
        <w:rPr>
          <w:rFonts w:ascii="Arial" w:hAnsi="Arial" w:cs="Arial"/>
        </w:rPr>
        <w:t>d</w:t>
      </w:r>
      <w:r w:rsidR="00CB6090">
        <w:rPr>
          <w:rFonts w:ascii="Arial" w:hAnsi="Arial" w:cs="Arial"/>
        </w:rPr>
        <w:t>irector</w:t>
      </w:r>
      <w:r w:rsidR="00B6261C">
        <w:rPr>
          <w:rFonts w:ascii="Arial" w:hAnsi="Arial" w:cs="Arial"/>
        </w:rPr>
        <w:t>,</w:t>
      </w:r>
      <w:r w:rsidR="00CB6090">
        <w:rPr>
          <w:rFonts w:ascii="Arial" w:hAnsi="Arial" w:cs="Arial"/>
        </w:rPr>
        <w:t xml:space="preserve"> </w:t>
      </w:r>
      <w:r w:rsidR="007B51E9" w:rsidRPr="00827038">
        <w:rPr>
          <w:rFonts w:ascii="Arial" w:hAnsi="Arial" w:cs="Arial"/>
        </w:rPr>
        <w:t>in consultation with</w:t>
      </w:r>
      <w:r w:rsidR="00CB6090">
        <w:rPr>
          <w:rFonts w:ascii="Arial" w:hAnsi="Arial" w:cs="Arial"/>
        </w:rPr>
        <w:t xml:space="preserve"> the</w:t>
      </w:r>
      <w:r w:rsidR="00E61131">
        <w:rPr>
          <w:rFonts w:ascii="Arial" w:hAnsi="Arial" w:cs="Arial"/>
        </w:rPr>
        <w:t xml:space="preserve"> d</w:t>
      </w:r>
      <w:r w:rsidR="007B51E9" w:rsidRPr="00827038">
        <w:rPr>
          <w:rFonts w:ascii="Arial" w:hAnsi="Arial" w:cs="Arial"/>
        </w:rPr>
        <w:t>ean</w:t>
      </w:r>
      <w:r w:rsidR="007B51E9">
        <w:rPr>
          <w:rFonts w:ascii="Arial" w:hAnsi="Arial" w:cs="Arial"/>
        </w:rPr>
        <w:t xml:space="preserve">, </w:t>
      </w:r>
      <w:r w:rsidR="00C72FBA">
        <w:rPr>
          <w:rFonts w:ascii="Arial" w:hAnsi="Arial" w:cs="Arial"/>
        </w:rPr>
        <w:t xml:space="preserve">will </w:t>
      </w:r>
      <w:r w:rsidR="00CB6090">
        <w:rPr>
          <w:rFonts w:ascii="Arial" w:hAnsi="Arial" w:cs="Arial"/>
        </w:rPr>
        <w:t xml:space="preserve">forward the </w:t>
      </w:r>
      <w:r w:rsidR="00506254">
        <w:rPr>
          <w:rFonts w:ascii="Arial" w:hAnsi="Arial" w:cs="Arial"/>
        </w:rPr>
        <w:t xml:space="preserve">start-up </w:t>
      </w:r>
      <w:r w:rsidR="00CB6090">
        <w:rPr>
          <w:rFonts w:ascii="Arial" w:hAnsi="Arial" w:cs="Arial"/>
        </w:rPr>
        <w:t xml:space="preserve">request to the </w:t>
      </w:r>
      <w:r w:rsidR="00E61131">
        <w:rPr>
          <w:rFonts w:ascii="Arial" w:hAnsi="Arial" w:cs="Arial"/>
        </w:rPr>
        <w:t>a</w:t>
      </w:r>
      <w:r w:rsidR="00CB6090">
        <w:rPr>
          <w:rFonts w:ascii="Arial" w:hAnsi="Arial" w:cs="Arial"/>
        </w:rPr>
        <w:t xml:space="preserve">ssociate </w:t>
      </w:r>
      <w:r w:rsidR="00E61131">
        <w:rPr>
          <w:rFonts w:ascii="Arial" w:hAnsi="Arial" w:cs="Arial"/>
        </w:rPr>
        <w:t>p</w:t>
      </w:r>
      <w:r w:rsidR="00CD031B">
        <w:rPr>
          <w:rFonts w:ascii="Arial" w:hAnsi="Arial" w:cs="Arial"/>
        </w:rPr>
        <w:t>rovost for review.</w:t>
      </w:r>
      <w:r w:rsidR="00CB6090">
        <w:rPr>
          <w:rFonts w:ascii="Arial" w:hAnsi="Arial" w:cs="Arial"/>
        </w:rPr>
        <w:t xml:space="preserve"> The </w:t>
      </w:r>
      <w:r w:rsidR="00E61131">
        <w:rPr>
          <w:rFonts w:ascii="Arial" w:hAnsi="Arial" w:cs="Arial"/>
        </w:rPr>
        <w:t>p</w:t>
      </w:r>
      <w:r w:rsidR="00CB6090">
        <w:rPr>
          <w:rFonts w:ascii="Arial" w:hAnsi="Arial" w:cs="Arial"/>
        </w:rPr>
        <w:t xml:space="preserve">rovost </w:t>
      </w:r>
      <w:r w:rsidR="0052640B">
        <w:rPr>
          <w:rFonts w:ascii="Arial" w:hAnsi="Arial" w:cs="Arial"/>
        </w:rPr>
        <w:t xml:space="preserve">and vice president for Academic Affairs </w:t>
      </w:r>
      <w:r w:rsidR="00512263">
        <w:rPr>
          <w:rFonts w:ascii="Arial" w:hAnsi="Arial" w:cs="Arial"/>
        </w:rPr>
        <w:t xml:space="preserve">has final approval on </w:t>
      </w:r>
      <w:r w:rsidR="007B51E9" w:rsidRPr="000C2288">
        <w:rPr>
          <w:rFonts w:ascii="Arial" w:hAnsi="Arial" w:cs="Arial"/>
        </w:rPr>
        <w:t>the amount of start-up funds that will be</w:t>
      </w:r>
      <w:r w:rsidR="007B51E9" w:rsidRPr="00827038">
        <w:rPr>
          <w:rFonts w:ascii="Arial" w:hAnsi="Arial" w:cs="Arial"/>
        </w:rPr>
        <w:t xml:space="preserve"> offered to a </w:t>
      </w:r>
      <w:r w:rsidR="00205E00">
        <w:rPr>
          <w:rFonts w:ascii="Arial" w:hAnsi="Arial" w:cs="Arial"/>
        </w:rPr>
        <w:t>prospective</w:t>
      </w:r>
      <w:r w:rsidR="007B51E9" w:rsidRPr="00827038">
        <w:rPr>
          <w:rFonts w:ascii="Arial" w:hAnsi="Arial" w:cs="Arial"/>
        </w:rPr>
        <w:t xml:space="preserve"> faculty member.</w:t>
      </w:r>
      <w:r>
        <w:rPr>
          <w:rFonts w:ascii="Arial" w:hAnsi="Arial" w:cs="Arial"/>
        </w:rPr>
        <w:t xml:space="preserve"> </w:t>
      </w:r>
      <w:r w:rsidR="00ED4517">
        <w:rPr>
          <w:rFonts w:ascii="Arial" w:hAnsi="Arial" w:cs="Arial"/>
        </w:rPr>
        <w:t>After this approval</w:t>
      </w:r>
      <w:r w:rsidR="00205E00">
        <w:rPr>
          <w:rFonts w:ascii="Arial" w:hAnsi="Arial" w:cs="Arial"/>
        </w:rPr>
        <w:t xml:space="preserve">, </w:t>
      </w:r>
      <w:r w:rsidR="00E61131">
        <w:rPr>
          <w:rFonts w:ascii="Arial" w:hAnsi="Arial" w:cs="Arial"/>
        </w:rPr>
        <w:t>the c</w:t>
      </w:r>
      <w:r>
        <w:rPr>
          <w:rFonts w:ascii="Arial" w:hAnsi="Arial" w:cs="Arial"/>
        </w:rPr>
        <w:t>hair</w:t>
      </w:r>
      <w:r w:rsidR="00721B9C">
        <w:rPr>
          <w:rFonts w:ascii="Arial" w:hAnsi="Arial" w:cs="Arial"/>
        </w:rPr>
        <w:t xml:space="preserve"> or </w:t>
      </w:r>
      <w:r w:rsidR="00E61131">
        <w:rPr>
          <w:rFonts w:ascii="Arial" w:hAnsi="Arial" w:cs="Arial"/>
        </w:rPr>
        <w:t>d</w:t>
      </w:r>
      <w:r w:rsidR="00D80ADA">
        <w:rPr>
          <w:rFonts w:ascii="Arial" w:hAnsi="Arial" w:cs="Arial"/>
        </w:rPr>
        <w:t>irector</w:t>
      </w:r>
      <w:r>
        <w:rPr>
          <w:rFonts w:ascii="Arial" w:hAnsi="Arial" w:cs="Arial"/>
        </w:rPr>
        <w:t xml:space="preserve"> </w:t>
      </w:r>
      <w:r w:rsidR="00DF6C35">
        <w:rPr>
          <w:rFonts w:ascii="Arial" w:hAnsi="Arial" w:cs="Arial"/>
        </w:rPr>
        <w:t>may</w:t>
      </w:r>
      <w:r>
        <w:rPr>
          <w:rFonts w:ascii="Arial" w:hAnsi="Arial" w:cs="Arial"/>
        </w:rPr>
        <w:t xml:space="preserve"> </w:t>
      </w:r>
      <w:r w:rsidR="00827038" w:rsidRPr="00827038">
        <w:rPr>
          <w:rFonts w:ascii="Arial" w:hAnsi="Arial" w:cs="Arial"/>
        </w:rPr>
        <w:t xml:space="preserve">indicate the amount of start-up funds that will be made available to the candidate </w:t>
      </w:r>
      <w:r w:rsidR="00DF6C35">
        <w:rPr>
          <w:rFonts w:ascii="Arial" w:hAnsi="Arial" w:cs="Arial"/>
        </w:rPr>
        <w:t>upon employment at the university</w:t>
      </w:r>
      <w:r w:rsidR="00827038" w:rsidRPr="00827038">
        <w:rPr>
          <w:rFonts w:ascii="Arial" w:hAnsi="Arial" w:cs="Arial"/>
        </w:rPr>
        <w:t xml:space="preserve">. </w:t>
      </w:r>
      <w:r w:rsidR="00F67162">
        <w:rPr>
          <w:rFonts w:ascii="Arial" w:hAnsi="Arial" w:cs="Arial"/>
        </w:rPr>
        <w:t xml:space="preserve"> </w:t>
      </w:r>
    </w:p>
    <w:p w14:paraId="113B5B9E" w14:textId="7F22C3A9" w:rsidR="00EA21E7" w:rsidRPr="00EA21E7" w:rsidRDefault="00EA21E7" w:rsidP="00021B02">
      <w:pPr>
        <w:rPr>
          <w:rFonts w:ascii="Arial" w:hAnsi="Arial" w:cs="Arial"/>
        </w:rPr>
      </w:pPr>
    </w:p>
    <w:p w14:paraId="2D366FE0" w14:textId="3B40A83C" w:rsidR="007C5A51" w:rsidRDefault="00A94376" w:rsidP="00972E95">
      <w:pPr>
        <w:ind w:left="1440" w:hanging="720"/>
        <w:rPr>
          <w:rFonts w:ascii="Arial" w:hAnsi="Arial" w:cs="Arial"/>
        </w:rPr>
      </w:pPr>
      <w:r w:rsidRPr="009D5361">
        <w:rPr>
          <w:rFonts w:ascii="Arial" w:hAnsi="Arial" w:cs="Arial"/>
        </w:rPr>
        <w:t>0</w:t>
      </w:r>
      <w:r w:rsidR="008400FC">
        <w:rPr>
          <w:rFonts w:ascii="Arial" w:hAnsi="Arial" w:cs="Arial"/>
        </w:rPr>
        <w:t>3</w:t>
      </w:r>
      <w:r w:rsidRPr="009D5361">
        <w:rPr>
          <w:rFonts w:ascii="Arial" w:hAnsi="Arial" w:cs="Arial"/>
        </w:rPr>
        <w:t>.</w:t>
      </w:r>
      <w:r w:rsidR="004B213D">
        <w:rPr>
          <w:rFonts w:ascii="Arial" w:hAnsi="Arial" w:cs="Arial"/>
        </w:rPr>
        <w:t xml:space="preserve">06 </w:t>
      </w:r>
      <w:r w:rsidR="00C72FBA">
        <w:rPr>
          <w:rFonts w:ascii="Arial" w:hAnsi="Arial" w:cs="Arial"/>
        </w:rPr>
        <w:tab/>
      </w:r>
      <w:r w:rsidR="00F97A68">
        <w:rPr>
          <w:rFonts w:ascii="Arial" w:hAnsi="Arial" w:cs="Arial"/>
        </w:rPr>
        <w:t xml:space="preserve">The </w:t>
      </w:r>
      <w:r w:rsidR="0034350C" w:rsidRPr="009D5361">
        <w:rPr>
          <w:rFonts w:ascii="Arial" w:hAnsi="Arial" w:cs="Arial"/>
        </w:rPr>
        <w:t>formal</w:t>
      </w:r>
      <w:r w:rsidR="00F97A68">
        <w:rPr>
          <w:rFonts w:ascii="Arial" w:hAnsi="Arial" w:cs="Arial"/>
        </w:rPr>
        <w:t xml:space="preserve"> </w:t>
      </w:r>
      <w:r w:rsidR="0034350C" w:rsidRPr="009D5361">
        <w:rPr>
          <w:rFonts w:ascii="Arial" w:hAnsi="Arial" w:cs="Arial"/>
        </w:rPr>
        <w:t>written offer made to a candidate</w:t>
      </w:r>
      <w:r w:rsidR="00F97A68">
        <w:rPr>
          <w:rFonts w:ascii="Arial" w:hAnsi="Arial" w:cs="Arial"/>
        </w:rPr>
        <w:t xml:space="preserve"> will clearly state</w:t>
      </w:r>
      <w:r w:rsidR="0034350C" w:rsidRPr="009D5361">
        <w:rPr>
          <w:rFonts w:ascii="Arial" w:hAnsi="Arial" w:cs="Arial"/>
        </w:rPr>
        <w:t xml:space="preserve"> the amount of the start-up package. The </w:t>
      </w:r>
      <w:r w:rsidR="00721B9C">
        <w:rPr>
          <w:rFonts w:ascii="Arial" w:hAnsi="Arial" w:cs="Arial"/>
        </w:rPr>
        <w:t xml:space="preserve">approved start-up fund request is </w:t>
      </w:r>
      <w:r w:rsidR="00972E95">
        <w:rPr>
          <w:rFonts w:ascii="Arial" w:hAnsi="Arial" w:cs="Arial"/>
        </w:rPr>
        <w:t xml:space="preserve">structured </w:t>
      </w:r>
      <w:r w:rsidR="00721B9C">
        <w:rPr>
          <w:rFonts w:ascii="Arial" w:hAnsi="Arial" w:cs="Arial"/>
        </w:rPr>
        <w:t>for support</w:t>
      </w:r>
      <w:r w:rsidR="0034350C" w:rsidRPr="009D5361">
        <w:rPr>
          <w:rFonts w:ascii="Arial" w:hAnsi="Arial" w:cs="Arial"/>
        </w:rPr>
        <w:t xml:space="preserve"> </w:t>
      </w:r>
      <w:r w:rsidR="009D5361" w:rsidRPr="00021B02">
        <w:rPr>
          <w:rFonts w:ascii="Arial" w:hAnsi="Arial" w:cs="Arial"/>
        </w:rPr>
        <w:t>within</w:t>
      </w:r>
      <w:r w:rsidR="00F67162">
        <w:rPr>
          <w:rFonts w:ascii="Arial" w:hAnsi="Arial" w:cs="Arial"/>
        </w:rPr>
        <w:t xml:space="preserve"> the first t</w:t>
      </w:r>
      <w:r w:rsidR="00A10590">
        <w:rPr>
          <w:rFonts w:ascii="Arial" w:hAnsi="Arial" w:cs="Arial"/>
        </w:rPr>
        <w:t>wo</w:t>
      </w:r>
      <w:r w:rsidR="00F67162">
        <w:rPr>
          <w:rFonts w:ascii="Arial" w:hAnsi="Arial" w:cs="Arial"/>
        </w:rPr>
        <w:t xml:space="preserve"> full fiscal years of employmen</w:t>
      </w:r>
      <w:r w:rsidR="008C4ADF">
        <w:rPr>
          <w:rFonts w:ascii="Arial" w:hAnsi="Arial" w:cs="Arial"/>
        </w:rPr>
        <w:t>t, but</w:t>
      </w:r>
      <w:r w:rsidR="00721B9C">
        <w:rPr>
          <w:rFonts w:ascii="Arial" w:hAnsi="Arial" w:cs="Arial"/>
        </w:rPr>
        <w:t xml:space="preserve"> funds</w:t>
      </w:r>
      <w:r w:rsidR="00A10590">
        <w:rPr>
          <w:rFonts w:ascii="Arial" w:hAnsi="Arial" w:cs="Arial"/>
        </w:rPr>
        <w:t xml:space="preserve"> </w:t>
      </w:r>
      <w:r w:rsidR="002D74F9">
        <w:rPr>
          <w:rFonts w:ascii="Arial" w:hAnsi="Arial" w:cs="Arial"/>
        </w:rPr>
        <w:t xml:space="preserve">may be carried over </w:t>
      </w:r>
      <w:r w:rsidR="00A10590">
        <w:rPr>
          <w:rFonts w:ascii="Arial" w:hAnsi="Arial" w:cs="Arial"/>
        </w:rPr>
        <w:t>for expenditure into the third year</w:t>
      </w:r>
      <w:r w:rsidR="00BC640C">
        <w:rPr>
          <w:rFonts w:ascii="Arial" w:hAnsi="Arial" w:cs="Arial"/>
        </w:rPr>
        <w:t xml:space="preserve"> without </w:t>
      </w:r>
      <w:r w:rsidR="00972E95">
        <w:rPr>
          <w:rFonts w:ascii="Arial" w:hAnsi="Arial" w:cs="Arial"/>
        </w:rPr>
        <w:t xml:space="preserve">prior </w:t>
      </w:r>
      <w:r w:rsidR="008C4ADF">
        <w:rPr>
          <w:rFonts w:ascii="Arial" w:hAnsi="Arial" w:cs="Arial"/>
        </w:rPr>
        <w:t xml:space="preserve">approval </w:t>
      </w:r>
      <w:r w:rsidR="00ED4517">
        <w:rPr>
          <w:rFonts w:ascii="Arial" w:hAnsi="Arial" w:cs="Arial"/>
        </w:rPr>
        <w:t>by the provost</w:t>
      </w:r>
      <w:r w:rsidR="0052640B">
        <w:rPr>
          <w:rFonts w:ascii="Arial" w:hAnsi="Arial" w:cs="Arial"/>
        </w:rPr>
        <w:t xml:space="preserve"> and vice president for Academic Affairs</w:t>
      </w:r>
      <w:r w:rsidR="00ED4517">
        <w:rPr>
          <w:rFonts w:ascii="Arial" w:hAnsi="Arial" w:cs="Arial"/>
        </w:rPr>
        <w:t>.</w:t>
      </w:r>
      <w:r w:rsidR="0052640B">
        <w:rPr>
          <w:rFonts w:ascii="Arial" w:hAnsi="Arial" w:cs="Arial"/>
        </w:rPr>
        <w:t xml:space="preserve"> After three years, remaining </w:t>
      </w:r>
      <w:r w:rsidR="00721B9C">
        <w:rPr>
          <w:rFonts w:ascii="Arial" w:hAnsi="Arial" w:cs="Arial"/>
        </w:rPr>
        <w:t>funds</w:t>
      </w:r>
      <w:r w:rsidR="00C72FBA">
        <w:rPr>
          <w:rFonts w:ascii="Arial" w:hAnsi="Arial" w:cs="Arial"/>
        </w:rPr>
        <w:t xml:space="preserve"> will</w:t>
      </w:r>
      <w:r w:rsidR="00721B9C">
        <w:rPr>
          <w:rFonts w:ascii="Arial" w:hAnsi="Arial" w:cs="Arial"/>
        </w:rPr>
        <w:t xml:space="preserve"> return to the university’s central account for start-up packages. Faculty members approved to toll the tenure clock may be eligible for extensions</w:t>
      </w:r>
      <w:r w:rsidR="00281922">
        <w:rPr>
          <w:rFonts w:ascii="Arial" w:hAnsi="Arial" w:cs="Arial"/>
        </w:rPr>
        <w:t xml:space="preserve"> upon request</w:t>
      </w:r>
      <w:r w:rsidR="00721B9C">
        <w:rPr>
          <w:rFonts w:ascii="Arial" w:hAnsi="Arial" w:cs="Arial"/>
        </w:rPr>
        <w:t xml:space="preserve">. </w:t>
      </w:r>
    </w:p>
    <w:p w14:paraId="1C6EB60D" w14:textId="77777777" w:rsidR="007C5A51" w:rsidRDefault="007C5A51" w:rsidP="00A94376">
      <w:pPr>
        <w:ind w:left="1440" w:hanging="720"/>
        <w:rPr>
          <w:rFonts w:ascii="Arial" w:hAnsi="Arial" w:cs="Arial"/>
        </w:rPr>
      </w:pPr>
    </w:p>
    <w:p w14:paraId="378C9BDE" w14:textId="188A7D78" w:rsidR="007B51E9" w:rsidRDefault="004B213D" w:rsidP="00972E95">
      <w:pPr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8400FC">
        <w:rPr>
          <w:rFonts w:ascii="Arial" w:hAnsi="Arial" w:cs="Arial"/>
        </w:rPr>
        <w:t>3</w:t>
      </w:r>
      <w:r>
        <w:rPr>
          <w:rFonts w:ascii="Arial" w:hAnsi="Arial" w:cs="Arial"/>
        </w:rPr>
        <w:t>.07</w:t>
      </w:r>
      <w:r w:rsidR="00EA026A">
        <w:rPr>
          <w:rFonts w:ascii="Arial" w:hAnsi="Arial" w:cs="Arial"/>
        </w:rPr>
        <w:t xml:space="preserve"> </w:t>
      </w:r>
      <w:r w:rsidR="00C72FBA">
        <w:rPr>
          <w:rFonts w:ascii="Arial" w:hAnsi="Arial" w:cs="Arial"/>
        </w:rPr>
        <w:tab/>
      </w:r>
      <w:r w:rsidR="00926D26">
        <w:rPr>
          <w:rFonts w:ascii="Arial" w:hAnsi="Arial" w:cs="Arial"/>
        </w:rPr>
        <w:t xml:space="preserve">The faculty member </w:t>
      </w:r>
      <w:r w:rsidR="00721B9C">
        <w:rPr>
          <w:rFonts w:ascii="Arial" w:hAnsi="Arial" w:cs="Arial"/>
        </w:rPr>
        <w:t xml:space="preserve">and chair or </w:t>
      </w:r>
      <w:r w:rsidR="00BC640C">
        <w:rPr>
          <w:rFonts w:ascii="Arial" w:hAnsi="Arial" w:cs="Arial"/>
        </w:rPr>
        <w:t>director are</w:t>
      </w:r>
      <w:r w:rsidR="007B51E9">
        <w:rPr>
          <w:rFonts w:ascii="Arial" w:hAnsi="Arial" w:cs="Arial"/>
        </w:rPr>
        <w:t xml:space="preserve"> </w:t>
      </w:r>
      <w:r w:rsidR="00305B89">
        <w:rPr>
          <w:rFonts w:ascii="Arial" w:hAnsi="Arial" w:cs="Arial"/>
        </w:rPr>
        <w:t>responsible for ensuring</w:t>
      </w:r>
      <w:r w:rsidR="007C5A51">
        <w:rPr>
          <w:rFonts w:ascii="Arial" w:hAnsi="Arial" w:cs="Arial"/>
        </w:rPr>
        <w:t xml:space="preserve"> that funds are expended </w:t>
      </w:r>
      <w:r w:rsidR="00D84E5E">
        <w:rPr>
          <w:rFonts w:ascii="Arial" w:hAnsi="Arial" w:cs="Arial"/>
        </w:rPr>
        <w:t>as outlined in the final</w:t>
      </w:r>
      <w:r w:rsidR="007C5A51">
        <w:rPr>
          <w:rFonts w:ascii="Arial" w:hAnsi="Arial" w:cs="Arial"/>
        </w:rPr>
        <w:t xml:space="preserve"> </w:t>
      </w:r>
      <w:r w:rsidR="00583D51">
        <w:rPr>
          <w:rFonts w:ascii="Arial" w:hAnsi="Arial" w:cs="Arial"/>
        </w:rPr>
        <w:t xml:space="preserve">approved </w:t>
      </w:r>
      <w:r w:rsidR="00972E95">
        <w:rPr>
          <w:rFonts w:ascii="Arial" w:hAnsi="Arial" w:cs="Arial"/>
        </w:rPr>
        <w:t xml:space="preserve">start-up package and </w:t>
      </w:r>
      <w:r w:rsidR="00583D51">
        <w:rPr>
          <w:rFonts w:ascii="Arial" w:hAnsi="Arial" w:cs="Arial"/>
        </w:rPr>
        <w:t xml:space="preserve">in compliance with </w:t>
      </w:r>
      <w:r w:rsidR="007C5A51">
        <w:rPr>
          <w:rFonts w:ascii="Arial" w:hAnsi="Arial" w:cs="Arial"/>
        </w:rPr>
        <w:t xml:space="preserve">all applicable policies, rules, and </w:t>
      </w:r>
      <w:r w:rsidR="00583D51">
        <w:rPr>
          <w:rFonts w:ascii="Arial" w:hAnsi="Arial" w:cs="Arial"/>
        </w:rPr>
        <w:t>laws.</w:t>
      </w:r>
      <w:r w:rsidR="007B51E9">
        <w:rPr>
          <w:rFonts w:ascii="Arial" w:hAnsi="Arial" w:cs="Arial"/>
        </w:rPr>
        <w:t xml:space="preserve"> </w:t>
      </w:r>
    </w:p>
    <w:p w14:paraId="5572EAC1" w14:textId="77777777" w:rsidR="00972E95" w:rsidRDefault="00972E95" w:rsidP="00C72FBA">
      <w:pPr>
        <w:tabs>
          <w:tab w:val="left" w:pos="720"/>
        </w:tabs>
        <w:rPr>
          <w:rFonts w:ascii="Arial" w:hAnsi="Arial" w:cs="Arial"/>
        </w:rPr>
      </w:pPr>
    </w:p>
    <w:p w14:paraId="13B30359" w14:textId="13FC2602" w:rsidR="00691F94" w:rsidRDefault="00EA026A" w:rsidP="00972E95">
      <w:pPr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8400FC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="004B213D">
        <w:rPr>
          <w:rFonts w:ascii="Arial" w:hAnsi="Arial" w:cs="Arial"/>
        </w:rPr>
        <w:t>08</w:t>
      </w:r>
      <w:r>
        <w:rPr>
          <w:rFonts w:ascii="Arial" w:hAnsi="Arial" w:cs="Arial"/>
        </w:rPr>
        <w:t xml:space="preserve"> </w:t>
      </w:r>
      <w:r w:rsidR="00C72FBA">
        <w:rPr>
          <w:rFonts w:ascii="Arial" w:hAnsi="Arial" w:cs="Arial"/>
        </w:rPr>
        <w:tab/>
      </w:r>
      <w:r w:rsidR="002242CB">
        <w:rPr>
          <w:rFonts w:ascii="Arial" w:hAnsi="Arial" w:cs="Arial"/>
        </w:rPr>
        <w:t>The</w:t>
      </w:r>
      <w:r w:rsidR="00827038" w:rsidRPr="000C2288">
        <w:rPr>
          <w:rFonts w:ascii="Arial" w:hAnsi="Arial" w:cs="Arial"/>
        </w:rPr>
        <w:t xml:space="preserve"> </w:t>
      </w:r>
      <w:r w:rsidR="00E61131">
        <w:rPr>
          <w:rFonts w:ascii="Arial" w:hAnsi="Arial" w:cs="Arial"/>
        </w:rPr>
        <w:t>c</w:t>
      </w:r>
      <w:r w:rsidR="00827038" w:rsidRPr="000C2288">
        <w:rPr>
          <w:rFonts w:ascii="Arial" w:hAnsi="Arial" w:cs="Arial"/>
        </w:rPr>
        <w:t>hair</w:t>
      </w:r>
      <w:r w:rsidR="0011787E">
        <w:rPr>
          <w:rFonts w:ascii="Arial" w:hAnsi="Arial" w:cs="Arial"/>
        </w:rPr>
        <w:t xml:space="preserve"> or </w:t>
      </w:r>
      <w:r w:rsidR="00E61131">
        <w:rPr>
          <w:rFonts w:ascii="Arial" w:hAnsi="Arial" w:cs="Arial"/>
        </w:rPr>
        <w:t>d</w:t>
      </w:r>
      <w:r w:rsidR="00F97A68">
        <w:rPr>
          <w:rFonts w:ascii="Arial" w:hAnsi="Arial" w:cs="Arial"/>
        </w:rPr>
        <w:t>irector</w:t>
      </w:r>
      <w:r w:rsidR="00827038" w:rsidRPr="000C2288">
        <w:rPr>
          <w:rFonts w:ascii="Arial" w:hAnsi="Arial" w:cs="Arial"/>
        </w:rPr>
        <w:t xml:space="preserve"> and </w:t>
      </w:r>
      <w:r w:rsidR="00E61131">
        <w:rPr>
          <w:rFonts w:ascii="Arial" w:hAnsi="Arial" w:cs="Arial"/>
        </w:rPr>
        <w:t>d</w:t>
      </w:r>
      <w:r w:rsidR="00827038" w:rsidRPr="000C2288">
        <w:rPr>
          <w:rFonts w:ascii="Arial" w:hAnsi="Arial" w:cs="Arial"/>
        </w:rPr>
        <w:t>ean</w:t>
      </w:r>
      <w:r>
        <w:rPr>
          <w:rFonts w:ascii="Arial" w:hAnsi="Arial" w:cs="Arial"/>
        </w:rPr>
        <w:t>,</w:t>
      </w:r>
      <w:r w:rsidR="00CE1147" w:rsidRPr="000C2288">
        <w:rPr>
          <w:rFonts w:ascii="Arial" w:hAnsi="Arial" w:cs="Arial"/>
        </w:rPr>
        <w:t xml:space="preserve"> </w:t>
      </w:r>
      <w:r w:rsidR="00813DC3" w:rsidRPr="000C2288">
        <w:rPr>
          <w:rFonts w:ascii="Arial" w:hAnsi="Arial" w:cs="Arial"/>
        </w:rPr>
        <w:t xml:space="preserve">in consultation with the </w:t>
      </w:r>
      <w:r w:rsidR="00E61131">
        <w:rPr>
          <w:rFonts w:ascii="Arial" w:hAnsi="Arial" w:cs="Arial"/>
        </w:rPr>
        <w:t>p</w:t>
      </w:r>
      <w:r w:rsidR="00813DC3" w:rsidRPr="000C2288">
        <w:rPr>
          <w:rFonts w:ascii="Arial" w:hAnsi="Arial" w:cs="Arial"/>
        </w:rPr>
        <w:t xml:space="preserve">ersonnel </w:t>
      </w:r>
      <w:r w:rsidR="00E61131">
        <w:rPr>
          <w:rFonts w:ascii="Arial" w:hAnsi="Arial" w:cs="Arial"/>
        </w:rPr>
        <w:t>c</w:t>
      </w:r>
      <w:r w:rsidR="00813DC3" w:rsidRPr="000C2288">
        <w:rPr>
          <w:rFonts w:ascii="Arial" w:hAnsi="Arial" w:cs="Arial"/>
        </w:rPr>
        <w:t>ommittee</w:t>
      </w:r>
      <w:r>
        <w:rPr>
          <w:rFonts w:ascii="Arial" w:hAnsi="Arial" w:cs="Arial"/>
        </w:rPr>
        <w:t>,</w:t>
      </w:r>
      <w:r w:rsidR="00827038" w:rsidRPr="000C2288">
        <w:rPr>
          <w:rFonts w:ascii="Arial" w:hAnsi="Arial" w:cs="Arial"/>
        </w:rPr>
        <w:t xml:space="preserve"> </w:t>
      </w:r>
      <w:r w:rsidR="002242CB">
        <w:rPr>
          <w:rFonts w:ascii="Arial" w:hAnsi="Arial" w:cs="Arial"/>
        </w:rPr>
        <w:t>are responsible for</w:t>
      </w:r>
      <w:r w:rsidR="00827038" w:rsidRPr="000C2288">
        <w:rPr>
          <w:rFonts w:ascii="Arial" w:hAnsi="Arial" w:cs="Arial"/>
        </w:rPr>
        <w:t xml:space="preserve"> monitor</w:t>
      </w:r>
      <w:r w:rsidR="002242CB">
        <w:rPr>
          <w:rFonts w:ascii="Arial" w:hAnsi="Arial" w:cs="Arial"/>
        </w:rPr>
        <w:t>ing</w:t>
      </w:r>
      <w:r w:rsidR="00827038" w:rsidRPr="000C2288">
        <w:rPr>
          <w:rFonts w:ascii="Arial" w:hAnsi="Arial" w:cs="Arial"/>
        </w:rPr>
        <w:t xml:space="preserve"> the </w:t>
      </w:r>
      <w:r w:rsidR="009627B4">
        <w:rPr>
          <w:rFonts w:ascii="Arial" w:hAnsi="Arial" w:cs="Arial"/>
        </w:rPr>
        <w:t xml:space="preserve">research and </w:t>
      </w:r>
      <w:r w:rsidR="000E6BE9">
        <w:rPr>
          <w:rFonts w:ascii="Arial" w:hAnsi="Arial" w:cs="Arial"/>
        </w:rPr>
        <w:t xml:space="preserve">scholarly </w:t>
      </w:r>
      <w:r w:rsidR="00827038" w:rsidRPr="000C2288">
        <w:rPr>
          <w:rFonts w:ascii="Arial" w:hAnsi="Arial" w:cs="Arial"/>
        </w:rPr>
        <w:lastRenderedPageBreak/>
        <w:t>performance of</w:t>
      </w:r>
      <w:r w:rsidR="002242CB">
        <w:rPr>
          <w:rFonts w:ascii="Arial" w:hAnsi="Arial" w:cs="Arial"/>
        </w:rPr>
        <w:t xml:space="preserve"> </w:t>
      </w:r>
      <w:r w:rsidR="00827038" w:rsidRPr="000C2288">
        <w:rPr>
          <w:rFonts w:ascii="Arial" w:hAnsi="Arial" w:cs="Arial"/>
        </w:rPr>
        <w:t>new faculty</w:t>
      </w:r>
      <w:r w:rsidR="00F97A68">
        <w:rPr>
          <w:rFonts w:ascii="Arial" w:hAnsi="Arial" w:cs="Arial"/>
        </w:rPr>
        <w:t xml:space="preserve"> member</w:t>
      </w:r>
      <w:r w:rsidR="002242CB">
        <w:rPr>
          <w:rFonts w:ascii="Arial" w:hAnsi="Arial" w:cs="Arial"/>
        </w:rPr>
        <w:t>s</w:t>
      </w:r>
      <w:r w:rsidR="00F97A68">
        <w:rPr>
          <w:rFonts w:ascii="Arial" w:hAnsi="Arial" w:cs="Arial"/>
        </w:rPr>
        <w:t>, including</w:t>
      </w:r>
      <w:r w:rsidR="003832D4">
        <w:rPr>
          <w:rFonts w:ascii="Arial" w:hAnsi="Arial" w:cs="Arial"/>
        </w:rPr>
        <w:t xml:space="preserve"> </w:t>
      </w:r>
      <w:r w:rsidR="000E6BE9">
        <w:rPr>
          <w:rFonts w:ascii="Arial" w:hAnsi="Arial" w:cs="Arial"/>
        </w:rPr>
        <w:t xml:space="preserve">projects arising out of the </w:t>
      </w:r>
      <w:r w:rsidR="00F97A68">
        <w:rPr>
          <w:rFonts w:ascii="Arial" w:hAnsi="Arial" w:cs="Arial"/>
        </w:rPr>
        <w:t xml:space="preserve">effective </w:t>
      </w:r>
      <w:r w:rsidR="003832D4">
        <w:rPr>
          <w:rFonts w:ascii="Arial" w:hAnsi="Arial" w:cs="Arial"/>
        </w:rPr>
        <w:t xml:space="preserve">use of start-up funds. </w:t>
      </w:r>
    </w:p>
    <w:p w14:paraId="6F527DB2" w14:textId="47F5A60A" w:rsidR="00F97A68" w:rsidRDefault="00F97A68" w:rsidP="00021B02">
      <w:pPr>
        <w:rPr>
          <w:rFonts w:ascii="Arial" w:hAnsi="Arial" w:cs="Arial"/>
        </w:rPr>
      </w:pPr>
    </w:p>
    <w:p w14:paraId="63C2F924" w14:textId="4B4AE428" w:rsidR="00AC2665" w:rsidRPr="00021B02" w:rsidRDefault="004B213D" w:rsidP="00C72FBA">
      <w:pPr>
        <w:tabs>
          <w:tab w:val="left" w:pos="720"/>
          <w:tab w:val="left" w:pos="1440"/>
        </w:tabs>
        <w:ind w:left="1440" w:hanging="720"/>
        <w:rPr>
          <w:rFonts w:ascii="Helvetica" w:hAnsi="Helvetica"/>
        </w:rPr>
      </w:pPr>
      <w:r>
        <w:rPr>
          <w:rFonts w:ascii="Arial" w:hAnsi="Arial" w:cs="Arial"/>
        </w:rPr>
        <w:t>0</w:t>
      </w:r>
      <w:r w:rsidR="008400FC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="00E61131">
        <w:rPr>
          <w:rFonts w:ascii="Arial" w:hAnsi="Arial" w:cs="Arial"/>
        </w:rPr>
        <w:t>09</w:t>
      </w:r>
      <w:r w:rsidR="00EA026A">
        <w:rPr>
          <w:rFonts w:ascii="Arial" w:hAnsi="Arial" w:cs="Arial"/>
        </w:rPr>
        <w:t xml:space="preserve"> </w:t>
      </w:r>
      <w:r w:rsidR="00C72FBA">
        <w:rPr>
          <w:rFonts w:ascii="Arial" w:hAnsi="Arial" w:cs="Arial"/>
        </w:rPr>
        <w:tab/>
      </w:r>
      <w:r w:rsidR="00AC2665" w:rsidRPr="00AC2665">
        <w:rPr>
          <w:rFonts w:ascii="Arial" w:hAnsi="Arial" w:cs="Arial"/>
        </w:rPr>
        <w:t>In the event of a</w:t>
      </w:r>
      <w:r w:rsidR="007C5A51" w:rsidRPr="00021B02">
        <w:rPr>
          <w:rFonts w:ascii="Arial" w:hAnsi="Arial" w:cs="Arial"/>
        </w:rPr>
        <w:t xml:space="preserve"> faculty member</w:t>
      </w:r>
      <w:r w:rsidR="00AC2665" w:rsidRPr="00AC2665">
        <w:rPr>
          <w:rFonts w:ascii="Arial" w:hAnsi="Arial" w:cs="Arial"/>
        </w:rPr>
        <w:t xml:space="preserve">’s departure, </w:t>
      </w:r>
      <w:r w:rsidR="007C5A51" w:rsidRPr="00021B02">
        <w:rPr>
          <w:rFonts w:ascii="Arial" w:hAnsi="Arial" w:cs="Arial"/>
        </w:rPr>
        <w:t>unspent start-up</w:t>
      </w:r>
      <w:r w:rsidR="007C5A51" w:rsidRPr="00AC2665">
        <w:rPr>
          <w:rFonts w:ascii="Arial" w:hAnsi="Arial" w:cs="Arial"/>
        </w:rPr>
        <w:t xml:space="preserve"> funds</w:t>
      </w:r>
      <w:r w:rsidR="00972E95">
        <w:rPr>
          <w:rFonts w:ascii="Arial" w:hAnsi="Arial" w:cs="Arial"/>
        </w:rPr>
        <w:t xml:space="preserve">, </w:t>
      </w:r>
      <w:r w:rsidR="007C5A51" w:rsidRPr="00021B02">
        <w:rPr>
          <w:rFonts w:ascii="Arial" w:hAnsi="Arial" w:cs="Arial"/>
        </w:rPr>
        <w:t>durable assets</w:t>
      </w:r>
      <w:r w:rsidR="00F43365">
        <w:rPr>
          <w:rFonts w:ascii="Arial" w:hAnsi="Arial" w:cs="Arial"/>
        </w:rPr>
        <w:t xml:space="preserve">, </w:t>
      </w:r>
      <w:r w:rsidR="007C5A51" w:rsidRPr="00AC2665">
        <w:rPr>
          <w:rFonts w:ascii="Arial" w:hAnsi="Arial" w:cs="Arial"/>
        </w:rPr>
        <w:t>and</w:t>
      </w:r>
      <w:r w:rsidR="006F0FAF">
        <w:rPr>
          <w:rFonts w:ascii="Arial" w:hAnsi="Arial" w:cs="Arial"/>
        </w:rPr>
        <w:t xml:space="preserve"> other</w:t>
      </w:r>
      <w:r w:rsidR="006F0FAF" w:rsidRPr="006F0FAF">
        <w:rPr>
          <w:rFonts w:ascii="Arial" w:hAnsi="Arial" w:cs="Arial"/>
        </w:rPr>
        <w:t xml:space="preserve"> </w:t>
      </w:r>
      <w:r w:rsidR="006F0FAF">
        <w:rPr>
          <w:rFonts w:ascii="Arial" w:hAnsi="Arial" w:cs="Arial"/>
        </w:rPr>
        <w:t>i</w:t>
      </w:r>
      <w:r w:rsidR="007C5A51" w:rsidRPr="00021B02">
        <w:rPr>
          <w:rFonts w:ascii="Arial" w:hAnsi="Arial" w:cs="Arial"/>
        </w:rPr>
        <w:t xml:space="preserve">tems of value remain the property of Texas </w:t>
      </w:r>
      <w:r w:rsidR="0011787E">
        <w:rPr>
          <w:rFonts w:ascii="Arial" w:hAnsi="Arial" w:cs="Arial"/>
        </w:rPr>
        <w:t>State</w:t>
      </w:r>
      <w:r w:rsidR="007C5A51" w:rsidRPr="00021B02">
        <w:rPr>
          <w:rFonts w:ascii="Arial" w:hAnsi="Arial" w:cs="Arial"/>
        </w:rPr>
        <w:t xml:space="preserve">. </w:t>
      </w:r>
      <w:r w:rsidR="001A127D" w:rsidRPr="00EA026A">
        <w:rPr>
          <w:rFonts w:ascii="Helvetica" w:hAnsi="Helvetica"/>
        </w:rPr>
        <w:t>Ordinarily</w:t>
      </w:r>
      <w:r w:rsidR="00EA026A" w:rsidRPr="00EA026A">
        <w:rPr>
          <w:rFonts w:ascii="Helvetica" w:hAnsi="Helvetica"/>
        </w:rPr>
        <w:t>, n</w:t>
      </w:r>
      <w:r w:rsidR="00AC2665" w:rsidRPr="00021B02">
        <w:rPr>
          <w:rFonts w:ascii="Helvetica" w:hAnsi="Helvetica"/>
        </w:rPr>
        <w:t xml:space="preserve">o expenditures </w:t>
      </w:r>
      <w:r w:rsidR="003A44B4">
        <w:rPr>
          <w:rFonts w:ascii="Helvetica" w:hAnsi="Helvetica"/>
        </w:rPr>
        <w:t xml:space="preserve">may be </w:t>
      </w:r>
      <w:r w:rsidR="00AC2665" w:rsidRPr="00021B02">
        <w:rPr>
          <w:rFonts w:ascii="Helvetica" w:hAnsi="Helvetica"/>
        </w:rPr>
        <w:t xml:space="preserve">made from start-up funds after </w:t>
      </w:r>
      <w:r w:rsidR="003A44B4">
        <w:rPr>
          <w:rFonts w:ascii="Helvetica" w:hAnsi="Helvetica"/>
        </w:rPr>
        <w:t>notice that the</w:t>
      </w:r>
      <w:r w:rsidR="00AC2665" w:rsidRPr="00021B02">
        <w:rPr>
          <w:rFonts w:ascii="Helvetica" w:hAnsi="Helvetica"/>
        </w:rPr>
        <w:t xml:space="preserve"> faculty member’s appointment </w:t>
      </w:r>
      <w:r w:rsidR="003A44B4">
        <w:rPr>
          <w:rFonts w:ascii="Helvetica" w:hAnsi="Helvetica"/>
        </w:rPr>
        <w:t xml:space="preserve">is ending with </w:t>
      </w:r>
      <w:r w:rsidR="00ED4517">
        <w:rPr>
          <w:rFonts w:ascii="Helvetica" w:hAnsi="Helvetica"/>
        </w:rPr>
        <w:t xml:space="preserve">the </w:t>
      </w:r>
      <w:r w:rsidR="00AC2665" w:rsidRPr="00021B02">
        <w:rPr>
          <w:rFonts w:ascii="Helvetica" w:hAnsi="Helvetica"/>
        </w:rPr>
        <w:t xml:space="preserve">university. </w:t>
      </w:r>
      <w:r w:rsidR="00CB6090">
        <w:rPr>
          <w:rFonts w:ascii="Helvetica" w:hAnsi="Helvetica"/>
        </w:rPr>
        <w:t xml:space="preserve">Under </w:t>
      </w:r>
      <w:r w:rsidR="00495E62">
        <w:rPr>
          <w:rFonts w:ascii="Helvetica" w:hAnsi="Helvetica"/>
        </w:rPr>
        <w:t>rare</w:t>
      </w:r>
      <w:r w:rsidR="00CB6090">
        <w:rPr>
          <w:rFonts w:ascii="Helvetica" w:hAnsi="Helvetica"/>
        </w:rPr>
        <w:t xml:space="preserve"> circumstances, t</w:t>
      </w:r>
      <w:r w:rsidR="004733F5">
        <w:rPr>
          <w:rFonts w:ascii="Helvetica" w:hAnsi="Helvetica"/>
        </w:rPr>
        <w:t xml:space="preserve">he departing faculty member may </w:t>
      </w:r>
      <w:r w:rsidR="006947EE">
        <w:rPr>
          <w:rFonts w:ascii="Helvetica" w:hAnsi="Helvetica"/>
        </w:rPr>
        <w:t xml:space="preserve">request to </w:t>
      </w:r>
      <w:r w:rsidR="004733F5">
        <w:rPr>
          <w:rFonts w:ascii="Helvetica" w:hAnsi="Helvetica"/>
        </w:rPr>
        <w:t>continue using</w:t>
      </w:r>
      <w:r w:rsidR="00F67162">
        <w:rPr>
          <w:rFonts w:ascii="Helvetica" w:hAnsi="Helvetica"/>
        </w:rPr>
        <w:t xml:space="preserve"> </w:t>
      </w:r>
      <w:r w:rsidR="00972E95">
        <w:rPr>
          <w:rFonts w:ascii="Helvetica" w:hAnsi="Helvetica"/>
        </w:rPr>
        <w:t>start-up funds.</w:t>
      </w:r>
      <w:r w:rsidR="004733F5">
        <w:rPr>
          <w:rFonts w:ascii="Helvetica" w:hAnsi="Helvetica"/>
        </w:rPr>
        <w:t xml:space="preserve"> The departing faculty member is required to submit a justification memo to the </w:t>
      </w:r>
      <w:r w:rsidR="00E61131">
        <w:rPr>
          <w:rFonts w:ascii="Helvetica" w:hAnsi="Helvetica"/>
        </w:rPr>
        <w:t>a</w:t>
      </w:r>
      <w:r w:rsidR="00206ED1">
        <w:rPr>
          <w:rFonts w:ascii="Helvetica" w:hAnsi="Helvetica"/>
        </w:rPr>
        <w:t xml:space="preserve">ssociate </w:t>
      </w:r>
      <w:r w:rsidR="00E61131">
        <w:rPr>
          <w:rFonts w:ascii="Helvetica" w:hAnsi="Helvetica"/>
        </w:rPr>
        <w:t>p</w:t>
      </w:r>
      <w:r w:rsidR="004733F5">
        <w:rPr>
          <w:rFonts w:ascii="Helvetica" w:hAnsi="Helvetica"/>
        </w:rPr>
        <w:t xml:space="preserve">rovost via the </w:t>
      </w:r>
      <w:r w:rsidR="00E61131">
        <w:rPr>
          <w:rFonts w:ascii="Helvetica" w:hAnsi="Helvetica"/>
        </w:rPr>
        <w:t>d</w:t>
      </w:r>
      <w:r w:rsidR="004733F5">
        <w:rPr>
          <w:rFonts w:ascii="Helvetica" w:hAnsi="Helvetica"/>
        </w:rPr>
        <w:t>ean</w:t>
      </w:r>
      <w:r w:rsidR="0011787E">
        <w:rPr>
          <w:rFonts w:ascii="Helvetica" w:hAnsi="Helvetica"/>
        </w:rPr>
        <w:t xml:space="preserve"> and chair or </w:t>
      </w:r>
      <w:r w:rsidR="00E61131">
        <w:rPr>
          <w:rFonts w:ascii="Helvetica" w:hAnsi="Helvetica"/>
        </w:rPr>
        <w:t>d</w:t>
      </w:r>
      <w:r w:rsidR="00495E62">
        <w:rPr>
          <w:rFonts w:ascii="Helvetica" w:hAnsi="Helvetica"/>
        </w:rPr>
        <w:t>irector</w:t>
      </w:r>
      <w:r w:rsidR="004733F5">
        <w:rPr>
          <w:rFonts w:ascii="Helvetica" w:hAnsi="Helvetica"/>
        </w:rPr>
        <w:t xml:space="preserve">.  </w:t>
      </w:r>
    </w:p>
    <w:p w14:paraId="1A33E4AD" w14:textId="4952EB29" w:rsidR="0060311A" w:rsidRDefault="0060311A" w:rsidP="0060311A">
      <w:pPr>
        <w:rPr>
          <w:rFonts w:ascii="Arial" w:hAnsi="Arial" w:cs="Arial"/>
        </w:rPr>
      </w:pPr>
    </w:p>
    <w:p w14:paraId="53D87093" w14:textId="553B81CC" w:rsidR="0060311A" w:rsidRDefault="0060311A" w:rsidP="00DF3666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0</w:t>
      </w:r>
      <w:r w:rsidR="008400FC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  <w:t>REVIEWERS OF THIS PPS</w:t>
      </w:r>
    </w:p>
    <w:p w14:paraId="3163AC4B" w14:textId="77777777" w:rsidR="0060311A" w:rsidRDefault="0060311A" w:rsidP="0060311A">
      <w:pPr>
        <w:ind w:left="1440" w:hanging="720"/>
        <w:rPr>
          <w:rFonts w:ascii="Arial" w:hAnsi="Arial" w:cs="Arial"/>
          <w:b/>
        </w:rPr>
      </w:pPr>
    </w:p>
    <w:p w14:paraId="57D57A82" w14:textId="03EE2E0A" w:rsidR="0060311A" w:rsidRDefault="0060311A" w:rsidP="0060311A">
      <w:pPr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8400FC">
        <w:rPr>
          <w:rFonts w:ascii="Arial" w:hAnsi="Arial" w:cs="Arial"/>
        </w:rPr>
        <w:t>4</w:t>
      </w:r>
      <w:r>
        <w:rPr>
          <w:rFonts w:ascii="Arial" w:hAnsi="Arial" w:cs="Arial"/>
        </w:rPr>
        <w:t>.01</w:t>
      </w:r>
      <w:r>
        <w:rPr>
          <w:rFonts w:ascii="Arial" w:hAnsi="Arial" w:cs="Arial"/>
        </w:rPr>
        <w:tab/>
        <w:t>Reviewers of this PPS include the following:</w:t>
      </w:r>
    </w:p>
    <w:p w14:paraId="33C9AF15" w14:textId="77777777" w:rsidR="0060311A" w:rsidRDefault="0060311A" w:rsidP="0060311A">
      <w:pPr>
        <w:ind w:left="1440" w:hanging="720"/>
        <w:rPr>
          <w:rFonts w:ascii="Arial" w:hAnsi="Arial" w:cs="Arial"/>
        </w:rPr>
      </w:pPr>
    </w:p>
    <w:p w14:paraId="337A2B72" w14:textId="77777777" w:rsidR="00E26425" w:rsidRDefault="00E26425" w:rsidP="00E26425">
      <w:pPr>
        <w:tabs>
          <w:tab w:val="left" w:pos="5760"/>
        </w:tabs>
        <w:ind w:left="1440"/>
        <w:rPr>
          <w:rFonts w:ascii="Arial" w:hAnsi="Arial" w:cs="Arial"/>
        </w:rPr>
      </w:pPr>
      <w:r w:rsidRPr="0060311A">
        <w:rPr>
          <w:rFonts w:ascii="Arial" w:hAnsi="Arial" w:cs="Arial"/>
          <w:u w:val="single"/>
        </w:rPr>
        <w:t>Position</w:t>
      </w:r>
      <w:r>
        <w:rPr>
          <w:rFonts w:ascii="Arial" w:hAnsi="Arial" w:cs="Arial"/>
        </w:rPr>
        <w:tab/>
      </w:r>
      <w:r w:rsidRPr="0060311A">
        <w:rPr>
          <w:rFonts w:ascii="Arial" w:hAnsi="Arial" w:cs="Arial"/>
          <w:u w:val="single"/>
        </w:rPr>
        <w:t>Date</w:t>
      </w:r>
    </w:p>
    <w:p w14:paraId="70E184BC" w14:textId="77777777" w:rsidR="00E26425" w:rsidRDefault="00E26425" w:rsidP="00E26425">
      <w:pPr>
        <w:tabs>
          <w:tab w:val="left" w:pos="5760"/>
        </w:tabs>
        <w:ind w:left="1440"/>
        <w:rPr>
          <w:rFonts w:ascii="Arial" w:hAnsi="Arial" w:cs="Arial"/>
        </w:rPr>
      </w:pPr>
    </w:p>
    <w:p w14:paraId="16AE15B6" w14:textId="77777777" w:rsidR="00E26425" w:rsidRPr="0060311A" w:rsidRDefault="00E26425" w:rsidP="00E26425">
      <w:pPr>
        <w:tabs>
          <w:tab w:val="left" w:pos="5760"/>
        </w:tabs>
        <w:ind w:left="1440"/>
        <w:rPr>
          <w:rFonts w:ascii="Arial" w:hAnsi="Arial" w:cs="Arial"/>
        </w:rPr>
      </w:pPr>
      <w:r>
        <w:rPr>
          <w:rFonts w:ascii="Arial" w:hAnsi="Arial" w:cs="Arial"/>
        </w:rPr>
        <w:t>Vice President for Research</w:t>
      </w:r>
      <w:r>
        <w:rPr>
          <w:rFonts w:ascii="Arial" w:hAnsi="Arial" w:cs="Arial"/>
        </w:rPr>
        <w:tab/>
        <w:t>December 1 E5Y</w:t>
      </w:r>
    </w:p>
    <w:p w14:paraId="2F83B2DF" w14:textId="77777777" w:rsidR="00E26425" w:rsidRDefault="00E26425" w:rsidP="00E26425">
      <w:pPr>
        <w:tabs>
          <w:tab w:val="left" w:pos="5760"/>
        </w:tabs>
        <w:ind w:left="1440"/>
        <w:rPr>
          <w:rFonts w:ascii="Arial" w:hAnsi="Arial" w:cs="Arial"/>
        </w:rPr>
      </w:pPr>
    </w:p>
    <w:p w14:paraId="6A71E0FD" w14:textId="77777777" w:rsidR="00E26425" w:rsidRDefault="00E26425" w:rsidP="00E26425">
      <w:pPr>
        <w:tabs>
          <w:tab w:val="left" w:pos="5760"/>
        </w:tabs>
        <w:ind w:left="1440"/>
        <w:rPr>
          <w:rFonts w:ascii="Arial" w:hAnsi="Arial" w:cs="Arial"/>
        </w:rPr>
      </w:pPr>
      <w:r>
        <w:rPr>
          <w:rFonts w:ascii="Arial" w:hAnsi="Arial" w:cs="Arial"/>
        </w:rPr>
        <w:t>Associate Vice President for</w:t>
      </w:r>
      <w:r>
        <w:rPr>
          <w:rFonts w:ascii="Arial" w:hAnsi="Arial" w:cs="Arial"/>
        </w:rPr>
        <w:tab/>
        <w:t>December 1 E5Y</w:t>
      </w:r>
      <w:r w:rsidRPr="0007365D">
        <w:rPr>
          <w:rFonts w:ascii="Arial" w:hAnsi="Arial" w:cs="Arial"/>
        </w:rPr>
        <w:t xml:space="preserve"> </w:t>
      </w:r>
    </w:p>
    <w:p w14:paraId="2DD12ACB" w14:textId="77777777" w:rsidR="00E26425" w:rsidRDefault="00E26425" w:rsidP="00E26425">
      <w:pPr>
        <w:tabs>
          <w:tab w:val="left" w:pos="5760"/>
        </w:tabs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Operations </w:t>
      </w:r>
    </w:p>
    <w:p w14:paraId="4C638244" w14:textId="77777777" w:rsidR="00E26425" w:rsidRDefault="00E26425" w:rsidP="00E26425">
      <w:pPr>
        <w:tabs>
          <w:tab w:val="left" w:pos="5760"/>
        </w:tabs>
        <w:ind w:left="1440"/>
        <w:rPr>
          <w:rFonts w:ascii="Arial" w:hAnsi="Arial" w:cs="Arial"/>
        </w:rPr>
      </w:pPr>
    </w:p>
    <w:p w14:paraId="20894059" w14:textId="77777777" w:rsidR="00E26425" w:rsidRDefault="00E26425" w:rsidP="00E26425">
      <w:pPr>
        <w:tabs>
          <w:tab w:val="left" w:pos="5760"/>
        </w:tabs>
        <w:ind w:left="1440"/>
        <w:rPr>
          <w:rFonts w:ascii="Arial" w:hAnsi="Arial" w:cs="Arial"/>
        </w:rPr>
      </w:pPr>
      <w:r>
        <w:rPr>
          <w:rFonts w:ascii="Arial" w:hAnsi="Arial" w:cs="Arial"/>
        </w:rPr>
        <w:t>Assistant Vice President for</w:t>
      </w:r>
      <w:r>
        <w:rPr>
          <w:rFonts w:ascii="Arial" w:hAnsi="Arial" w:cs="Arial"/>
        </w:rPr>
        <w:tab/>
        <w:t>December 1 E5Y</w:t>
      </w:r>
      <w:r w:rsidRPr="0007365D">
        <w:rPr>
          <w:rFonts w:ascii="Arial" w:hAnsi="Arial" w:cs="Arial"/>
        </w:rPr>
        <w:t xml:space="preserve"> </w:t>
      </w:r>
    </w:p>
    <w:p w14:paraId="4C766169" w14:textId="77777777" w:rsidR="00E26425" w:rsidRDefault="00E26425" w:rsidP="00E26425">
      <w:pPr>
        <w:tabs>
          <w:tab w:val="left" w:pos="5760"/>
        </w:tabs>
        <w:ind w:left="1440"/>
        <w:rPr>
          <w:rFonts w:ascii="Arial" w:hAnsi="Arial" w:cs="Arial"/>
        </w:rPr>
      </w:pPr>
      <w:r>
        <w:rPr>
          <w:rFonts w:ascii="Arial" w:hAnsi="Arial" w:cs="Arial"/>
        </w:rPr>
        <w:t>Research</w:t>
      </w:r>
    </w:p>
    <w:p w14:paraId="7483D321" w14:textId="77777777" w:rsidR="00E26425" w:rsidRDefault="00E26425" w:rsidP="00E26425">
      <w:pPr>
        <w:tabs>
          <w:tab w:val="left" w:pos="5760"/>
        </w:tabs>
        <w:ind w:left="1440"/>
        <w:rPr>
          <w:rFonts w:ascii="Arial" w:hAnsi="Arial" w:cs="Arial"/>
        </w:rPr>
      </w:pPr>
    </w:p>
    <w:p w14:paraId="00479EF7" w14:textId="77777777" w:rsidR="00E26425" w:rsidRDefault="00E26425" w:rsidP="00E26425">
      <w:pPr>
        <w:tabs>
          <w:tab w:val="left" w:pos="5760"/>
        </w:tabs>
        <w:ind w:left="1440"/>
        <w:rPr>
          <w:rFonts w:ascii="Arial" w:hAnsi="Arial" w:cs="Arial"/>
        </w:rPr>
      </w:pPr>
      <w:r>
        <w:rPr>
          <w:rFonts w:ascii="Arial" w:hAnsi="Arial" w:cs="Arial"/>
        </w:rPr>
        <w:t>Assistant Vice President for</w:t>
      </w:r>
      <w:r>
        <w:rPr>
          <w:rFonts w:ascii="Arial" w:hAnsi="Arial" w:cs="Arial"/>
        </w:rPr>
        <w:tab/>
        <w:t>December 1 E5Y</w:t>
      </w:r>
    </w:p>
    <w:p w14:paraId="56AA1483" w14:textId="77777777" w:rsidR="00E26425" w:rsidRDefault="00E26425" w:rsidP="00E26425">
      <w:pPr>
        <w:tabs>
          <w:tab w:val="left" w:pos="5760"/>
        </w:tabs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Research Development </w:t>
      </w:r>
    </w:p>
    <w:p w14:paraId="55E1DAEE" w14:textId="77777777" w:rsidR="00E26425" w:rsidRDefault="00E26425" w:rsidP="00E26425">
      <w:pPr>
        <w:tabs>
          <w:tab w:val="left" w:pos="5760"/>
        </w:tabs>
        <w:ind w:left="1440"/>
        <w:rPr>
          <w:rFonts w:ascii="Arial" w:hAnsi="Arial" w:cs="Arial"/>
        </w:rPr>
      </w:pPr>
    </w:p>
    <w:p w14:paraId="5498AF8E" w14:textId="77777777" w:rsidR="00E26425" w:rsidRDefault="00E26425" w:rsidP="00E26425">
      <w:pPr>
        <w:tabs>
          <w:tab w:val="left" w:pos="5760"/>
        </w:tabs>
        <w:ind w:left="1440"/>
        <w:rPr>
          <w:rFonts w:ascii="Arial" w:hAnsi="Arial" w:cs="Arial"/>
        </w:rPr>
      </w:pPr>
      <w:r>
        <w:rPr>
          <w:rFonts w:ascii="Arial" w:hAnsi="Arial" w:cs="Arial"/>
        </w:rPr>
        <w:t>Provost and Vice President for</w:t>
      </w:r>
      <w:r>
        <w:rPr>
          <w:rFonts w:ascii="Arial" w:hAnsi="Arial" w:cs="Arial"/>
        </w:rPr>
        <w:tab/>
        <w:t>December 1 E5Y</w:t>
      </w:r>
      <w:r>
        <w:rPr>
          <w:rFonts w:ascii="Arial" w:hAnsi="Arial" w:cs="Arial"/>
        </w:rPr>
        <w:br/>
        <w:t>Academic Affairs</w:t>
      </w:r>
    </w:p>
    <w:p w14:paraId="52078F22" w14:textId="77777777" w:rsidR="0060311A" w:rsidRPr="0060311A" w:rsidRDefault="0060311A" w:rsidP="00826FF8">
      <w:pPr>
        <w:rPr>
          <w:rFonts w:ascii="Arial" w:hAnsi="Arial" w:cs="Arial"/>
        </w:rPr>
      </w:pPr>
    </w:p>
    <w:p w14:paraId="070AF29B" w14:textId="4CE01088" w:rsidR="00827038" w:rsidRDefault="0060311A" w:rsidP="00A94376">
      <w:pPr>
        <w:ind w:left="720" w:hanging="720"/>
        <w:rPr>
          <w:rStyle w:val="style71"/>
        </w:rPr>
      </w:pPr>
      <w:r>
        <w:rPr>
          <w:rStyle w:val="style71"/>
        </w:rPr>
        <w:t>0</w:t>
      </w:r>
      <w:r w:rsidR="008400FC">
        <w:rPr>
          <w:rStyle w:val="style71"/>
        </w:rPr>
        <w:t>5</w:t>
      </w:r>
      <w:r w:rsidR="00A119F0">
        <w:rPr>
          <w:rStyle w:val="style71"/>
        </w:rPr>
        <w:t xml:space="preserve">. </w:t>
      </w:r>
      <w:r w:rsidR="003A52B4">
        <w:rPr>
          <w:rStyle w:val="style71"/>
        </w:rPr>
        <w:tab/>
      </w:r>
      <w:r w:rsidR="00827038" w:rsidRPr="00827038">
        <w:rPr>
          <w:rStyle w:val="style71"/>
        </w:rPr>
        <w:t>CERTIFICATION STATEMENT</w:t>
      </w:r>
    </w:p>
    <w:p w14:paraId="4A09E353" w14:textId="77777777" w:rsidR="00A94376" w:rsidRPr="00827038" w:rsidRDefault="00A94376" w:rsidP="00A94376">
      <w:pPr>
        <w:ind w:left="720" w:hanging="720"/>
        <w:rPr>
          <w:rFonts w:ascii="Arial" w:hAnsi="Arial" w:cs="Arial"/>
        </w:rPr>
      </w:pPr>
    </w:p>
    <w:p w14:paraId="7862B7C6" w14:textId="2679AD77" w:rsidR="00827038" w:rsidRDefault="00827038" w:rsidP="00A94376">
      <w:pPr>
        <w:ind w:left="720"/>
        <w:rPr>
          <w:rStyle w:val="style81"/>
        </w:rPr>
      </w:pPr>
      <w:r w:rsidRPr="00827038">
        <w:rPr>
          <w:rStyle w:val="style81"/>
        </w:rPr>
        <w:t xml:space="preserve">This PPS has been approved by the </w:t>
      </w:r>
      <w:r w:rsidR="0060311A">
        <w:rPr>
          <w:rStyle w:val="style81"/>
        </w:rPr>
        <w:t xml:space="preserve">following </w:t>
      </w:r>
      <w:r w:rsidR="004226A6">
        <w:rPr>
          <w:rStyle w:val="style81"/>
        </w:rPr>
        <w:t>individual in their official capacit</w:t>
      </w:r>
      <w:r w:rsidR="00C72FBA">
        <w:rPr>
          <w:rStyle w:val="style81"/>
        </w:rPr>
        <w:t xml:space="preserve">y </w:t>
      </w:r>
      <w:r w:rsidRPr="00827038">
        <w:rPr>
          <w:rStyle w:val="style81"/>
        </w:rPr>
        <w:t>and repr</w:t>
      </w:r>
      <w:r w:rsidR="004226A6">
        <w:rPr>
          <w:rStyle w:val="style81"/>
        </w:rPr>
        <w:t>esents Texas State</w:t>
      </w:r>
      <w:r w:rsidRPr="00827038">
        <w:rPr>
          <w:rStyle w:val="style81"/>
        </w:rPr>
        <w:t xml:space="preserve"> </w:t>
      </w:r>
      <w:r w:rsidR="00E26425">
        <w:rPr>
          <w:rStyle w:val="style81"/>
        </w:rPr>
        <w:t>Research</w:t>
      </w:r>
      <w:r w:rsidRPr="00827038">
        <w:rPr>
          <w:rStyle w:val="style81"/>
        </w:rPr>
        <w:t xml:space="preserve"> policy and procedure from the date of </w:t>
      </w:r>
      <w:r w:rsidR="0060311A">
        <w:rPr>
          <w:rStyle w:val="style81"/>
        </w:rPr>
        <w:t>this document until superseded.</w:t>
      </w:r>
    </w:p>
    <w:p w14:paraId="7A981F59" w14:textId="1D081B40" w:rsidR="00F43365" w:rsidRDefault="00F43365" w:rsidP="00A94376">
      <w:pPr>
        <w:ind w:left="720"/>
        <w:rPr>
          <w:rStyle w:val="style81"/>
        </w:rPr>
      </w:pPr>
    </w:p>
    <w:p w14:paraId="525BDF70" w14:textId="1F727F61" w:rsidR="00EA3D63" w:rsidRPr="00943417" w:rsidRDefault="00E26425" w:rsidP="00943417">
      <w:pPr>
        <w:ind w:left="720"/>
        <w:rPr>
          <w:rStyle w:val="style101"/>
          <w:sz w:val="24"/>
          <w:szCs w:val="24"/>
        </w:rPr>
      </w:pPr>
      <w:r>
        <w:rPr>
          <w:rStyle w:val="style81"/>
        </w:rPr>
        <w:t>Vice President for Research</w:t>
      </w:r>
      <w:r w:rsidR="0060311A">
        <w:rPr>
          <w:rStyle w:val="style81"/>
        </w:rPr>
        <w:t>; senior reviewer of this PPS</w:t>
      </w:r>
    </w:p>
    <w:p w14:paraId="2997BCC2" w14:textId="77777777" w:rsidR="00104B98" w:rsidRPr="00CB2071" w:rsidRDefault="00104B98" w:rsidP="00A94376">
      <w:pPr>
        <w:rPr>
          <w:sz w:val="14"/>
          <w:szCs w:val="14"/>
        </w:rPr>
      </w:pPr>
    </w:p>
    <w:sectPr w:rsidR="00104B98" w:rsidRPr="00CB2071" w:rsidSect="0052640B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9108C" w14:textId="77777777" w:rsidR="008D168B" w:rsidRDefault="008D168B" w:rsidP="0052640B">
      <w:r>
        <w:separator/>
      </w:r>
    </w:p>
  </w:endnote>
  <w:endnote w:type="continuationSeparator" w:id="0">
    <w:p w14:paraId="03B06FA6" w14:textId="77777777" w:rsidR="008D168B" w:rsidRDefault="008D168B" w:rsidP="00526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686F1" w14:textId="77777777" w:rsidR="008D168B" w:rsidRDefault="008D168B" w:rsidP="0052640B">
      <w:r>
        <w:separator/>
      </w:r>
    </w:p>
  </w:footnote>
  <w:footnote w:type="continuationSeparator" w:id="0">
    <w:p w14:paraId="08D893C2" w14:textId="77777777" w:rsidR="008D168B" w:rsidRDefault="008D168B" w:rsidP="00526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26269"/>
    <w:multiLevelType w:val="multilevel"/>
    <w:tmpl w:val="B39010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B76C7"/>
    <w:multiLevelType w:val="multilevel"/>
    <w:tmpl w:val="5FFA90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46D55"/>
    <w:multiLevelType w:val="multilevel"/>
    <w:tmpl w:val="B39010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5900FC"/>
    <w:multiLevelType w:val="multilevel"/>
    <w:tmpl w:val="E79CF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F902B9"/>
    <w:multiLevelType w:val="multilevel"/>
    <w:tmpl w:val="B39010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B0178D"/>
    <w:multiLevelType w:val="multilevel"/>
    <w:tmpl w:val="5FFA90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F66BB3"/>
    <w:multiLevelType w:val="multilevel"/>
    <w:tmpl w:val="B39010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034747"/>
    <w:multiLevelType w:val="multilevel"/>
    <w:tmpl w:val="E4D44E16"/>
    <w:lvl w:ilvl="0">
      <w:start w:val="1"/>
      <w:numFmt w:val="none"/>
      <w:lvlText w:val="9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8605B3"/>
    <w:multiLevelType w:val="multilevel"/>
    <w:tmpl w:val="ACF244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635066435">
    <w:abstractNumId w:val="3"/>
  </w:num>
  <w:num w:numId="2" w16cid:durableId="106044077">
    <w:abstractNumId w:val="8"/>
  </w:num>
  <w:num w:numId="3" w16cid:durableId="245919325">
    <w:abstractNumId w:val="5"/>
  </w:num>
  <w:num w:numId="4" w16cid:durableId="1159425787">
    <w:abstractNumId w:val="7"/>
  </w:num>
  <w:num w:numId="5" w16cid:durableId="1127551561">
    <w:abstractNumId w:val="1"/>
  </w:num>
  <w:num w:numId="6" w16cid:durableId="1063679271">
    <w:abstractNumId w:val="2"/>
  </w:num>
  <w:num w:numId="7" w16cid:durableId="50738757">
    <w:abstractNumId w:val="4"/>
  </w:num>
  <w:num w:numId="8" w16cid:durableId="1464620449">
    <w:abstractNumId w:val="0"/>
  </w:num>
  <w:num w:numId="9" w16cid:durableId="7876220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F87"/>
    <w:rsid w:val="00011DCD"/>
    <w:rsid w:val="00021B02"/>
    <w:rsid w:val="00030BE4"/>
    <w:rsid w:val="000320C0"/>
    <w:rsid w:val="00041227"/>
    <w:rsid w:val="000423FB"/>
    <w:rsid w:val="0004441A"/>
    <w:rsid w:val="00045B6A"/>
    <w:rsid w:val="0006404E"/>
    <w:rsid w:val="0008413E"/>
    <w:rsid w:val="000C2288"/>
    <w:rsid w:val="000D0996"/>
    <w:rsid w:val="000E6BE9"/>
    <w:rsid w:val="000E7E26"/>
    <w:rsid w:val="000F4FBE"/>
    <w:rsid w:val="00104B98"/>
    <w:rsid w:val="0011787E"/>
    <w:rsid w:val="001548D7"/>
    <w:rsid w:val="001749F7"/>
    <w:rsid w:val="001759EF"/>
    <w:rsid w:val="001855AD"/>
    <w:rsid w:val="001A127D"/>
    <w:rsid w:val="001B3190"/>
    <w:rsid w:val="001B4327"/>
    <w:rsid w:val="001B6BFE"/>
    <w:rsid w:val="001C0250"/>
    <w:rsid w:val="001E1A05"/>
    <w:rsid w:val="00205E00"/>
    <w:rsid w:val="00206ED1"/>
    <w:rsid w:val="002242CB"/>
    <w:rsid w:val="00226A99"/>
    <w:rsid w:val="00261259"/>
    <w:rsid w:val="00261F72"/>
    <w:rsid w:val="00280335"/>
    <w:rsid w:val="00281922"/>
    <w:rsid w:val="00292695"/>
    <w:rsid w:val="002A6ED0"/>
    <w:rsid w:val="002C5198"/>
    <w:rsid w:val="002D6148"/>
    <w:rsid w:val="002D74F9"/>
    <w:rsid w:val="002E0CAB"/>
    <w:rsid w:val="002E7A34"/>
    <w:rsid w:val="00305B89"/>
    <w:rsid w:val="00323F5A"/>
    <w:rsid w:val="00340217"/>
    <w:rsid w:val="0034350C"/>
    <w:rsid w:val="0037058F"/>
    <w:rsid w:val="003708D9"/>
    <w:rsid w:val="003806E1"/>
    <w:rsid w:val="003832D4"/>
    <w:rsid w:val="003A1038"/>
    <w:rsid w:val="003A1F43"/>
    <w:rsid w:val="003A2B98"/>
    <w:rsid w:val="003A44B4"/>
    <w:rsid w:val="003A52B4"/>
    <w:rsid w:val="003C7F03"/>
    <w:rsid w:val="003F7C94"/>
    <w:rsid w:val="00401A53"/>
    <w:rsid w:val="004226A6"/>
    <w:rsid w:val="004231E7"/>
    <w:rsid w:val="00427E9D"/>
    <w:rsid w:val="00455349"/>
    <w:rsid w:val="0046303A"/>
    <w:rsid w:val="00463E3D"/>
    <w:rsid w:val="0046776E"/>
    <w:rsid w:val="004733F5"/>
    <w:rsid w:val="0048378E"/>
    <w:rsid w:val="00494F61"/>
    <w:rsid w:val="00495E62"/>
    <w:rsid w:val="004B1A01"/>
    <w:rsid w:val="004B213D"/>
    <w:rsid w:val="004B3252"/>
    <w:rsid w:val="004C6326"/>
    <w:rsid w:val="004D6A56"/>
    <w:rsid w:val="00503D9D"/>
    <w:rsid w:val="00506254"/>
    <w:rsid w:val="00512263"/>
    <w:rsid w:val="0052640B"/>
    <w:rsid w:val="0053529A"/>
    <w:rsid w:val="00537B7D"/>
    <w:rsid w:val="00542EF7"/>
    <w:rsid w:val="00554B0C"/>
    <w:rsid w:val="00562597"/>
    <w:rsid w:val="005826C9"/>
    <w:rsid w:val="00583D51"/>
    <w:rsid w:val="005E183C"/>
    <w:rsid w:val="005F0576"/>
    <w:rsid w:val="005F4930"/>
    <w:rsid w:val="005F6F19"/>
    <w:rsid w:val="00600A61"/>
    <w:rsid w:val="00600F3C"/>
    <w:rsid w:val="0060311A"/>
    <w:rsid w:val="0061760E"/>
    <w:rsid w:val="006262F4"/>
    <w:rsid w:val="0063080B"/>
    <w:rsid w:val="0063138D"/>
    <w:rsid w:val="00646390"/>
    <w:rsid w:val="00691F94"/>
    <w:rsid w:val="006947EE"/>
    <w:rsid w:val="006C10F4"/>
    <w:rsid w:val="006D556E"/>
    <w:rsid w:val="006F0FAF"/>
    <w:rsid w:val="00700D86"/>
    <w:rsid w:val="00721B9C"/>
    <w:rsid w:val="00723AC3"/>
    <w:rsid w:val="00736774"/>
    <w:rsid w:val="00741EB5"/>
    <w:rsid w:val="007B51E9"/>
    <w:rsid w:val="007C5A51"/>
    <w:rsid w:val="007C7FBC"/>
    <w:rsid w:val="007F1857"/>
    <w:rsid w:val="007F2BA2"/>
    <w:rsid w:val="00813DC3"/>
    <w:rsid w:val="00823D77"/>
    <w:rsid w:val="00826FF8"/>
    <w:rsid w:val="00827038"/>
    <w:rsid w:val="00832B34"/>
    <w:rsid w:val="008400FC"/>
    <w:rsid w:val="00843DAD"/>
    <w:rsid w:val="00845205"/>
    <w:rsid w:val="00850887"/>
    <w:rsid w:val="0085182D"/>
    <w:rsid w:val="00862963"/>
    <w:rsid w:val="00876779"/>
    <w:rsid w:val="00885633"/>
    <w:rsid w:val="0089565B"/>
    <w:rsid w:val="0089750C"/>
    <w:rsid w:val="008A29E4"/>
    <w:rsid w:val="008C4ADF"/>
    <w:rsid w:val="008D168B"/>
    <w:rsid w:val="008D3BFE"/>
    <w:rsid w:val="008E6875"/>
    <w:rsid w:val="008F1D1F"/>
    <w:rsid w:val="008F5D40"/>
    <w:rsid w:val="00903D4F"/>
    <w:rsid w:val="00915FF1"/>
    <w:rsid w:val="00926D26"/>
    <w:rsid w:val="00933845"/>
    <w:rsid w:val="00942162"/>
    <w:rsid w:val="00943417"/>
    <w:rsid w:val="009627B4"/>
    <w:rsid w:val="0096497B"/>
    <w:rsid w:val="00972E95"/>
    <w:rsid w:val="00983E44"/>
    <w:rsid w:val="00985E40"/>
    <w:rsid w:val="00987F06"/>
    <w:rsid w:val="009B5F87"/>
    <w:rsid w:val="009C3EEE"/>
    <w:rsid w:val="009D4540"/>
    <w:rsid w:val="009D5361"/>
    <w:rsid w:val="009E5A4F"/>
    <w:rsid w:val="00A012F4"/>
    <w:rsid w:val="00A10590"/>
    <w:rsid w:val="00A119F0"/>
    <w:rsid w:val="00A25739"/>
    <w:rsid w:val="00A558B7"/>
    <w:rsid w:val="00A5651A"/>
    <w:rsid w:val="00A64961"/>
    <w:rsid w:val="00A81946"/>
    <w:rsid w:val="00A94376"/>
    <w:rsid w:val="00A9480B"/>
    <w:rsid w:val="00AA7511"/>
    <w:rsid w:val="00AC2665"/>
    <w:rsid w:val="00AD1453"/>
    <w:rsid w:val="00B02712"/>
    <w:rsid w:val="00B251A2"/>
    <w:rsid w:val="00B25738"/>
    <w:rsid w:val="00B361CD"/>
    <w:rsid w:val="00B6261C"/>
    <w:rsid w:val="00B83AF9"/>
    <w:rsid w:val="00B931BB"/>
    <w:rsid w:val="00BA4639"/>
    <w:rsid w:val="00BC640C"/>
    <w:rsid w:val="00BF3E1D"/>
    <w:rsid w:val="00C30BBD"/>
    <w:rsid w:val="00C72FBA"/>
    <w:rsid w:val="00C73D75"/>
    <w:rsid w:val="00C940EF"/>
    <w:rsid w:val="00CA54C5"/>
    <w:rsid w:val="00CB2071"/>
    <w:rsid w:val="00CB6090"/>
    <w:rsid w:val="00CB7A6F"/>
    <w:rsid w:val="00CD031B"/>
    <w:rsid w:val="00CE1147"/>
    <w:rsid w:val="00CE3AAE"/>
    <w:rsid w:val="00CE4243"/>
    <w:rsid w:val="00CF20B7"/>
    <w:rsid w:val="00D12BAB"/>
    <w:rsid w:val="00D40726"/>
    <w:rsid w:val="00D605E5"/>
    <w:rsid w:val="00D80ADA"/>
    <w:rsid w:val="00D84E5E"/>
    <w:rsid w:val="00D862E3"/>
    <w:rsid w:val="00D93828"/>
    <w:rsid w:val="00DB43E4"/>
    <w:rsid w:val="00DB52B0"/>
    <w:rsid w:val="00DE61FB"/>
    <w:rsid w:val="00DF30EA"/>
    <w:rsid w:val="00DF3666"/>
    <w:rsid w:val="00DF6C35"/>
    <w:rsid w:val="00E02E70"/>
    <w:rsid w:val="00E05759"/>
    <w:rsid w:val="00E13705"/>
    <w:rsid w:val="00E218C6"/>
    <w:rsid w:val="00E26425"/>
    <w:rsid w:val="00E420C8"/>
    <w:rsid w:val="00E61131"/>
    <w:rsid w:val="00E93147"/>
    <w:rsid w:val="00EA026A"/>
    <w:rsid w:val="00EA21E7"/>
    <w:rsid w:val="00EA3D63"/>
    <w:rsid w:val="00ED4517"/>
    <w:rsid w:val="00EE11D6"/>
    <w:rsid w:val="00EE2CC9"/>
    <w:rsid w:val="00F23B0B"/>
    <w:rsid w:val="00F37D29"/>
    <w:rsid w:val="00F43365"/>
    <w:rsid w:val="00F50585"/>
    <w:rsid w:val="00F67162"/>
    <w:rsid w:val="00F82CAC"/>
    <w:rsid w:val="00F96153"/>
    <w:rsid w:val="00F97A68"/>
    <w:rsid w:val="00FA1D59"/>
    <w:rsid w:val="00FB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99DCFA"/>
  <w15:chartTrackingRefBased/>
  <w15:docId w15:val="{AEF139F4-EABE-4114-B24B-5257E084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71">
    <w:name w:val="style71"/>
    <w:rsid w:val="009B5F87"/>
    <w:rPr>
      <w:rFonts w:ascii="Arial" w:hAnsi="Arial" w:cs="Arial" w:hint="default"/>
      <w:b/>
      <w:bCs/>
    </w:rPr>
  </w:style>
  <w:style w:type="character" w:customStyle="1" w:styleId="style81">
    <w:name w:val="style81"/>
    <w:rsid w:val="009B5F87"/>
    <w:rPr>
      <w:rFonts w:ascii="Arial" w:hAnsi="Arial" w:cs="Arial" w:hint="default"/>
    </w:rPr>
  </w:style>
  <w:style w:type="paragraph" w:styleId="NormalWeb">
    <w:name w:val="Normal (Web)"/>
    <w:basedOn w:val="Normal"/>
    <w:rsid w:val="009B5F87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9B5F87"/>
    <w:rPr>
      <w:b/>
      <w:bCs/>
    </w:rPr>
  </w:style>
  <w:style w:type="character" w:customStyle="1" w:styleId="style101">
    <w:name w:val="style101"/>
    <w:rsid w:val="009B5F87"/>
    <w:rPr>
      <w:rFonts w:ascii="Arial" w:hAnsi="Arial" w:cs="Arial" w:hint="default"/>
      <w:sz w:val="15"/>
      <w:szCs w:val="15"/>
    </w:rPr>
  </w:style>
  <w:style w:type="character" w:styleId="Hyperlink">
    <w:name w:val="Hyperlink"/>
    <w:rsid w:val="009B5F8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A10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A103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5182D"/>
    <w:rPr>
      <w:sz w:val="24"/>
      <w:szCs w:val="24"/>
    </w:rPr>
  </w:style>
  <w:style w:type="paragraph" w:styleId="DocumentMap">
    <w:name w:val="Document Map"/>
    <w:basedOn w:val="Normal"/>
    <w:link w:val="DocumentMapChar"/>
    <w:rsid w:val="007F2BA2"/>
  </w:style>
  <w:style w:type="character" w:customStyle="1" w:styleId="DocumentMapChar">
    <w:name w:val="Document Map Char"/>
    <w:basedOn w:val="DefaultParagraphFont"/>
    <w:link w:val="DocumentMap"/>
    <w:rsid w:val="007F2BA2"/>
    <w:rPr>
      <w:sz w:val="24"/>
      <w:szCs w:val="24"/>
    </w:rPr>
  </w:style>
  <w:style w:type="paragraph" w:styleId="Header">
    <w:name w:val="header"/>
    <w:basedOn w:val="Normal"/>
    <w:link w:val="HeaderChar"/>
    <w:rsid w:val="005264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2640B"/>
    <w:rPr>
      <w:sz w:val="24"/>
      <w:szCs w:val="24"/>
    </w:rPr>
  </w:style>
  <w:style w:type="paragraph" w:styleId="Footer">
    <w:name w:val="footer"/>
    <w:basedOn w:val="Normal"/>
    <w:link w:val="FooterChar"/>
    <w:rsid w:val="005264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2640B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B6BF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05759"/>
    <w:rPr>
      <w:i/>
      <w:iCs/>
    </w:rPr>
  </w:style>
  <w:style w:type="character" w:styleId="FollowedHyperlink">
    <w:name w:val="FollowedHyperlink"/>
    <w:basedOn w:val="DefaultParagraphFont"/>
    <w:rsid w:val="00C72F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acultyresources.provost.txst.edu/hiring-and-retention/hiring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</vt:lpstr>
    </vt:vector>
  </TitlesOfParts>
  <Company>Texas State University-San Marcos</Company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</dc:title>
  <dc:subject/>
  <dc:creator>Texas State User</dc:creator>
  <cp:keywords/>
  <cp:lastModifiedBy>Martinez, Iza N</cp:lastModifiedBy>
  <cp:revision>5</cp:revision>
  <cp:lastPrinted>2018-05-09T18:21:00Z</cp:lastPrinted>
  <dcterms:created xsi:type="dcterms:W3CDTF">2023-03-06T16:11:00Z</dcterms:created>
  <dcterms:modified xsi:type="dcterms:W3CDTF">2025-02-06T14:31:00Z</dcterms:modified>
</cp:coreProperties>
</file>