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12AC3" w14:textId="1E30016B" w:rsidR="004904B7" w:rsidRDefault="004904B7" w:rsidP="00073536">
      <w:pPr>
        <w:ind w:left="90"/>
        <w:rPr>
          <w:b/>
          <w:sz w:val="28"/>
          <w:szCs w:val="28"/>
        </w:rPr>
      </w:pPr>
      <w:r w:rsidRPr="004904B7">
        <w:rPr>
          <w:b/>
          <w:sz w:val="28"/>
          <w:szCs w:val="28"/>
        </w:rPr>
        <w:t>Performance Evaluation</w:t>
      </w:r>
      <w:r w:rsidR="00767016">
        <w:rPr>
          <w:b/>
          <w:sz w:val="28"/>
          <w:szCs w:val="28"/>
        </w:rPr>
        <w:t xml:space="preserve"> &amp; Merit</w:t>
      </w:r>
    </w:p>
    <w:p w14:paraId="64BC9A25" w14:textId="62CA1727" w:rsidR="00432C95" w:rsidRPr="00441089" w:rsidRDefault="00F41FB8" w:rsidP="00073536">
      <w:pPr>
        <w:ind w:left="90"/>
        <w:rPr>
          <w:bCs/>
        </w:rPr>
      </w:pPr>
      <w:r>
        <w:rPr>
          <w:b/>
          <w:sz w:val="28"/>
          <w:szCs w:val="28"/>
        </w:rPr>
        <w:br w:type="column"/>
      </w:r>
      <w:r w:rsidR="00073536">
        <w:rPr>
          <w:b/>
          <w:sz w:val="28"/>
          <w:szCs w:val="28"/>
        </w:rPr>
        <w:t xml:space="preserve"> </w:t>
      </w:r>
      <w:r w:rsidR="00D35B64">
        <w:rPr>
          <w:bCs/>
        </w:rPr>
        <w:t>MLS</w:t>
      </w:r>
      <w:r w:rsidR="00432C95" w:rsidRPr="00441089">
        <w:rPr>
          <w:bCs/>
        </w:rPr>
        <w:t xml:space="preserve">_PPS 04.02.10 </w:t>
      </w:r>
    </w:p>
    <w:p w14:paraId="3676F040" w14:textId="417231EC" w:rsidR="00366A43" w:rsidRDefault="00366A43" w:rsidP="009E1322">
      <w:pPr>
        <w:ind w:left="180"/>
        <w:rPr>
          <w:bCs/>
        </w:rPr>
      </w:pPr>
      <w:r w:rsidRPr="00441089">
        <w:rPr>
          <w:bCs/>
        </w:rPr>
        <w:t xml:space="preserve">Effective date: </w:t>
      </w:r>
      <w:r w:rsidR="005D4CD3">
        <w:rPr>
          <w:bCs/>
        </w:rPr>
        <w:t>5</w:t>
      </w:r>
      <w:r w:rsidRPr="00441089">
        <w:rPr>
          <w:bCs/>
        </w:rPr>
        <w:t>/1/20</w:t>
      </w:r>
      <w:r w:rsidR="006E24B7" w:rsidRPr="00441089">
        <w:rPr>
          <w:bCs/>
        </w:rPr>
        <w:t>2</w:t>
      </w:r>
      <w:r w:rsidR="00705C87" w:rsidRPr="00441089">
        <w:rPr>
          <w:bCs/>
        </w:rPr>
        <w:t>2</w:t>
      </w:r>
    </w:p>
    <w:p w14:paraId="54F20CD1" w14:textId="59021BC5" w:rsidR="005D4CD3" w:rsidRPr="00441089" w:rsidRDefault="005D4CD3" w:rsidP="009E1322">
      <w:pPr>
        <w:ind w:left="180"/>
        <w:rPr>
          <w:bCs/>
        </w:rPr>
      </w:pPr>
      <w:r>
        <w:rPr>
          <w:bCs/>
        </w:rPr>
        <w:t>Review Date: 4/2/2022</w:t>
      </w:r>
    </w:p>
    <w:p w14:paraId="5A0BB190" w14:textId="60D13A6B" w:rsidR="00F12BDA" w:rsidRPr="00441089" w:rsidRDefault="006E24B7" w:rsidP="009E1322">
      <w:pPr>
        <w:ind w:left="180"/>
        <w:rPr>
          <w:bCs/>
        </w:rPr>
      </w:pPr>
      <w:r w:rsidRPr="00441089">
        <w:rPr>
          <w:bCs/>
        </w:rPr>
        <w:t>Next Review</w:t>
      </w:r>
      <w:r w:rsidR="00F12BDA" w:rsidRPr="00441089">
        <w:rPr>
          <w:bCs/>
        </w:rPr>
        <w:t xml:space="preserve"> Date: </w:t>
      </w:r>
      <w:r w:rsidR="006A2E86">
        <w:rPr>
          <w:bCs/>
        </w:rPr>
        <w:t>4</w:t>
      </w:r>
      <w:r w:rsidR="00F12BDA" w:rsidRPr="00441089">
        <w:rPr>
          <w:bCs/>
        </w:rPr>
        <w:t>/</w:t>
      </w:r>
      <w:r w:rsidR="006A2E86">
        <w:rPr>
          <w:bCs/>
        </w:rPr>
        <w:t>2</w:t>
      </w:r>
      <w:r w:rsidRPr="00441089">
        <w:rPr>
          <w:bCs/>
        </w:rPr>
        <w:t>/</w:t>
      </w:r>
      <w:r w:rsidR="00F12BDA" w:rsidRPr="00441089">
        <w:rPr>
          <w:bCs/>
        </w:rPr>
        <w:t>202</w:t>
      </w:r>
      <w:r w:rsidR="0067239A" w:rsidRPr="00441089">
        <w:rPr>
          <w:bCs/>
        </w:rPr>
        <w:t>7</w:t>
      </w:r>
      <w:r w:rsidR="003A6BE5" w:rsidRPr="00441089">
        <w:rPr>
          <w:bCs/>
        </w:rPr>
        <w:t xml:space="preserve"> (E5Y)</w:t>
      </w:r>
    </w:p>
    <w:p w14:paraId="7F8ADA86" w14:textId="271852CD" w:rsidR="00EE30E4" w:rsidRPr="00441089" w:rsidRDefault="003A6BE5" w:rsidP="009E1322">
      <w:pPr>
        <w:ind w:left="180"/>
        <w:rPr>
          <w:bCs/>
        </w:rPr>
      </w:pPr>
      <w:r w:rsidRPr="00441089">
        <w:rPr>
          <w:bCs/>
        </w:rPr>
        <w:t xml:space="preserve">Sr. Reviewer: </w:t>
      </w:r>
      <w:r w:rsidR="00D35B64">
        <w:rPr>
          <w:bCs/>
        </w:rPr>
        <w:t>MLS</w:t>
      </w:r>
      <w:r w:rsidR="00772538" w:rsidRPr="00441089">
        <w:rPr>
          <w:bCs/>
        </w:rPr>
        <w:t xml:space="preserve"> Chair</w:t>
      </w:r>
    </w:p>
    <w:p w14:paraId="24BB617B" w14:textId="77777777" w:rsidR="005E6909" w:rsidRDefault="005E6909" w:rsidP="009E1322">
      <w:pPr>
        <w:ind w:left="90"/>
        <w:rPr>
          <w:b/>
          <w:sz w:val="20"/>
        </w:rPr>
        <w:sectPr w:rsidR="005E6909" w:rsidSect="00F41FB8">
          <w:pgSz w:w="12240" w:h="15840"/>
          <w:pgMar w:top="1360" w:right="1340" w:bottom="280" w:left="1340" w:header="720" w:footer="720" w:gutter="0"/>
          <w:cols w:num="2" w:space="180"/>
        </w:sectPr>
      </w:pPr>
    </w:p>
    <w:p w14:paraId="7EBC1259" w14:textId="1018DBF8" w:rsidR="005E6909" w:rsidRDefault="005E6909">
      <w:pPr>
        <w:ind w:left="100"/>
        <w:rPr>
          <w:b/>
          <w:sz w:val="20"/>
        </w:rPr>
      </w:pPr>
    </w:p>
    <w:p w14:paraId="0F7B888A" w14:textId="77777777" w:rsidR="00BF7ACB" w:rsidRDefault="00BF7ACB">
      <w:pPr>
        <w:pStyle w:val="BodyText"/>
        <w:spacing w:before="11"/>
        <w:rPr>
          <w:b/>
          <w:sz w:val="19"/>
        </w:rPr>
      </w:pPr>
    </w:p>
    <w:p w14:paraId="0F7B888B" w14:textId="73724D6A" w:rsidR="00BF7ACB" w:rsidRDefault="00DD7EF3" w:rsidP="00DD7EF3">
      <w:pPr>
        <w:pStyle w:val="Heading1"/>
        <w:spacing w:before="0" w:after="120"/>
        <w:ind w:left="450" w:right="20" w:hanging="450"/>
      </w:pPr>
      <w:r>
        <w:t xml:space="preserve">01.  </w:t>
      </w:r>
      <w:r w:rsidR="00825E6F">
        <w:t>POLICY</w:t>
      </w:r>
      <w:r w:rsidR="0067239A">
        <w:t xml:space="preserve"> Statement</w:t>
      </w:r>
      <w:r w:rsidR="002F3453">
        <w:t>.</w:t>
      </w:r>
      <w:r w:rsidR="00825E6F">
        <w:t xml:space="preserve"> </w:t>
      </w:r>
      <w:r w:rsidR="00720F2A" w:rsidRPr="00720F2A">
        <w:rPr>
          <w:b w:val="0"/>
          <w:bCs w:val="0"/>
        </w:rPr>
        <w:t xml:space="preserve">The </w:t>
      </w:r>
      <w:r w:rsidR="00D35B64">
        <w:rPr>
          <w:b w:val="0"/>
          <w:bCs w:val="0"/>
        </w:rPr>
        <w:t>Med</w:t>
      </w:r>
      <w:r w:rsidR="00720F2A" w:rsidRPr="00720F2A">
        <w:rPr>
          <w:b w:val="0"/>
          <w:bCs w:val="0"/>
        </w:rPr>
        <w:t>ical Laboratory Science (</w:t>
      </w:r>
      <w:r w:rsidR="00D35B64">
        <w:rPr>
          <w:b w:val="0"/>
          <w:bCs w:val="0"/>
        </w:rPr>
        <w:t>MLS</w:t>
      </w:r>
      <w:r w:rsidR="00720F2A" w:rsidRPr="00720F2A">
        <w:rPr>
          <w:b w:val="0"/>
          <w:bCs w:val="0"/>
        </w:rPr>
        <w:t xml:space="preserve">) Program </w:t>
      </w:r>
      <w:r w:rsidR="002F3453">
        <w:rPr>
          <w:b w:val="0"/>
          <w:bCs w:val="0"/>
        </w:rPr>
        <w:t xml:space="preserve">is committed to </w:t>
      </w:r>
      <w:r w:rsidR="00B83F64">
        <w:rPr>
          <w:b w:val="0"/>
          <w:bCs w:val="0"/>
        </w:rPr>
        <w:t xml:space="preserve">providing fair evaluations on individual performance, and </w:t>
      </w:r>
      <w:r w:rsidR="00C27CBE">
        <w:rPr>
          <w:b w:val="0"/>
          <w:bCs w:val="0"/>
        </w:rPr>
        <w:t>we will</w:t>
      </w:r>
      <w:r w:rsidR="00B83F64">
        <w:rPr>
          <w:b w:val="0"/>
          <w:bCs w:val="0"/>
        </w:rPr>
        <w:t xml:space="preserve"> tie </w:t>
      </w:r>
      <w:r w:rsidR="00C27CBE">
        <w:rPr>
          <w:b w:val="0"/>
          <w:bCs w:val="0"/>
        </w:rPr>
        <w:t>annual</w:t>
      </w:r>
      <w:r w:rsidR="00B83F64">
        <w:rPr>
          <w:b w:val="0"/>
          <w:bCs w:val="0"/>
        </w:rPr>
        <w:t xml:space="preserve"> evaluation to merit awards.</w:t>
      </w:r>
    </w:p>
    <w:p w14:paraId="75E6E5D1" w14:textId="7F84BE94" w:rsidR="00434CC7" w:rsidRDefault="004C472E" w:rsidP="007B2F13">
      <w:pPr>
        <w:pStyle w:val="Heading1"/>
        <w:tabs>
          <w:tab w:val="left" w:pos="1170"/>
        </w:tabs>
        <w:spacing w:before="0" w:after="120"/>
        <w:ind w:left="1080" w:right="20" w:hanging="720"/>
        <w:rPr>
          <w:b w:val="0"/>
          <w:bCs w:val="0"/>
        </w:rPr>
      </w:pPr>
      <w:r>
        <w:rPr>
          <w:b w:val="0"/>
          <w:bCs w:val="0"/>
        </w:rPr>
        <w:t xml:space="preserve">01.01   </w:t>
      </w:r>
      <w:r w:rsidR="00C70CAF" w:rsidRPr="0017497B">
        <w:rPr>
          <w:b w:val="0"/>
          <w:bCs w:val="0"/>
        </w:rPr>
        <w:t xml:space="preserve">See </w:t>
      </w:r>
      <w:hyperlink r:id="rId5" w:history="1">
        <w:r w:rsidR="0017497B" w:rsidRPr="00AB4657">
          <w:rPr>
            <w:rStyle w:val="Hyperlink"/>
            <w:b w:val="0"/>
            <w:bCs w:val="0"/>
          </w:rPr>
          <w:t>AA/PPS 04.02.</w:t>
        </w:r>
        <w:r w:rsidR="000B056B" w:rsidRPr="00AB4657">
          <w:rPr>
            <w:rStyle w:val="Hyperlink"/>
            <w:b w:val="0"/>
            <w:bCs w:val="0"/>
          </w:rPr>
          <w:t>01 (8.01)</w:t>
        </w:r>
      </w:hyperlink>
      <w:r w:rsidR="000B056B">
        <w:rPr>
          <w:b w:val="0"/>
          <w:bCs w:val="0"/>
        </w:rPr>
        <w:t xml:space="preserve"> Development/Evaluation of Tenure-Track Faculty, </w:t>
      </w:r>
      <w:r w:rsidR="00DE5A22">
        <w:rPr>
          <w:b w:val="0"/>
          <w:bCs w:val="0"/>
        </w:rPr>
        <w:t xml:space="preserve">, </w:t>
      </w:r>
      <w:hyperlink r:id="rId6" w:history="1">
        <w:r w:rsidR="00DE5A22" w:rsidRPr="003226E1">
          <w:rPr>
            <w:rStyle w:val="Hyperlink"/>
            <w:b w:val="0"/>
            <w:bCs w:val="0"/>
          </w:rPr>
          <w:t xml:space="preserve">AA/PPS </w:t>
        </w:r>
        <w:r w:rsidR="00B200BC" w:rsidRPr="003226E1">
          <w:rPr>
            <w:rStyle w:val="Hyperlink"/>
            <w:b w:val="0"/>
            <w:bCs w:val="0"/>
          </w:rPr>
          <w:t>04.02.</w:t>
        </w:r>
        <w:r w:rsidR="0017497B" w:rsidRPr="003226E1">
          <w:rPr>
            <w:rStyle w:val="Hyperlink"/>
            <w:b w:val="0"/>
            <w:bCs w:val="0"/>
          </w:rPr>
          <w:t>10 (8.09)</w:t>
        </w:r>
      </w:hyperlink>
      <w:r w:rsidR="00B200BC">
        <w:rPr>
          <w:b w:val="0"/>
          <w:bCs w:val="0"/>
        </w:rPr>
        <w:t xml:space="preserve"> Performance Evaluation of Continuing Faculty and Post-Tenure Review, </w:t>
      </w:r>
      <w:hyperlink r:id="rId7" w:history="1">
        <w:r w:rsidR="00B200BC" w:rsidRPr="003226E1">
          <w:rPr>
            <w:rStyle w:val="Hyperlink"/>
            <w:b w:val="0"/>
            <w:bCs w:val="0"/>
          </w:rPr>
          <w:t>AA/PPS 04.02.11 (8.11)</w:t>
        </w:r>
      </w:hyperlink>
      <w:r w:rsidR="00B200BC">
        <w:rPr>
          <w:b w:val="0"/>
          <w:bCs w:val="0"/>
        </w:rPr>
        <w:t xml:space="preserve"> Performance Evaluation of Non-Continuing Faculty and Post-Tenure Review,</w:t>
      </w:r>
      <w:r w:rsidR="0017497B" w:rsidRPr="0017497B">
        <w:rPr>
          <w:b w:val="0"/>
          <w:bCs w:val="0"/>
        </w:rPr>
        <w:t xml:space="preserve"> </w:t>
      </w:r>
      <w:r w:rsidR="00B722BA">
        <w:rPr>
          <w:b w:val="0"/>
          <w:bCs w:val="0"/>
        </w:rPr>
        <w:t xml:space="preserve">and </w:t>
      </w:r>
      <w:hyperlink r:id="rId8" w:history="1">
        <w:r w:rsidR="001E7721" w:rsidRPr="00724A8F">
          <w:rPr>
            <w:rStyle w:val="Hyperlink"/>
            <w:b w:val="0"/>
            <w:bCs w:val="0"/>
          </w:rPr>
          <w:t>CHP 04.02.20</w:t>
        </w:r>
      </w:hyperlink>
      <w:r w:rsidR="001E7721">
        <w:rPr>
          <w:b w:val="0"/>
          <w:bCs w:val="0"/>
        </w:rPr>
        <w:t xml:space="preserve"> </w:t>
      </w:r>
      <w:r w:rsidR="0017497B" w:rsidRPr="0017497B">
        <w:rPr>
          <w:b w:val="0"/>
          <w:bCs w:val="0"/>
        </w:rPr>
        <w:t>for listing of standards</w:t>
      </w:r>
      <w:r w:rsidR="006F208B">
        <w:rPr>
          <w:b w:val="0"/>
          <w:bCs w:val="0"/>
        </w:rPr>
        <w:t xml:space="preserve"> related to annual performance evaluation</w:t>
      </w:r>
      <w:r w:rsidR="002A15B3">
        <w:rPr>
          <w:b w:val="0"/>
          <w:bCs w:val="0"/>
        </w:rPr>
        <w:t xml:space="preserve">. </w:t>
      </w:r>
      <w:r w:rsidR="000B5127" w:rsidRPr="000B5127">
        <w:rPr>
          <w:b w:val="0"/>
          <w:bCs w:val="0"/>
        </w:rPr>
        <w:t>This PPS addresses all lines of faculty</w:t>
      </w:r>
      <w:r w:rsidR="00877DC3">
        <w:rPr>
          <w:b w:val="0"/>
          <w:bCs w:val="0"/>
        </w:rPr>
        <w:t xml:space="preserve"> for </w:t>
      </w:r>
      <w:r w:rsidR="00D35B64">
        <w:rPr>
          <w:b w:val="0"/>
          <w:bCs w:val="0"/>
        </w:rPr>
        <w:t>MLS</w:t>
      </w:r>
      <w:r w:rsidR="00772538">
        <w:rPr>
          <w:b w:val="0"/>
          <w:bCs w:val="0"/>
        </w:rPr>
        <w:t xml:space="preserve"> Program</w:t>
      </w:r>
    </w:p>
    <w:p w14:paraId="4B7815D3" w14:textId="4947EB98" w:rsidR="008705A0" w:rsidRDefault="004C472E" w:rsidP="004C472E">
      <w:pPr>
        <w:pStyle w:val="Heading1"/>
        <w:tabs>
          <w:tab w:val="left" w:pos="1170"/>
        </w:tabs>
        <w:spacing w:before="0" w:after="120"/>
        <w:ind w:left="1080" w:right="20" w:hanging="720"/>
        <w:rPr>
          <w:b w:val="0"/>
          <w:bCs w:val="0"/>
        </w:rPr>
      </w:pPr>
      <w:r>
        <w:rPr>
          <w:b w:val="0"/>
          <w:bCs w:val="0"/>
        </w:rPr>
        <w:t xml:space="preserve">01.02   </w:t>
      </w:r>
      <w:r w:rsidR="008705A0">
        <w:rPr>
          <w:b w:val="0"/>
          <w:bCs w:val="0"/>
        </w:rPr>
        <w:t xml:space="preserve">See </w:t>
      </w:r>
      <w:hyperlink r:id="rId9" w:history="1">
        <w:r w:rsidR="008705A0" w:rsidRPr="004553B5">
          <w:rPr>
            <w:rStyle w:val="Hyperlink"/>
            <w:b w:val="0"/>
            <w:bCs w:val="0"/>
          </w:rPr>
          <w:t>AA/PPS 04.02.20</w:t>
        </w:r>
      </w:hyperlink>
      <w:r w:rsidR="00EA19CC">
        <w:rPr>
          <w:b w:val="0"/>
          <w:bCs w:val="0"/>
        </w:rPr>
        <w:t xml:space="preserve"> </w:t>
      </w:r>
      <w:r w:rsidR="004D1A9E">
        <w:rPr>
          <w:b w:val="0"/>
          <w:bCs w:val="0"/>
        </w:rPr>
        <w:t xml:space="preserve">and </w:t>
      </w:r>
      <w:hyperlink r:id="rId10" w:history="1">
        <w:r w:rsidR="004D1A9E" w:rsidRPr="00FD6C25">
          <w:rPr>
            <w:rStyle w:val="Hyperlink"/>
            <w:b w:val="0"/>
            <w:bCs w:val="0"/>
          </w:rPr>
          <w:t>CHP 04.02.20</w:t>
        </w:r>
      </w:hyperlink>
      <w:r w:rsidR="00095F55">
        <w:rPr>
          <w:b w:val="0"/>
          <w:bCs w:val="0"/>
        </w:rPr>
        <w:t xml:space="preserve"> </w:t>
      </w:r>
      <w:r w:rsidR="00EA19CC">
        <w:rPr>
          <w:b w:val="0"/>
          <w:bCs w:val="0"/>
        </w:rPr>
        <w:t>for listing of standards for Tenure and Promotion Review.</w:t>
      </w:r>
    </w:p>
    <w:p w14:paraId="7686B0F0" w14:textId="3D78A5CF" w:rsidR="00434401" w:rsidRDefault="004C472E" w:rsidP="004C472E">
      <w:pPr>
        <w:pStyle w:val="Heading1"/>
        <w:tabs>
          <w:tab w:val="left" w:pos="1170"/>
        </w:tabs>
        <w:spacing w:before="0" w:after="120"/>
        <w:ind w:left="1080" w:right="20" w:hanging="720"/>
        <w:rPr>
          <w:b w:val="0"/>
          <w:bCs w:val="0"/>
        </w:rPr>
      </w:pPr>
      <w:r>
        <w:rPr>
          <w:b w:val="0"/>
          <w:bCs w:val="0"/>
        </w:rPr>
        <w:t xml:space="preserve">01.03   </w:t>
      </w:r>
      <w:r w:rsidR="00434401">
        <w:rPr>
          <w:b w:val="0"/>
          <w:bCs w:val="0"/>
        </w:rPr>
        <w:t xml:space="preserve">See </w:t>
      </w:r>
      <w:hyperlink r:id="rId11" w:history="1">
        <w:r w:rsidR="00E14256" w:rsidRPr="00E14256">
          <w:rPr>
            <w:rStyle w:val="Hyperlink"/>
            <w:b w:val="0"/>
            <w:bCs w:val="0"/>
          </w:rPr>
          <w:t>AA/PPS 04.01.50 (7.10)</w:t>
        </w:r>
      </w:hyperlink>
      <w:r w:rsidR="00E14256" w:rsidRPr="00D95B5D">
        <w:rPr>
          <w:b w:val="0"/>
          <w:bCs w:val="0"/>
        </w:rPr>
        <w:t xml:space="preserve"> </w:t>
      </w:r>
      <w:r w:rsidR="00D95B5D" w:rsidRPr="00D95B5D">
        <w:rPr>
          <w:b w:val="0"/>
          <w:bCs w:val="0"/>
        </w:rPr>
        <w:t xml:space="preserve">and </w:t>
      </w:r>
      <w:hyperlink r:id="rId12" w:history="1">
        <w:r w:rsidR="00D95B5D" w:rsidRPr="00093325">
          <w:rPr>
            <w:rStyle w:val="Hyperlink"/>
            <w:b w:val="0"/>
            <w:bCs w:val="0"/>
          </w:rPr>
          <w:t xml:space="preserve">CHP 04.01.50 </w:t>
        </w:r>
      </w:hyperlink>
      <w:r w:rsidR="00E14256" w:rsidRPr="00E14256">
        <w:rPr>
          <w:b w:val="0"/>
          <w:bCs w:val="0"/>
        </w:rPr>
        <w:t>Procedures for Awarding Merit and Performance Raises to Texas State Faculty</w:t>
      </w:r>
      <w:r w:rsidR="00E14256" w:rsidRPr="00E14256">
        <w:rPr>
          <w:b w:val="0"/>
          <w:bCs w:val="0"/>
          <w:spacing w:val="-6"/>
        </w:rPr>
        <w:t xml:space="preserve"> </w:t>
      </w:r>
      <w:r w:rsidR="00E14256" w:rsidRPr="00E14256">
        <w:rPr>
          <w:b w:val="0"/>
          <w:bCs w:val="0"/>
        </w:rPr>
        <w:t>Members</w:t>
      </w:r>
      <w:r w:rsidR="00171D98">
        <w:rPr>
          <w:b w:val="0"/>
          <w:bCs w:val="0"/>
        </w:rPr>
        <w:t>.</w:t>
      </w:r>
    </w:p>
    <w:p w14:paraId="54AD0929" w14:textId="10A80889" w:rsidR="006F5A5D" w:rsidRDefault="004C472E" w:rsidP="004C472E">
      <w:pPr>
        <w:pStyle w:val="Heading1"/>
        <w:tabs>
          <w:tab w:val="left" w:pos="1170"/>
        </w:tabs>
        <w:spacing w:before="0" w:after="120"/>
        <w:ind w:left="1080" w:right="20" w:hanging="720"/>
        <w:rPr>
          <w:b w:val="0"/>
          <w:bCs w:val="0"/>
        </w:rPr>
      </w:pPr>
      <w:r>
        <w:rPr>
          <w:b w:val="0"/>
          <w:bCs w:val="0"/>
        </w:rPr>
        <w:t xml:space="preserve">01.04   </w:t>
      </w:r>
      <w:r w:rsidR="006F5A5D">
        <w:rPr>
          <w:b w:val="0"/>
          <w:bCs w:val="0"/>
        </w:rPr>
        <w:t xml:space="preserve">This policy and procedures </w:t>
      </w:r>
      <w:r w:rsidR="00681A20">
        <w:rPr>
          <w:b w:val="0"/>
          <w:bCs w:val="0"/>
        </w:rPr>
        <w:t>statement intends to outline fair and unbiased evaluation of the performance of all faculty based on</w:t>
      </w:r>
      <w:r w:rsidR="00F601E0">
        <w:rPr>
          <w:b w:val="0"/>
          <w:bCs w:val="0"/>
        </w:rPr>
        <w:t xml:space="preserve"> expectations of the university and of our </w:t>
      </w:r>
      <w:r w:rsidR="00D35B64">
        <w:rPr>
          <w:b w:val="0"/>
          <w:bCs w:val="0"/>
        </w:rPr>
        <w:t>MLS</w:t>
      </w:r>
      <w:r w:rsidR="00772538">
        <w:rPr>
          <w:b w:val="0"/>
          <w:bCs w:val="0"/>
        </w:rPr>
        <w:t xml:space="preserve"> Program policies</w:t>
      </w:r>
      <w:r w:rsidR="00F601E0">
        <w:rPr>
          <w:b w:val="0"/>
          <w:bCs w:val="0"/>
        </w:rPr>
        <w:t xml:space="preserve"> in the areas of teaching, service, scholarly activity, and collegiality. </w:t>
      </w:r>
    </w:p>
    <w:p w14:paraId="36CBD08D" w14:textId="108737F7" w:rsidR="00DE7EA9" w:rsidRDefault="004C472E" w:rsidP="004C472E">
      <w:pPr>
        <w:pStyle w:val="Heading1"/>
        <w:spacing w:before="0" w:after="120"/>
        <w:ind w:left="0" w:right="3269"/>
      </w:pPr>
      <w:r>
        <w:t xml:space="preserve">02.  </w:t>
      </w:r>
      <w:r w:rsidR="00DE3F8D">
        <w:t>DEFINITIONS</w:t>
      </w:r>
    </w:p>
    <w:p w14:paraId="015F3D91" w14:textId="7E28A069" w:rsidR="00DE7EA9" w:rsidRDefault="004C472E" w:rsidP="004C472E">
      <w:pPr>
        <w:pStyle w:val="Heading1"/>
        <w:tabs>
          <w:tab w:val="left" w:pos="1170"/>
        </w:tabs>
        <w:spacing w:before="0" w:after="120"/>
        <w:ind w:left="1080" w:right="20" w:hanging="720"/>
        <w:rPr>
          <w:b w:val="0"/>
          <w:bCs w:val="0"/>
        </w:rPr>
      </w:pPr>
      <w:r>
        <w:rPr>
          <w:b w:val="0"/>
          <w:bCs w:val="0"/>
        </w:rPr>
        <w:t xml:space="preserve">02.01   </w:t>
      </w:r>
      <w:r w:rsidR="00061F9B">
        <w:rPr>
          <w:b w:val="0"/>
          <w:bCs w:val="0"/>
        </w:rPr>
        <w:t xml:space="preserve">No unique definitions exist for </w:t>
      </w:r>
      <w:r w:rsidR="00D35B64">
        <w:rPr>
          <w:b w:val="0"/>
          <w:bCs w:val="0"/>
        </w:rPr>
        <w:t>MLS</w:t>
      </w:r>
      <w:r w:rsidR="00061F9B">
        <w:rPr>
          <w:b w:val="0"/>
          <w:bCs w:val="0"/>
        </w:rPr>
        <w:t xml:space="preserve"> outside what is already defined by the University and College of Health Professions.</w:t>
      </w:r>
    </w:p>
    <w:p w14:paraId="4802DB8B" w14:textId="22A38916" w:rsidR="003F5562" w:rsidRDefault="004C472E" w:rsidP="004C472E">
      <w:pPr>
        <w:pStyle w:val="Heading1"/>
        <w:tabs>
          <w:tab w:val="left" w:pos="1170"/>
        </w:tabs>
        <w:spacing w:before="0" w:after="120"/>
        <w:ind w:left="1080" w:right="14" w:hanging="720"/>
        <w:rPr>
          <w:b w:val="0"/>
          <w:bCs w:val="0"/>
        </w:rPr>
      </w:pPr>
      <w:r>
        <w:rPr>
          <w:b w:val="0"/>
          <w:bCs w:val="0"/>
        </w:rPr>
        <w:t xml:space="preserve">02.02   </w:t>
      </w:r>
      <w:r w:rsidR="00001662">
        <w:rPr>
          <w:b w:val="0"/>
          <w:bCs w:val="0"/>
        </w:rPr>
        <w:t xml:space="preserve">Outside of responsibilities </w:t>
      </w:r>
      <w:r w:rsidR="00477AF1">
        <w:rPr>
          <w:b w:val="0"/>
          <w:bCs w:val="0"/>
        </w:rPr>
        <w:t xml:space="preserve">incident to employment at Texas State University, </w:t>
      </w:r>
      <w:r w:rsidR="00D35B64">
        <w:rPr>
          <w:b w:val="0"/>
          <w:bCs w:val="0"/>
        </w:rPr>
        <w:t>MLS</w:t>
      </w:r>
      <w:r w:rsidR="006C479D">
        <w:rPr>
          <w:b w:val="0"/>
          <w:bCs w:val="0"/>
        </w:rPr>
        <w:t xml:space="preserve"> Program </w:t>
      </w:r>
      <w:r w:rsidR="003F5562">
        <w:rPr>
          <w:b w:val="0"/>
          <w:bCs w:val="0"/>
        </w:rPr>
        <w:t xml:space="preserve">fully supports </w:t>
      </w:r>
      <w:r w:rsidR="004B2490">
        <w:rPr>
          <w:b w:val="0"/>
          <w:bCs w:val="0"/>
        </w:rPr>
        <w:t xml:space="preserve">professional development activities, </w:t>
      </w:r>
      <w:r w:rsidR="00001662">
        <w:rPr>
          <w:b w:val="0"/>
          <w:bCs w:val="0"/>
        </w:rPr>
        <w:t xml:space="preserve">professional and community </w:t>
      </w:r>
      <w:r w:rsidR="004B2490">
        <w:rPr>
          <w:b w:val="0"/>
          <w:bCs w:val="0"/>
        </w:rPr>
        <w:t xml:space="preserve">service obligations, and external employment that do not present a conflict of interest or conflict of commitment. </w:t>
      </w:r>
    </w:p>
    <w:p w14:paraId="4D28599E" w14:textId="242845E8" w:rsidR="00477AF1" w:rsidRDefault="004C472E" w:rsidP="004C472E">
      <w:pPr>
        <w:pStyle w:val="Heading1"/>
        <w:spacing w:before="0" w:after="120"/>
        <w:ind w:left="0" w:right="20"/>
      </w:pPr>
      <w:r>
        <w:t xml:space="preserve">03.  </w:t>
      </w:r>
      <w:r w:rsidR="00DE3F8D">
        <w:t xml:space="preserve">DEPARTMENTAL </w:t>
      </w:r>
      <w:r w:rsidR="0038032C">
        <w:t>PROCEDURE</w:t>
      </w:r>
      <w:r w:rsidR="008B7C8F">
        <w:t xml:space="preserve"> (PERFORMANCE EVALUATION)</w:t>
      </w:r>
    </w:p>
    <w:p w14:paraId="76EFF1DE" w14:textId="1FDFC79C" w:rsidR="00AE15B2" w:rsidRDefault="004C472E" w:rsidP="004C472E">
      <w:pPr>
        <w:pStyle w:val="Heading1"/>
        <w:tabs>
          <w:tab w:val="left" w:pos="1170"/>
        </w:tabs>
        <w:spacing w:before="0" w:after="120"/>
        <w:ind w:left="360" w:right="20"/>
        <w:rPr>
          <w:b w:val="0"/>
          <w:bCs w:val="0"/>
        </w:rPr>
      </w:pPr>
      <w:r>
        <w:rPr>
          <w:b w:val="0"/>
          <w:bCs w:val="0"/>
        </w:rPr>
        <w:t xml:space="preserve">03.01   </w:t>
      </w:r>
      <w:r w:rsidR="00465211">
        <w:rPr>
          <w:b w:val="0"/>
          <w:bCs w:val="0"/>
        </w:rPr>
        <w:t>In February of each year, the Personnel Committee wi</w:t>
      </w:r>
      <w:r w:rsidR="00720F2A">
        <w:rPr>
          <w:b w:val="0"/>
          <w:bCs w:val="0"/>
        </w:rPr>
        <w:t>ll</w:t>
      </w:r>
      <w:r w:rsidR="00465211">
        <w:rPr>
          <w:b w:val="0"/>
          <w:bCs w:val="0"/>
        </w:rPr>
        <w:t xml:space="preserve"> perform a performance evaluation of each faculty member, regardless of </w:t>
      </w:r>
      <w:r w:rsidR="002B6085">
        <w:rPr>
          <w:b w:val="0"/>
          <w:bCs w:val="0"/>
        </w:rPr>
        <w:t xml:space="preserve">type of </w:t>
      </w:r>
      <w:r w:rsidR="00465211">
        <w:rPr>
          <w:b w:val="0"/>
          <w:bCs w:val="0"/>
        </w:rPr>
        <w:t>appointment</w:t>
      </w:r>
      <w:r w:rsidR="00B2373F">
        <w:rPr>
          <w:b w:val="0"/>
          <w:bCs w:val="0"/>
        </w:rPr>
        <w:t>, for the previous calendar year (January – December)</w:t>
      </w:r>
      <w:r w:rsidR="00465211">
        <w:rPr>
          <w:b w:val="0"/>
          <w:bCs w:val="0"/>
        </w:rPr>
        <w:t>.</w:t>
      </w:r>
      <w:r w:rsidR="00BC70E9">
        <w:rPr>
          <w:b w:val="0"/>
          <w:bCs w:val="0"/>
        </w:rPr>
        <w:t xml:space="preserve"> </w:t>
      </w:r>
      <w:r w:rsidR="004A4C0E">
        <w:rPr>
          <w:b w:val="0"/>
          <w:bCs w:val="0"/>
        </w:rPr>
        <w:t>Comments and observations from the performance evaluation may be used in the awarding of merit.</w:t>
      </w:r>
      <w:r w:rsidR="00EB78EF">
        <w:rPr>
          <w:b w:val="0"/>
          <w:bCs w:val="0"/>
        </w:rPr>
        <w:t xml:space="preserve"> Comments from the Annual Evaluation may also be used in the reappointment process for tenure-track faculty.</w:t>
      </w:r>
    </w:p>
    <w:p w14:paraId="7D6077CB" w14:textId="7833E028" w:rsidR="0026290E" w:rsidRDefault="004C472E" w:rsidP="004C472E">
      <w:pPr>
        <w:pStyle w:val="Heading1"/>
        <w:tabs>
          <w:tab w:val="left" w:pos="1170"/>
        </w:tabs>
        <w:spacing w:before="0" w:after="120"/>
        <w:ind w:left="360" w:right="20"/>
        <w:rPr>
          <w:b w:val="0"/>
          <w:bCs w:val="0"/>
        </w:rPr>
      </w:pPr>
      <w:r>
        <w:rPr>
          <w:b w:val="0"/>
          <w:bCs w:val="0"/>
        </w:rPr>
        <w:t>03.0</w:t>
      </w:r>
      <w:r w:rsidR="006F1C06">
        <w:rPr>
          <w:b w:val="0"/>
          <w:bCs w:val="0"/>
        </w:rPr>
        <w:t>2</w:t>
      </w:r>
      <w:r>
        <w:rPr>
          <w:b w:val="0"/>
          <w:bCs w:val="0"/>
        </w:rPr>
        <w:t xml:space="preserve">   </w:t>
      </w:r>
      <w:r w:rsidR="00D35B64">
        <w:rPr>
          <w:b w:val="0"/>
          <w:bCs w:val="0"/>
        </w:rPr>
        <w:t>MLS</w:t>
      </w:r>
      <w:r w:rsidR="0026290E">
        <w:rPr>
          <w:b w:val="0"/>
          <w:bCs w:val="0"/>
        </w:rPr>
        <w:t xml:space="preserve"> faculty should update information in Faculty Qualifications</w:t>
      </w:r>
      <w:r w:rsidR="007974D7">
        <w:rPr>
          <w:b w:val="0"/>
          <w:bCs w:val="0"/>
        </w:rPr>
        <w:t xml:space="preserve"> [digital measures]</w:t>
      </w:r>
      <w:r w:rsidR="0026290E">
        <w:rPr>
          <w:b w:val="0"/>
          <w:bCs w:val="0"/>
        </w:rPr>
        <w:t xml:space="preserve"> by </w:t>
      </w:r>
      <w:r w:rsidR="00595598">
        <w:rPr>
          <w:b w:val="0"/>
          <w:bCs w:val="0"/>
        </w:rPr>
        <w:t>January</w:t>
      </w:r>
      <w:r w:rsidR="0026290E">
        <w:rPr>
          <w:b w:val="0"/>
          <w:bCs w:val="0"/>
        </w:rPr>
        <w:t xml:space="preserve"> 31</w:t>
      </w:r>
      <w:r w:rsidR="0026290E" w:rsidRPr="0026290E">
        <w:rPr>
          <w:b w:val="0"/>
          <w:bCs w:val="0"/>
          <w:vertAlign w:val="superscript"/>
        </w:rPr>
        <w:t>st</w:t>
      </w:r>
      <w:r w:rsidR="00595598">
        <w:rPr>
          <w:b w:val="0"/>
          <w:bCs w:val="0"/>
        </w:rPr>
        <w:t xml:space="preserve"> (including Texas State Vita, Summary Form for Annual Performance Evaluation, plus supporting documentation.</w:t>
      </w:r>
    </w:p>
    <w:p w14:paraId="1748F406" w14:textId="0CF2C5AC" w:rsidR="00DE3F8D" w:rsidRDefault="004C472E" w:rsidP="004C472E">
      <w:pPr>
        <w:pStyle w:val="Heading1"/>
        <w:tabs>
          <w:tab w:val="left" w:pos="1170"/>
        </w:tabs>
        <w:spacing w:before="0" w:after="120"/>
        <w:ind w:left="360" w:right="20"/>
        <w:rPr>
          <w:b w:val="0"/>
          <w:bCs w:val="0"/>
        </w:rPr>
      </w:pPr>
      <w:r>
        <w:rPr>
          <w:b w:val="0"/>
          <w:bCs w:val="0"/>
        </w:rPr>
        <w:t>03.0</w:t>
      </w:r>
      <w:r w:rsidR="006F1C06">
        <w:rPr>
          <w:b w:val="0"/>
          <w:bCs w:val="0"/>
        </w:rPr>
        <w:t xml:space="preserve">3   </w:t>
      </w:r>
      <w:r w:rsidR="002B6085">
        <w:rPr>
          <w:b w:val="0"/>
          <w:bCs w:val="0"/>
        </w:rPr>
        <w:t xml:space="preserve">Members of the </w:t>
      </w:r>
      <w:r w:rsidR="00D35B64">
        <w:rPr>
          <w:b w:val="0"/>
          <w:bCs w:val="0"/>
        </w:rPr>
        <w:t>MLS</w:t>
      </w:r>
      <w:r w:rsidR="00595598">
        <w:rPr>
          <w:b w:val="0"/>
          <w:bCs w:val="0"/>
        </w:rPr>
        <w:t xml:space="preserve"> </w:t>
      </w:r>
      <w:r w:rsidR="002B6085">
        <w:rPr>
          <w:b w:val="0"/>
          <w:bCs w:val="0"/>
        </w:rPr>
        <w:t xml:space="preserve">Personnel Committee will </w:t>
      </w:r>
      <w:r w:rsidR="00AE15B2">
        <w:rPr>
          <w:b w:val="0"/>
          <w:bCs w:val="0"/>
        </w:rPr>
        <w:t xml:space="preserve">independently </w:t>
      </w:r>
      <w:r w:rsidR="002B6085">
        <w:rPr>
          <w:b w:val="0"/>
          <w:bCs w:val="0"/>
        </w:rPr>
        <w:t>evaluate documentation provided by each faculty member from the Faculty Qualifications system</w:t>
      </w:r>
      <w:r w:rsidR="00AE15B2">
        <w:rPr>
          <w:b w:val="0"/>
          <w:bCs w:val="0"/>
        </w:rPr>
        <w:t xml:space="preserve"> and </w:t>
      </w:r>
      <w:r w:rsidR="00AB7EAB">
        <w:rPr>
          <w:b w:val="0"/>
          <w:bCs w:val="0"/>
        </w:rPr>
        <w:t xml:space="preserve">combine it with university resources such as </w:t>
      </w:r>
      <w:r w:rsidR="00CA068A">
        <w:rPr>
          <w:b w:val="0"/>
          <w:bCs w:val="0"/>
        </w:rPr>
        <w:t xml:space="preserve">End of Course </w:t>
      </w:r>
      <w:r w:rsidR="009E6212">
        <w:rPr>
          <w:b w:val="0"/>
          <w:bCs w:val="0"/>
        </w:rPr>
        <w:t>Student Evaluations</w:t>
      </w:r>
      <w:r w:rsidR="00413388">
        <w:rPr>
          <w:b w:val="0"/>
          <w:bCs w:val="0"/>
        </w:rPr>
        <w:t xml:space="preserve"> from Canvas</w:t>
      </w:r>
      <w:r w:rsidR="00CA068A">
        <w:rPr>
          <w:b w:val="0"/>
          <w:bCs w:val="0"/>
        </w:rPr>
        <w:t xml:space="preserve">, </w:t>
      </w:r>
      <w:r w:rsidR="00E4137E">
        <w:rPr>
          <w:b w:val="0"/>
          <w:bCs w:val="0"/>
        </w:rPr>
        <w:t xml:space="preserve">Members of the Personnel Committee </w:t>
      </w:r>
      <w:r w:rsidR="00ED530E">
        <w:rPr>
          <w:b w:val="0"/>
          <w:bCs w:val="0"/>
        </w:rPr>
        <w:t xml:space="preserve">will prepare recommendations to the </w:t>
      </w:r>
      <w:r w:rsidR="009E6212">
        <w:rPr>
          <w:b w:val="0"/>
          <w:bCs w:val="0"/>
        </w:rPr>
        <w:t xml:space="preserve">Program </w:t>
      </w:r>
      <w:r w:rsidR="00E17F5D">
        <w:rPr>
          <w:b w:val="0"/>
          <w:bCs w:val="0"/>
        </w:rPr>
        <w:t xml:space="preserve">Chair </w:t>
      </w:r>
      <w:r w:rsidR="00ED530E">
        <w:rPr>
          <w:b w:val="0"/>
          <w:bCs w:val="0"/>
        </w:rPr>
        <w:t xml:space="preserve">by February </w:t>
      </w:r>
      <w:r w:rsidR="00595598">
        <w:rPr>
          <w:b w:val="0"/>
          <w:bCs w:val="0"/>
        </w:rPr>
        <w:t>21</w:t>
      </w:r>
      <w:r w:rsidR="00595598" w:rsidRPr="00595598">
        <w:rPr>
          <w:b w:val="0"/>
          <w:bCs w:val="0"/>
          <w:vertAlign w:val="superscript"/>
        </w:rPr>
        <w:t>st</w:t>
      </w:r>
      <w:r w:rsidR="00ED530E">
        <w:rPr>
          <w:b w:val="0"/>
          <w:bCs w:val="0"/>
        </w:rPr>
        <w:t xml:space="preserve">. </w:t>
      </w:r>
    </w:p>
    <w:p w14:paraId="626C2B5F" w14:textId="05EDECF4" w:rsidR="00B3480F" w:rsidRPr="00B3480F" w:rsidRDefault="006F1C06" w:rsidP="006F1C06">
      <w:pPr>
        <w:pStyle w:val="Heading1"/>
        <w:tabs>
          <w:tab w:val="left" w:pos="1170"/>
        </w:tabs>
        <w:spacing w:before="0" w:after="120"/>
        <w:ind w:left="360" w:right="20"/>
        <w:rPr>
          <w:b w:val="0"/>
          <w:bCs w:val="0"/>
        </w:rPr>
      </w:pPr>
      <w:r>
        <w:rPr>
          <w:b w:val="0"/>
          <w:bCs w:val="0"/>
        </w:rPr>
        <w:t xml:space="preserve">03.04   </w:t>
      </w:r>
      <w:r w:rsidR="00595598">
        <w:rPr>
          <w:b w:val="0"/>
          <w:bCs w:val="0"/>
        </w:rPr>
        <w:t>By March 1</w:t>
      </w:r>
      <w:r w:rsidR="00595598" w:rsidRPr="00595598">
        <w:rPr>
          <w:b w:val="0"/>
          <w:bCs w:val="0"/>
          <w:vertAlign w:val="superscript"/>
        </w:rPr>
        <w:t>st</w:t>
      </w:r>
      <w:r w:rsidR="00595598">
        <w:rPr>
          <w:b w:val="0"/>
          <w:bCs w:val="0"/>
        </w:rPr>
        <w:t>, the</w:t>
      </w:r>
      <w:r w:rsidR="0019751C">
        <w:rPr>
          <w:b w:val="0"/>
          <w:bCs w:val="0"/>
        </w:rPr>
        <w:t xml:space="preserve"> </w:t>
      </w:r>
      <w:r w:rsidR="009E6212">
        <w:rPr>
          <w:b w:val="0"/>
          <w:bCs w:val="0"/>
        </w:rPr>
        <w:t>Program Chair</w:t>
      </w:r>
      <w:r w:rsidR="0019751C">
        <w:rPr>
          <w:b w:val="0"/>
          <w:bCs w:val="0"/>
        </w:rPr>
        <w:t xml:space="preserve"> </w:t>
      </w:r>
      <w:r w:rsidR="00595598" w:rsidRPr="00595598">
        <w:rPr>
          <w:b w:val="0"/>
          <w:bCs w:val="0"/>
          <w:color w:val="000000"/>
        </w:rPr>
        <w:t xml:space="preserve">is to submit to the Dean the completed </w:t>
      </w:r>
      <w:r w:rsidR="00D35B64">
        <w:rPr>
          <w:b w:val="0"/>
          <w:bCs w:val="0"/>
          <w:color w:val="000000"/>
        </w:rPr>
        <w:t>MLS</w:t>
      </w:r>
      <w:r w:rsidR="00595598" w:rsidRPr="00595598">
        <w:rPr>
          <w:b w:val="0"/>
          <w:bCs w:val="0"/>
          <w:color w:val="000000"/>
        </w:rPr>
        <w:t xml:space="preserve"> Chair Annual Evaluation of Faculty form for each faculty member based on the submitted materials and the </w:t>
      </w:r>
      <w:r w:rsidR="00D35B64">
        <w:rPr>
          <w:b w:val="0"/>
          <w:bCs w:val="0"/>
          <w:color w:val="000000"/>
        </w:rPr>
        <w:t>MLS</w:t>
      </w:r>
      <w:r w:rsidR="00595598" w:rsidRPr="00595598">
        <w:rPr>
          <w:b w:val="0"/>
          <w:bCs w:val="0"/>
          <w:color w:val="000000"/>
        </w:rPr>
        <w:t xml:space="preserve"> Personnel Committee feedback.</w:t>
      </w:r>
    </w:p>
    <w:p w14:paraId="5E290370" w14:textId="3D542D5A" w:rsidR="0019751C" w:rsidRDefault="006F1C06" w:rsidP="006F1C06">
      <w:pPr>
        <w:pStyle w:val="Heading1"/>
        <w:tabs>
          <w:tab w:val="left" w:pos="1170"/>
        </w:tabs>
        <w:spacing w:before="0" w:after="120"/>
        <w:ind w:left="360" w:right="20"/>
        <w:rPr>
          <w:b w:val="0"/>
          <w:bCs w:val="0"/>
        </w:rPr>
      </w:pPr>
      <w:r>
        <w:rPr>
          <w:b w:val="0"/>
          <w:bCs w:val="0"/>
        </w:rPr>
        <w:t xml:space="preserve">03.05   </w:t>
      </w:r>
      <w:r w:rsidR="00B3480F">
        <w:rPr>
          <w:b w:val="0"/>
          <w:bCs w:val="0"/>
        </w:rPr>
        <w:t xml:space="preserve">Upon receipt of notification </w:t>
      </w:r>
      <w:r w:rsidR="00B3480F" w:rsidRPr="00B3480F">
        <w:rPr>
          <w:b w:val="0"/>
          <w:bCs w:val="0"/>
          <w:color w:val="000000"/>
        </w:rPr>
        <w:t xml:space="preserve">from the Dean that the review has been completed at that level, the Program Chair will meet with each faculty member individually to review the completed evaluation form and any available feedback from the Personnel Committee, Chair, </w:t>
      </w:r>
      <w:r w:rsidR="00B3480F" w:rsidRPr="00B3480F">
        <w:rPr>
          <w:b w:val="0"/>
          <w:bCs w:val="0"/>
          <w:color w:val="000000"/>
        </w:rPr>
        <w:lastRenderedPageBreak/>
        <w:t>and/or Dean.  Goals for the upcoming year will be discussed.</w:t>
      </w:r>
      <w:r w:rsidR="0019751C" w:rsidRPr="00B3480F">
        <w:rPr>
          <w:b w:val="0"/>
          <w:bCs w:val="0"/>
        </w:rPr>
        <w:t xml:space="preserve"> </w:t>
      </w:r>
    </w:p>
    <w:p w14:paraId="6662EAD5" w14:textId="2E4A59E2" w:rsidR="0006423A" w:rsidRDefault="006F1C06" w:rsidP="006F1C06">
      <w:pPr>
        <w:pStyle w:val="Heading1"/>
        <w:tabs>
          <w:tab w:val="left" w:pos="1170"/>
        </w:tabs>
        <w:spacing w:before="0" w:after="120"/>
        <w:ind w:left="360" w:right="20"/>
        <w:rPr>
          <w:b w:val="0"/>
          <w:bCs w:val="0"/>
        </w:rPr>
      </w:pPr>
      <w:r>
        <w:rPr>
          <w:b w:val="0"/>
          <w:bCs w:val="0"/>
        </w:rPr>
        <w:t xml:space="preserve">03.06   </w:t>
      </w:r>
      <w:r w:rsidR="0006423A">
        <w:rPr>
          <w:b w:val="0"/>
          <w:bCs w:val="0"/>
        </w:rPr>
        <w:t xml:space="preserve">Performance evaluation will be based on university expectations based on the </w:t>
      </w:r>
      <w:r w:rsidR="00A5087B">
        <w:rPr>
          <w:b w:val="0"/>
          <w:bCs w:val="0"/>
        </w:rPr>
        <w:t xml:space="preserve">faculty appointment and </w:t>
      </w:r>
      <w:r w:rsidR="00D35B64">
        <w:rPr>
          <w:b w:val="0"/>
          <w:bCs w:val="0"/>
        </w:rPr>
        <w:t>MLS</w:t>
      </w:r>
      <w:r w:rsidR="009E6212">
        <w:rPr>
          <w:b w:val="0"/>
          <w:bCs w:val="0"/>
        </w:rPr>
        <w:t xml:space="preserve"> Program</w:t>
      </w:r>
      <w:r w:rsidR="00A5087B">
        <w:rPr>
          <w:b w:val="0"/>
          <w:bCs w:val="0"/>
        </w:rPr>
        <w:t xml:space="preserve"> expectations based on </w:t>
      </w:r>
      <w:r w:rsidR="001D6807">
        <w:rPr>
          <w:b w:val="0"/>
          <w:bCs w:val="0"/>
        </w:rPr>
        <w:t>professional development.</w:t>
      </w:r>
    </w:p>
    <w:p w14:paraId="0C6DED12" w14:textId="194CD53C" w:rsidR="00674BA0" w:rsidRDefault="00EB5808" w:rsidP="00EB5808">
      <w:pPr>
        <w:pStyle w:val="Heading1"/>
        <w:tabs>
          <w:tab w:val="left" w:pos="1620"/>
        </w:tabs>
        <w:spacing w:before="0" w:after="120"/>
        <w:ind w:left="1620" w:right="20" w:hanging="450"/>
        <w:rPr>
          <w:b w:val="0"/>
          <w:bCs w:val="0"/>
        </w:rPr>
      </w:pPr>
      <w:r>
        <w:rPr>
          <w:b w:val="0"/>
          <w:bCs w:val="0"/>
        </w:rPr>
        <w:t xml:space="preserve">a.    </w:t>
      </w:r>
      <w:r w:rsidR="00674BA0">
        <w:rPr>
          <w:b w:val="0"/>
          <w:bCs w:val="0"/>
        </w:rPr>
        <w:t xml:space="preserve">Per course </w:t>
      </w:r>
      <w:r w:rsidR="0023021A">
        <w:rPr>
          <w:b w:val="0"/>
          <w:bCs w:val="0"/>
        </w:rPr>
        <w:t>L</w:t>
      </w:r>
      <w:r w:rsidR="00674BA0">
        <w:rPr>
          <w:b w:val="0"/>
          <w:bCs w:val="0"/>
        </w:rPr>
        <w:t>ecturers</w:t>
      </w:r>
      <w:r w:rsidR="003F52C7">
        <w:rPr>
          <w:b w:val="0"/>
          <w:bCs w:val="0"/>
        </w:rPr>
        <w:t>, evaluation shall be based on teaching, service OR scholarly activity, and collegiality.</w:t>
      </w:r>
    </w:p>
    <w:p w14:paraId="3908387C" w14:textId="42037CF9" w:rsidR="003F52C7" w:rsidRDefault="00EB5808" w:rsidP="00EB5808">
      <w:pPr>
        <w:pStyle w:val="Heading1"/>
        <w:tabs>
          <w:tab w:val="left" w:pos="1620"/>
        </w:tabs>
        <w:spacing w:before="0" w:after="120"/>
        <w:ind w:left="1620" w:right="20" w:hanging="450"/>
        <w:rPr>
          <w:b w:val="0"/>
          <w:bCs w:val="0"/>
        </w:rPr>
      </w:pPr>
      <w:r>
        <w:rPr>
          <w:b w:val="0"/>
          <w:bCs w:val="0"/>
        </w:rPr>
        <w:t xml:space="preserve">b.    </w:t>
      </w:r>
      <w:r w:rsidR="0023021A">
        <w:rPr>
          <w:b w:val="0"/>
          <w:bCs w:val="0"/>
        </w:rPr>
        <w:t xml:space="preserve">Assistant Professors </w:t>
      </w:r>
      <w:r w:rsidR="00614959">
        <w:rPr>
          <w:b w:val="0"/>
          <w:bCs w:val="0"/>
        </w:rPr>
        <w:t xml:space="preserve">(and </w:t>
      </w:r>
      <w:r w:rsidR="005857C7">
        <w:rPr>
          <w:b w:val="0"/>
          <w:bCs w:val="0"/>
        </w:rPr>
        <w:t xml:space="preserve">Assistant Professors of Practice) </w:t>
      </w:r>
      <w:r w:rsidR="0023021A">
        <w:rPr>
          <w:b w:val="0"/>
          <w:bCs w:val="0"/>
        </w:rPr>
        <w:t xml:space="preserve">will be evaluated on all four dimensions: Teaching, service, scholarly activity, and collegiality. </w:t>
      </w:r>
      <w:r w:rsidR="00E5597A">
        <w:rPr>
          <w:b w:val="0"/>
          <w:bCs w:val="0"/>
        </w:rPr>
        <w:t xml:space="preserve">The level of service for Assistant Professors will be limited and targeted to their level of seniority in the organization. </w:t>
      </w:r>
    </w:p>
    <w:p w14:paraId="7F119862" w14:textId="62E5E02A" w:rsidR="0019751C" w:rsidRDefault="00EB5808" w:rsidP="00EB5808">
      <w:pPr>
        <w:pStyle w:val="Heading1"/>
        <w:tabs>
          <w:tab w:val="left" w:pos="1620"/>
        </w:tabs>
        <w:spacing w:before="0" w:after="120"/>
        <w:ind w:left="1620" w:right="20" w:hanging="450"/>
        <w:rPr>
          <w:b w:val="0"/>
          <w:bCs w:val="0"/>
        </w:rPr>
      </w:pPr>
      <w:r>
        <w:rPr>
          <w:b w:val="0"/>
          <w:bCs w:val="0"/>
        </w:rPr>
        <w:t xml:space="preserve">c.    </w:t>
      </w:r>
      <w:r w:rsidR="0019751C">
        <w:rPr>
          <w:b w:val="0"/>
          <w:bCs w:val="0"/>
        </w:rPr>
        <w:t xml:space="preserve">Associate Professors </w:t>
      </w:r>
      <w:r w:rsidR="005857C7">
        <w:rPr>
          <w:b w:val="0"/>
          <w:bCs w:val="0"/>
        </w:rPr>
        <w:t xml:space="preserve">(and Associate Professors of Practice) </w:t>
      </w:r>
      <w:r w:rsidR="0019751C">
        <w:rPr>
          <w:b w:val="0"/>
          <w:bCs w:val="0"/>
        </w:rPr>
        <w:t>will be evaluated on all four dimensions: Teaching, service, scholarly activity, and collegiality. The level of service for Associate Professors will be targeted to their level of seniority in the organization.</w:t>
      </w:r>
      <w:r w:rsidR="007305AE">
        <w:rPr>
          <w:b w:val="0"/>
          <w:bCs w:val="0"/>
        </w:rPr>
        <w:t xml:space="preserve"> Tenured faculty will assume greater levels of leadership and service obligations in the organization at all levels. </w:t>
      </w:r>
    </w:p>
    <w:p w14:paraId="29E485C6" w14:textId="35819673" w:rsidR="007305AE" w:rsidRPr="00360581" w:rsidRDefault="00EB5808" w:rsidP="00EB5808">
      <w:pPr>
        <w:pStyle w:val="Heading1"/>
        <w:tabs>
          <w:tab w:val="left" w:pos="1620"/>
        </w:tabs>
        <w:spacing w:before="0" w:after="120"/>
        <w:ind w:left="1620" w:right="20" w:hanging="450"/>
        <w:rPr>
          <w:b w:val="0"/>
          <w:bCs w:val="0"/>
        </w:rPr>
      </w:pPr>
      <w:r>
        <w:rPr>
          <w:b w:val="0"/>
          <w:bCs w:val="0"/>
        </w:rPr>
        <w:t xml:space="preserve">d.    </w:t>
      </w:r>
      <w:r w:rsidR="007305AE">
        <w:rPr>
          <w:b w:val="0"/>
          <w:bCs w:val="0"/>
        </w:rPr>
        <w:t xml:space="preserve">Full Professors will be evaluated on all four dimensions: Teaching, service, scholarly activity, and collegiality. The level of service for Associate Professors will be targeted to their level of seniority in the organization. These faculty assume the greatest level of leadership and service obligations in the </w:t>
      </w:r>
      <w:r w:rsidR="007305AE" w:rsidRPr="00360581">
        <w:rPr>
          <w:b w:val="0"/>
          <w:bCs w:val="0"/>
        </w:rPr>
        <w:t>organization at all levels.</w:t>
      </w:r>
    </w:p>
    <w:p w14:paraId="437F9D65" w14:textId="459B4784" w:rsidR="00841A17" w:rsidRDefault="006F1C06" w:rsidP="006F1C06">
      <w:pPr>
        <w:pStyle w:val="Heading1"/>
        <w:tabs>
          <w:tab w:val="left" w:pos="1170"/>
        </w:tabs>
        <w:spacing w:before="0" w:after="120"/>
        <w:ind w:left="360" w:right="20"/>
        <w:rPr>
          <w:b w:val="0"/>
          <w:bCs w:val="0"/>
        </w:rPr>
      </w:pPr>
      <w:r>
        <w:rPr>
          <w:b w:val="0"/>
          <w:bCs w:val="0"/>
        </w:rPr>
        <w:t xml:space="preserve">03.07   </w:t>
      </w:r>
      <w:r w:rsidR="002603E2" w:rsidRPr="00360581">
        <w:rPr>
          <w:b w:val="0"/>
          <w:bCs w:val="0"/>
        </w:rPr>
        <w:t>Expectations for performance evaluations are as follows</w:t>
      </w:r>
      <w:r w:rsidR="007376ED" w:rsidRPr="00360581">
        <w:rPr>
          <w:b w:val="0"/>
          <w:bCs w:val="0"/>
        </w:rPr>
        <w:t xml:space="preserve">. Faculty who </w:t>
      </w:r>
      <w:r w:rsidR="00C1665E" w:rsidRPr="00360581">
        <w:rPr>
          <w:b w:val="0"/>
          <w:bCs w:val="0"/>
        </w:rPr>
        <w:t xml:space="preserve">consistently </w:t>
      </w:r>
      <w:r w:rsidR="007376ED" w:rsidRPr="00360581">
        <w:rPr>
          <w:b w:val="0"/>
          <w:bCs w:val="0"/>
        </w:rPr>
        <w:t>meet or exceed</w:t>
      </w:r>
      <w:r w:rsidR="00051282" w:rsidRPr="00360581">
        <w:rPr>
          <w:b w:val="0"/>
          <w:bCs w:val="0"/>
        </w:rPr>
        <w:t xml:space="preserve"> </w:t>
      </w:r>
      <w:r w:rsidR="00D35B64">
        <w:rPr>
          <w:b w:val="0"/>
          <w:bCs w:val="0"/>
        </w:rPr>
        <w:t>MLS</w:t>
      </w:r>
      <w:r w:rsidR="009E6212" w:rsidRPr="00360581">
        <w:rPr>
          <w:b w:val="0"/>
          <w:bCs w:val="0"/>
        </w:rPr>
        <w:t xml:space="preserve"> Program</w:t>
      </w:r>
      <w:r w:rsidR="00051282" w:rsidRPr="00360581">
        <w:rPr>
          <w:b w:val="0"/>
          <w:bCs w:val="0"/>
        </w:rPr>
        <w:t xml:space="preserve"> expectations </w:t>
      </w:r>
      <w:r w:rsidR="00C1665E" w:rsidRPr="00360581">
        <w:rPr>
          <w:b w:val="0"/>
          <w:bCs w:val="0"/>
        </w:rPr>
        <w:t>are eligible for reappointment</w:t>
      </w:r>
      <w:r w:rsidR="005A1475" w:rsidRPr="00360581">
        <w:rPr>
          <w:b w:val="0"/>
          <w:bCs w:val="0"/>
        </w:rPr>
        <w:t xml:space="preserve"> and performance raises. Faculty performance below this line may cause </w:t>
      </w:r>
      <w:r w:rsidR="007974D7" w:rsidRPr="00360581">
        <w:rPr>
          <w:b w:val="0"/>
          <w:bCs w:val="0"/>
        </w:rPr>
        <w:t xml:space="preserve">the </w:t>
      </w:r>
      <w:r w:rsidR="00D35B64">
        <w:rPr>
          <w:b w:val="0"/>
          <w:bCs w:val="0"/>
        </w:rPr>
        <w:t>MLS</w:t>
      </w:r>
      <w:r w:rsidR="00E56197" w:rsidRPr="00360581">
        <w:rPr>
          <w:b w:val="0"/>
          <w:bCs w:val="0"/>
        </w:rPr>
        <w:t xml:space="preserve"> Chair</w:t>
      </w:r>
      <w:r w:rsidR="005A1475" w:rsidRPr="00360581">
        <w:rPr>
          <w:b w:val="0"/>
          <w:bCs w:val="0"/>
        </w:rPr>
        <w:t xml:space="preserve"> to consider whether reappointment is warranted</w:t>
      </w:r>
      <w:r w:rsidR="00DA4A0B" w:rsidRPr="00360581">
        <w:rPr>
          <w:b w:val="0"/>
          <w:bCs w:val="0"/>
        </w:rPr>
        <w:t xml:space="preserve"> for all faculty appointments.</w:t>
      </w:r>
      <w:r w:rsidR="00254841" w:rsidRPr="00360581">
        <w:rPr>
          <w:b w:val="0"/>
          <w:bCs w:val="0"/>
        </w:rPr>
        <w:t xml:space="preserve"> For faculty failing to meet </w:t>
      </w:r>
      <w:r w:rsidR="00185498" w:rsidRPr="00360581">
        <w:rPr>
          <w:b w:val="0"/>
          <w:bCs w:val="0"/>
        </w:rPr>
        <w:t>expectations, see University PPS, paragraphs 07-12.</w:t>
      </w:r>
      <w:r w:rsidR="00705688" w:rsidRPr="00360581">
        <w:rPr>
          <w:b w:val="0"/>
          <w:bCs w:val="0"/>
        </w:rPr>
        <w:t xml:space="preserve"> (values shows are relative to </w:t>
      </w:r>
      <w:r w:rsidR="00A05F77" w:rsidRPr="00360581">
        <w:rPr>
          <w:b w:val="0"/>
          <w:bCs w:val="0"/>
        </w:rPr>
        <w:t>merit</w:t>
      </w:r>
      <w:r w:rsidR="0001101C" w:rsidRPr="00360581">
        <w:rPr>
          <w:b w:val="0"/>
          <w:bCs w:val="0"/>
        </w:rPr>
        <w:t>:</w:t>
      </w:r>
      <w:r w:rsidR="00C111AC" w:rsidRPr="00360581">
        <w:rPr>
          <w:b w:val="0"/>
          <w:bCs w:val="0"/>
        </w:rPr>
        <w:t xml:space="preserve"> high</w:t>
      </w:r>
      <w:r w:rsidR="005F183F" w:rsidRPr="00360581">
        <w:rPr>
          <w:b w:val="0"/>
          <w:bCs w:val="0"/>
        </w:rPr>
        <w:t xml:space="preserve"> </w:t>
      </w:r>
      <w:r w:rsidR="00F947A9" w:rsidRPr="00360581">
        <w:rPr>
          <w:b w:val="0"/>
          <w:bCs w:val="0"/>
        </w:rPr>
        <w:t>=</w:t>
      </w:r>
      <w:r w:rsidR="005F183F" w:rsidRPr="00360581">
        <w:rPr>
          <w:b w:val="0"/>
          <w:bCs w:val="0"/>
        </w:rPr>
        <w:t xml:space="preserve"> </w:t>
      </w:r>
      <w:r w:rsidR="00F947A9" w:rsidRPr="00360581">
        <w:rPr>
          <w:b w:val="0"/>
          <w:bCs w:val="0"/>
        </w:rPr>
        <w:t>3, medium</w:t>
      </w:r>
      <w:r w:rsidR="005F183F" w:rsidRPr="00360581">
        <w:rPr>
          <w:b w:val="0"/>
          <w:bCs w:val="0"/>
        </w:rPr>
        <w:t xml:space="preserve"> </w:t>
      </w:r>
      <w:r w:rsidR="00F947A9" w:rsidRPr="00360581">
        <w:rPr>
          <w:b w:val="0"/>
          <w:bCs w:val="0"/>
        </w:rPr>
        <w:t>=</w:t>
      </w:r>
      <w:r w:rsidR="005F183F" w:rsidRPr="00360581">
        <w:rPr>
          <w:b w:val="0"/>
          <w:bCs w:val="0"/>
        </w:rPr>
        <w:t xml:space="preserve"> </w:t>
      </w:r>
      <w:r w:rsidR="00F947A9" w:rsidRPr="00360581">
        <w:rPr>
          <w:b w:val="0"/>
          <w:bCs w:val="0"/>
        </w:rPr>
        <w:t>2, low</w:t>
      </w:r>
      <w:r w:rsidR="005F183F" w:rsidRPr="00360581">
        <w:rPr>
          <w:b w:val="0"/>
          <w:bCs w:val="0"/>
        </w:rPr>
        <w:t xml:space="preserve"> </w:t>
      </w:r>
      <w:r w:rsidR="00F947A9" w:rsidRPr="00360581">
        <w:rPr>
          <w:b w:val="0"/>
          <w:bCs w:val="0"/>
        </w:rPr>
        <w:t>=</w:t>
      </w:r>
      <w:r w:rsidR="005F183F" w:rsidRPr="00360581">
        <w:rPr>
          <w:b w:val="0"/>
          <w:bCs w:val="0"/>
        </w:rPr>
        <w:t xml:space="preserve"> </w:t>
      </w:r>
      <w:r w:rsidR="00F947A9" w:rsidRPr="00360581">
        <w:rPr>
          <w:b w:val="0"/>
          <w:bCs w:val="0"/>
        </w:rPr>
        <w:t>1, none</w:t>
      </w:r>
      <w:r w:rsidR="005F183F" w:rsidRPr="00360581">
        <w:rPr>
          <w:b w:val="0"/>
          <w:bCs w:val="0"/>
        </w:rPr>
        <w:t xml:space="preserve"> </w:t>
      </w:r>
      <w:r w:rsidR="00F947A9" w:rsidRPr="00360581">
        <w:rPr>
          <w:b w:val="0"/>
          <w:bCs w:val="0"/>
        </w:rPr>
        <w:t>=</w:t>
      </w:r>
      <w:r w:rsidR="005F183F" w:rsidRPr="00360581">
        <w:rPr>
          <w:b w:val="0"/>
          <w:bCs w:val="0"/>
        </w:rPr>
        <w:t xml:space="preserve"> </w:t>
      </w:r>
      <w:r w:rsidR="00F947A9" w:rsidRPr="00360581">
        <w:rPr>
          <w:b w:val="0"/>
          <w:bCs w:val="0"/>
        </w:rPr>
        <w:t>0</w:t>
      </w:r>
      <w:r w:rsidR="00EE4AEE" w:rsidRPr="00360581">
        <w:rPr>
          <w:b w:val="0"/>
          <w:bCs w:val="0"/>
        </w:rPr>
        <w:t xml:space="preserve"> – See merit section, below</w:t>
      </w:r>
      <w:r w:rsidR="00705688" w:rsidRPr="00360581">
        <w:rPr>
          <w:b w:val="0"/>
          <w:bCs w:val="0"/>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1242"/>
        <w:gridCol w:w="1254"/>
        <w:gridCol w:w="1389"/>
      </w:tblGrid>
      <w:tr w:rsidR="00504A3E" w14:paraId="04729CBC" w14:textId="77777777" w:rsidTr="0001035F">
        <w:tc>
          <w:tcPr>
            <w:tcW w:w="5305" w:type="dxa"/>
          </w:tcPr>
          <w:p w14:paraId="75C1EAAF" w14:textId="77777777" w:rsidR="002F2660" w:rsidRDefault="002F2660" w:rsidP="006F1C06">
            <w:pPr>
              <w:pStyle w:val="Heading1"/>
              <w:tabs>
                <w:tab w:val="left" w:pos="1170"/>
              </w:tabs>
              <w:spacing w:before="0" w:after="120"/>
              <w:ind w:left="0" w:right="20"/>
              <w:rPr>
                <w:b w:val="0"/>
                <w:bCs w:val="0"/>
              </w:rPr>
            </w:pPr>
          </w:p>
        </w:tc>
        <w:tc>
          <w:tcPr>
            <w:tcW w:w="1242" w:type="dxa"/>
          </w:tcPr>
          <w:p w14:paraId="2B552B98" w14:textId="34B09845" w:rsidR="002F2660" w:rsidRDefault="00504A3E" w:rsidP="0001035F">
            <w:pPr>
              <w:pStyle w:val="Heading1"/>
              <w:tabs>
                <w:tab w:val="left" w:pos="1170"/>
              </w:tabs>
              <w:spacing w:before="0" w:after="120"/>
              <w:ind w:left="0" w:right="20"/>
              <w:jc w:val="center"/>
              <w:rPr>
                <w:b w:val="0"/>
                <w:bCs w:val="0"/>
              </w:rPr>
            </w:pPr>
            <w:r>
              <w:rPr>
                <w:b w:val="0"/>
                <w:bCs w:val="0"/>
              </w:rPr>
              <w:t>Teaching</w:t>
            </w:r>
          </w:p>
        </w:tc>
        <w:tc>
          <w:tcPr>
            <w:tcW w:w="1254" w:type="dxa"/>
          </w:tcPr>
          <w:p w14:paraId="7D762EF8" w14:textId="06BFBAD4" w:rsidR="002F2660" w:rsidRDefault="00504A3E" w:rsidP="0001035F">
            <w:pPr>
              <w:pStyle w:val="Heading1"/>
              <w:tabs>
                <w:tab w:val="left" w:pos="1170"/>
              </w:tabs>
              <w:spacing w:before="0" w:after="120"/>
              <w:ind w:left="0" w:right="20"/>
              <w:jc w:val="center"/>
              <w:rPr>
                <w:b w:val="0"/>
                <w:bCs w:val="0"/>
              </w:rPr>
            </w:pPr>
            <w:r>
              <w:rPr>
                <w:b w:val="0"/>
                <w:bCs w:val="0"/>
              </w:rPr>
              <w:t>Service</w:t>
            </w:r>
          </w:p>
        </w:tc>
        <w:tc>
          <w:tcPr>
            <w:tcW w:w="1389" w:type="dxa"/>
          </w:tcPr>
          <w:p w14:paraId="39F4EE9C" w14:textId="047636AB" w:rsidR="002F2660" w:rsidRDefault="00504A3E" w:rsidP="0001035F">
            <w:pPr>
              <w:pStyle w:val="Heading1"/>
              <w:tabs>
                <w:tab w:val="left" w:pos="1170"/>
              </w:tabs>
              <w:spacing w:before="0" w:after="120"/>
              <w:ind w:left="0" w:right="20"/>
              <w:jc w:val="center"/>
              <w:rPr>
                <w:b w:val="0"/>
                <w:bCs w:val="0"/>
              </w:rPr>
            </w:pPr>
            <w:r>
              <w:rPr>
                <w:b w:val="0"/>
                <w:bCs w:val="0"/>
              </w:rPr>
              <w:t>Scholarship</w:t>
            </w:r>
          </w:p>
        </w:tc>
      </w:tr>
      <w:tr w:rsidR="00504A3E" w14:paraId="47BE92FB" w14:textId="77777777" w:rsidTr="0001035F">
        <w:tc>
          <w:tcPr>
            <w:tcW w:w="5305" w:type="dxa"/>
          </w:tcPr>
          <w:p w14:paraId="3BF38567" w14:textId="2B25BB59" w:rsidR="002F2660" w:rsidRDefault="0001035F" w:rsidP="006F1C06">
            <w:pPr>
              <w:pStyle w:val="Heading1"/>
              <w:tabs>
                <w:tab w:val="left" w:pos="1170"/>
              </w:tabs>
              <w:spacing w:before="0" w:after="120"/>
              <w:ind w:left="0" w:right="20"/>
              <w:rPr>
                <w:b w:val="0"/>
                <w:bCs w:val="0"/>
              </w:rPr>
            </w:pPr>
            <w:r w:rsidRPr="00360581">
              <w:rPr>
                <w:b w:val="0"/>
                <w:bCs w:val="0"/>
              </w:rPr>
              <w:t>Exemplary: Consistently exceeds expectations</w:t>
            </w:r>
          </w:p>
        </w:tc>
        <w:tc>
          <w:tcPr>
            <w:tcW w:w="1242" w:type="dxa"/>
          </w:tcPr>
          <w:p w14:paraId="0851A799" w14:textId="461BF7E4" w:rsidR="002F2660" w:rsidRDefault="00504A3E" w:rsidP="0001035F">
            <w:pPr>
              <w:pStyle w:val="Heading1"/>
              <w:tabs>
                <w:tab w:val="left" w:pos="1170"/>
              </w:tabs>
              <w:spacing w:before="0" w:after="120"/>
              <w:ind w:left="0" w:right="20"/>
              <w:jc w:val="center"/>
              <w:rPr>
                <w:b w:val="0"/>
                <w:bCs w:val="0"/>
              </w:rPr>
            </w:pPr>
            <w:r>
              <w:rPr>
                <w:b w:val="0"/>
                <w:bCs w:val="0"/>
              </w:rPr>
              <w:t>3</w:t>
            </w:r>
          </w:p>
        </w:tc>
        <w:tc>
          <w:tcPr>
            <w:tcW w:w="1254" w:type="dxa"/>
          </w:tcPr>
          <w:p w14:paraId="3F9750A1" w14:textId="1FBFC69B" w:rsidR="002F2660" w:rsidRDefault="00504A3E" w:rsidP="0001035F">
            <w:pPr>
              <w:pStyle w:val="Heading1"/>
              <w:tabs>
                <w:tab w:val="left" w:pos="1170"/>
              </w:tabs>
              <w:spacing w:before="0" w:after="120"/>
              <w:ind w:left="0" w:right="20"/>
              <w:jc w:val="center"/>
              <w:rPr>
                <w:b w:val="0"/>
                <w:bCs w:val="0"/>
              </w:rPr>
            </w:pPr>
            <w:r>
              <w:rPr>
                <w:b w:val="0"/>
                <w:bCs w:val="0"/>
              </w:rPr>
              <w:t>3</w:t>
            </w:r>
          </w:p>
        </w:tc>
        <w:tc>
          <w:tcPr>
            <w:tcW w:w="1389" w:type="dxa"/>
          </w:tcPr>
          <w:p w14:paraId="2AFD053C" w14:textId="206F84DF" w:rsidR="002F2660" w:rsidRDefault="00504A3E" w:rsidP="0001035F">
            <w:pPr>
              <w:pStyle w:val="Heading1"/>
              <w:tabs>
                <w:tab w:val="left" w:pos="1170"/>
              </w:tabs>
              <w:spacing w:before="0" w:after="120"/>
              <w:ind w:left="0" w:right="20"/>
              <w:jc w:val="center"/>
              <w:rPr>
                <w:b w:val="0"/>
                <w:bCs w:val="0"/>
              </w:rPr>
            </w:pPr>
            <w:r>
              <w:rPr>
                <w:b w:val="0"/>
                <w:bCs w:val="0"/>
              </w:rPr>
              <w:t>3</w:t>
            </w:r>
          </w:p>
        </w:tc>
      </w:tr>
      <w:tr w:rsidR="00504A3E" w14:paraId="13111FD2" w14:textId="77777777" w:rsidTr="0001035F">
        <w:tc>
          <w:tcPr>
            <w:tcW w:w="5305" w:type="dxa"/>
          </w:tcPr>
          <w:p w14:paraId="75198C42" w14:textId="28BDB6C8" w:rsidR="002F2660" w:rsidRDefault="0001035F" w:rsidP="006F1C06">
            <w:pPr>
              <w:pStyle w:val="Heading1"/>
              <w:tabs>
                <w:tab w:val="left" w:pos="1170"/>
              </w:tabs>
              <w:spacing w:before="0" w:after="120"/>
              <w:ind w:left="0" w:right="20"/>
              <w:rPr>
                <w:b w:val="0"/>
                <w:bCs w:val="0"/>
              </w:rPr>
            </w:pPr>
            <w:r w:rsidRPr="00360581">
              <w:rPr>
                <w:b w:val="0"/>
                <w:bCs w:val="0"/>
              </w:rPr>
              <w:t>Exceeds: Often exceeds expectations</w:t>
            </w:r>
          </w:p>
        </w:tc>
        <w:tc>
          <w:tcPr>
            <w:tcW w:w="1242" w:type="dxa"/>
          </w:tcPr>
          <w:p w14:paraId="7026C173" w14:textId="3A01C164" w:rsidR="002F2660" w:rsidRDefault="00504A3E" w:rsidP="0001035F">
            <w:pPr>
              <w:pStyle w:val="Heading1"/>
              <w:tabs>
                <w:tab w:val="left" w:pos="1170"/>
              </w:tabs>
              <w:spacing w:before="0" w:after="120"/>
              <w:ind w:left="0" w:right="20"/>
              <w:jc w:val="center"/>
              <w:rPr>
                <w:b w:val="0"/>
                <w:bCs w:val="0"/>
              </w:rPr>
            </w:pPr>
            <w:r>
              <w:rPr>
                <w:b w:val="0"/>
                <w:bCs w:val="0"/>
              </w:rPr>
              <w:t>2</w:t>
            </w:r>
          </w:p>
        </w:tc>
        <w:tc>
          <w:tcPr>
            <w:tcW w:w="1254" w:type="dxa"/>
          </w:tcPr>
          <w:p w14:paraId="19D85430" w14:textId="1B32EFDE" w:rsidR="002F2660" w:rsidRDefault="00504A3E" w:rsidP="0001035F">
            <w:pPr>
              <w:pStyle w:val="Heading1"/>
              <w:tabs>
                <w:tab w:val="left" w:pos="1170"/>
              </w:tabs>
              <w:spacing w:before="0" w:after="120"/>
              <w:ind w:left="0" w:right="20"/>
              <w:jc w:val="center"/>
              <w:rPr>
                <w:b w:val="0"/>
                <w:bCs w:val="0"/>
              </w:rPr>
            </w:pPr>
            <w:r>
              <w:rPr>
                <w:b w:val="0"/>
                <w:bCs w:val="0"/>
              </w:rPr>
              <w:t>2</w:t>
            </w:r>
          </w:p>
        </w:tc>
        <w:tc>
          <w:tcPr>
            <w:tcW w:w="1389" w:type="dxa"/>
          </w:tcPr>
          <w:p w14:paraId="1B226F36" w14:textId="714913AF" w:rsidR="002F2660" w:rsidRDefault="00504A3E" w:rsidP="0001035F">
            <w:pPr>
              <w:pStyle w:val="Heading1"/>
              <w:tabs>
                <w:tab w:val="left" w:pos="1170"/>
              </w:tabs>
              <w:spacing w:before="0" w:after="120"/>
              <w:ind w:left="0" w:right="20"/>
              <w:jc w:val="center"/>
              <w:rPr>
                <w:b w:val="0"/>
                <w:bCs w:val="0"/>
              </w:rPr>
            </w:pPr>
            <w:r>
              <w:rPr>
                <w:b w:val="0"/>
                <w:bCs w:val="0"/>
              </w:rPr>
              <w:t>2</w:t>
            </w:r>
          </w:p>
        </w:tc>
      </w:tr>
      <w:tr w:rsidR="00504A3E" w14:paraId="23CE7413" w14:textId="77777777" w:rsidTr="0001035F">
        <w:tc>
          <w:tcPr>
            <w:tcW w:w="5305" w:type="dxa"/>
          </w:tcPr>
          <w:p w14:paraId="12FE6D6B" w14:textId="5D800C56" w:rsidR="002F2660" w:rsidRDefault="0001035F" w:rsidP="006F1C06">
            <w:pPr>
              <w:pStyle w:val="Heading1"/>
              <w:tabs>
                <w:tab w:val="left" w:pos="1170"/>
              </w:tabs>
              <w:spacing w:before="0" w:after="120"/>
              <w:ind w:left="0" w:right="20"/>
              <w:rPr>
                <w:b w:val="0"/>
                <w:bCs w:val="0"/>
              </w:rPr>
            </w:pPr>
            <w:r w:rsidRPr="00360581">
              <w:rPr>
                <w:b w:val="0"/>
                <w:bCs w:val="0"/>
              </w:rPr>
              <w:t>Meets: Consistently meets expectations</w:t>
            </w:r>
          </w:p>
        </w:tc>
        <w:tc>
          <w:tcPr>
            <w:tcW w:w="1242" w:type="dxa"/>
          </w:tcPr>
          <w:p w14:paraId="45B86934" w14:textId="7064F1D1" w:rsidR="002F2660" w:rsidRDefault="00504A3E" w:rsidP="0001035F">
            <w:pPr>
              <w:pStyle w:val="Heading1"/>
              <w:tabs>
                <w:tab w:val="left" w:pos="1170"/>
              </w:tabs>
              <w:spacing w:before="0" w:after="120"/>
              <w:ind w:left="0" w:right="20"/>
              <w:jc w:val="center"/>
              <w:rPr>
                <w:b w:val="0"/>
                <w:bCs w:val="0"/>
              </w:rPr>
            </w:pPr>
            <w:r>
              <w:rPr>
                <w:b w:val="0"/>
                <w:bCs w:val="0"/>
              </w:rPr>
              <w:t>1</w:t>
            </w:r>
          </w:p>
        </w:tc>
        <w:tc>
          <w:tcPr>
            <w:tcW w:w="1254" w:type="dxa"/>
          </w:tcPr>
          <w:p w14:paraId="4EA8C6BB" w14:textId="0C28DD09" w:rsidR="002F2660" w:rsidRDefault="00504A3E" w:rsidP="0001035F">
            <w:pPr>
              <w:pStyle w:val="Heading1"/>
              <w:tabs>
                <w:tab w:val="left" w:pos="1170"/>
              </w:tabs>
              <w:spacing w:before="0" w:after="120"/>
              <w:ind w:left="0" w:right="20"/>
              <w:jc w:val="center"/>
              <w:rPr>
                <w:b w:val="0"/>
                <w:bCs w:val="0"/>
              </w:rPr>
            </w:pPr>
            <w:r>
              <w:rPr>
                <w:b w:val="0"/>
                <w:bCs w:val="0"/>
              </w:rPr>
              <w:t>1</w:t>
            </w:r>
          </w:p>
        </w:tc>
        <w:tc>
          <w:tcPr>
            <w:tcW w:w="1389" w:type="dxa"/>
          </w:tcPr>
          <w:p w14:paraId="3BDCE1C7" w14:textId="1B851504" w:rsidR="002F2660" w:rsidRDefault="00504A3E" w:rsidP="0001035F">
            <w:pPr>
              <w:pStyle w:val="Heading1"/>
              <w:tabs>
                <w:tab w:val="left" w:pos="1170"/>
              </w:tabs>
              <w:spacing w:before="0" w:after="120"/>
              <w:ind w:left="0" w:right="20"/>
              <w:jc w:val="center"/>
              <w:rPr>
                <w:b w:val="0"/>
                <w:bCs w:val="0"/>
              </w:rPr>
            </w:pPr>
            <w:r>
              <w:rPr>
                <w:b w:val="0"/>
                <w:bCs w:val="0"/>
              </w:rPr>
              <w:t>1</w:t>
            </w:r>
          </w:p>
        </w:tc>
      </w:tr>
      <w:tr w:rsidR="00504A3E" w14:paraId="7A1669E5" w14:textId="77777777" w:rsidTr="0001035F">
        <w:tc>
          <w:tcPr>
            <w:tcW w:w="5305" w:type="dxa"/>
          </w:tcPr>
          <w:p w14:paraId="4247BC24" w14:textId="5459F610" w:rsidR="002F2660" w:rsidRDefault="0001035F" w:rsidP="006F1C06">
            <w:pPr>
              <w:pStyle w:val="Heading1"/>
              <w:tabs>
                <w:tab w:val="left" w:pos="1170"/>
              </w:tabs>
              <w:spacing w:before="0" w:after="120"/>
              <w:ind w:left="0" w:right="20"/>
              <w:rPr>
                <w:b w:val="0"/>
                <w:bCs w:val="0"/>
              </w:rPr>
            </w:pPr>
            <w:r w:rsidRPr="00360581">
              <w:rPr>
                <w:b w:val="0"/>
                <w:bCs w:val="0"/>
              </w:rPr>
              <w:t>Does not meet expectations</w:t>
            </w:r>
          </w:p>
        </w:tc>
        <w:tc>
          <w:tcPr>
            <w:tcW w:w="1242" w:type="dxa"/>
          </w:tcPr>
          <w:p w14:paraId="5509969B" w14:textId="6B9DCC9E" w:rsidR="002F2660" w:rsidRDefault="00504A3E" w:rsidP="0001035F">
            <w:pPr>
              <w:pStyle w:val="Heading1"/>
              <w:tabs>
                <w:tab w:val="left" w:pos="1170"/>
              </w:tabs>
              <w:spacing w:before="0" w:after="120"/>
              <w:ind w:left="0" w:right="20"/>
              <w:jc w:val="center"/>
              <w:rPr>
                <w:b w:val="0"/>
                <w:bCs w:val="0"/>
              </w:rPr>
            </w:pPr>
            <w:r>
              <w:rPr>
                <w:b w:val="0"/>
                <w:bCs w:val="0"/>
              </w:rPr>
              <w:t>0</w:t>
            </w:r>
          </w:p>
        </w:tc>
        <w:tc>
          <w:tcPr>
            <w:tcW w:w="1254" w:type="dxa"/>
          </w:tcPr>
          <w:p w14:paraId="6BE396DE" w14:textId="16B45D64" w:rsidR="002F2660" w:rsidRDefault="00504A3E" w:rsidP="0001035F">
            <w:pPr>
              <w:pStyle w:val="Heading1"/>
              <w:tabs>
                <w:tab w:val="left" w:pos="1170"/>
              </w:tabs>
              <w:spacing w:before="0" w:after="120"/>
              <w:ind w:left="0" w:right="20"/>
              <w:jc w:val="center"/>
              <w:rPr>
                <w:b w:val="0"/>
                <w:bCs w:val="0"/>
              </w:rPr>
            </w:pPr>
            <w:r>
              <w:rPr>
                <w:b w:val="0"/>
                <w:bCs w:val="0"/>
              </w:rPr>
              <w:t>0</w:t>
            </w:r>
          </w:p>
        </w:tc>
        <w:tc>
          <w:tcPr>
            <w:tcW w:w="1389" w:type="dxa"/>
          </w:tcPr>
          <w:p w14:paraId="151FA555" w14:textId="5B83F86B" w:rsidR="002F2660" w:rsidRDefault="00504A3E" w:rsidP="0001035F">
            <w:pPr>
              <w:pStyle w:val="Heading1"/>
              <w:tabs>
                <w:tab w:val="left" w:pos="1170"/>
              </w:tabs>
              <w:spacing w:before="0" w:after="120"/>
              <w:ind w:left="0" w:right="20"/>
              <w:jc w:val="center"/>
              <w:rPr>
                <w:b w:val="0"/>
                <w:bCs w:val="0"/>
              </w:rPr>
            </w:pPr>
            <w:r>
              <w:rPr>
                <w:b w:val="0"/>
                <w:bCs w:val="0"/>
              </w:rPr>
              <w:t>0</w:t>
            </w:r>
          </w:p>
        </w:tc>
      </w:tr>
    </w:tbl>
    <w:p w14:paraId="456190BC" w14:textId="25E79D90" w:rsidR="001E1481" w:rsidRPr="00360581" w:rsidRDefault="001E1481" w:rsidP="0001035F">
      <w:pPr>
        <w:pStyle w:val="Heading1"/>
        <w:tabs>
          <w:tab w:val="left" w:pos="1170"/>
        </w:tabs>
        <w:spacing w:before="0" w:after="120"/>
        <w:ind w:left="0" w:right="20"/>
        <w:rPr>
          <w:b w:val="0"/>
          <w:bCs w:val="0"/>
        </w:rPr>
      </w:pPr>
    </w:p>
    <w:p w14:paraId="492C3F3D" w14:textId="0F58CF68" w:rsidR="00B3480F" w:rsidRDefault="00B3480F" w:rsidP="00DD7EF3">
      <w:pPr>
        <w:pStyle w:val="Heading1"/>
        <w:tabs>
          <w:tab w:val="left" w:pos="1620"/>
        </w:tabs>
        <w:spacing w:before="0" w:after="120"/>
        <w:ind w:left="1170" w:right="20" w:hanging="810"/>
        <w:rPr>
          <w:b w:val="0"/>
          <w:bCs w:val="0"/>
        </w:rPr>
      </w:pPr>
      <w:r>
        <w:rPr>
          <w:b w:val="0"/>
          <w:bCs w:val="0"/>
        </w:rPr>
        <w:t>03.0</w:t>
      </w:r>
      <w:r w:rsidR="00360581">
        <w:rPr>
          <w:b w:val="0"/>
          <w:bCs w:val="0"/>
        </w:rPr>
        <w:t>8</w:t>
      </w:r>
      <w:r w:rsidR="00C96FDF">
        <w:rPr>
          <w:b w:val="0"/>
          <w:bCs w:val="0"/>
        </w:rPr>
        <w:t>.</w:t>
      </w:r>
      <w:r>
        <w:rPr>
          <w:b w:val="0"/>
          <w:bCs w:val="0"/>
        </w:rPr>
        <w:tab/>
        <w:t xml:space="preserve">All per course, part-time, graduate teaching assistants, and adjunct faculty will be evaluated on a semester basis by the </w:t>
      </w:r>
      <w:r w:rsidR="00D35B64">
        <w:rPr>
          <w:b w:val="0"/>
          <w:bCs w:val="0"/>
        </w:rPr>
        <w:t>MLS</w:t>
      </w:r>
      <w:r>
        <w:rPr>
          <w:b w:val="0"/>
          <w:bCs w:val="0"/>
        </w:rPr>
        <w:t xml:space="preserve"> Program.</w:t>
      </w:r>
    </w:p>
    <w:p w14:paraId="049F6351" w14:textId="3730B118" w:rsidR="00C96FDF" w:rsidRDefault="00C96FDF" w:rsidP="00905FBA">
      <w:pPr>
        <w:pStyle w:val="Heading1"/>
        <w:tabs>
          <w:tab w:val="left" w:pos="1620"/>
        </w:tabs>
        <w:spacing w:before="0" w:after="120"/>
        <w:ind w:left="1530" w:right="20" w:hanging="360"/>
        <w:rPr>
          <w:b w:val="0"/>
          <w:bCs w:val="0"/>
          <w:color w:val="000000"/>
        </w:rPr>
      </w:pPr>
      <w:r>
        <w:rPr>
          <w:b w:val="0"/>
          <w:bCs w:val="0"/>
        </w:rPr>
        <w:t xml:space="preserve"> a.   </w:t>
      </w:r>
      <w:r w:rsidRPr="00C96FDF">
        <w:rPr>
          <w:b w:val="0"/>
          <w:bCs w:val="0"/>
          <w:color w:val="000000"/>
        </w:rPr>
        <w:t>At the end of each semester, the chair will review the course evaluations for the</w:t>
      </w:r>
      <w:r>
        <w:rPr>
          <w:b w:val="0"/>
          <w:bCs w:val="0"/>
          <w:color w:val="000000"/>
        </w:rPr>
        <w:t xml:space="preserve"> </w:t>
      </w:r>
      <w:r w:rsidRPr="00C96FDF">
        <w:rPr>
          <w:b w:val="0"/>
          <w:bCs w:val="0"/>
          <w:color w:val="000000"/>
        </w:rPr>
        <w:t>cours</w:t>
      </w:r>
      <w:r>
        <w:rPr>
          <w:b w:val="0"/>
          <w:bCs w:val="0"/>
          <w:color w:val="000000"/>
        </w:rPr>
        <w:t xml:space="preserve">es </w:t>
      </w:r>
      <w:r w:rsidRPr="00C96FDF">
        <w:rPr>
          <w:b w:val="0"/>
          <w:bCs w:val="0"/>
          <w:color w:val="000000"/>
        </w:rPr>
        <w:t xml:space="preserve">taught by a faculty member during that semester.  A review of course materials to include course syllabi, sample assignments, and exams for the individual courses will also be reviewed by the Program Chair.  Documentation for all per course, part-time, and adjunct faculty </w:t>
      </w:r>
      <w:r w:rsidR="00C034EA">
        <w:rPr>
          <w:b w:val="0"/>
          <w:bCs w:val="0"/>
          <w:color w:val="000000"/>
        </w:rPr>
        <w:t xml:space="preserve">may be </w:t>
      </w:r>
      <w:r w:rsidRPr="00C96FDF">
        <w:rPr>
          <w:b w:val="0"/>
          <w:bCs w:val="0"/>
          <w:color w:val="000000"/>
        </w:rPr>
        <w:t xml:space="preserve">reviewed together at a regularly scheduled </w:t>
      </w:r>
      <w:r w:rsidR="00D35B64">
        <w:rPr>
          <w:b w:val="0"/>
          <w:bCs w:val="0"/>
          <w:color w:val="000000"/>
        </w:rPr>
        <w:t>MLS</w:t>
      </w:r>
      <w:r w:rsidRPr="00C96FDF">
        <w:rPr>
          <w:b w:val="0"/>
          <w:bCs w:val="0"/>
          <w:color w:val="000000"/>
        </w:rPr>
        <w:t xml:space="preserve"> Personnel Committee Meeting.</w:t>
      </w:r>
    </w:p>
    <w:p w14:paraId="7051C5D0" w14:textId="5B4D9245" w:rsidR="00C96FDF" w:rsidRPr="000861BF" w:rsidRDefault="00C96FDF" w:rsidP="00034DDE">
      <w:pPr>
        <w:spacing w:after="120"/>
        <w:ind w:left="1530" w:hanging="360"/>
        <w:rPr>
          <w:color w:val="000000"/>
          <w:sz w:val="24"/>
        </w:rPr>
      </w:pPr>
      <w:r w:rsidRPr="00C96FDF">
        <w:rPr>
          <w:color w:val="000000"/>
        </w:rPr>
        <w:t>b</w:t>
      </w:r>
      <w:r>
        <w:rPr>
          <w:b/>
          <w:bCs/>
          <w:color w:val="000000"/>
        </w:rPr>
        <w:t xml:space="preserve">.   </w:t>
      </w:r>
      <w:r w:rsidRPr="00C96FDF">
        <w:rPr>
          <w:color w:val="000000"/>
        </w:rPr>
        <w:t>A summary evaluation report will be mailed</w:t>
      </w:r>
      <w:r>
        <w:rPr>
          <w:color w:val="000000"/>
        </w:rPr>
        <w:t xml:space="preserve"> or emailed</w:t>
      </w:r>
      <w:r w:rsidRPr="00C96FDF">
        <w:rPr>
          <w:color w:val="000000"/>
        </w:rPr>
        <w:t xml:space="preserve"> to the faculty member after completion of the reviews.  A face-to-face meeting will be held with the faculty member if review can be scheduled in a timely manner with the faculty member.  If the faculty member returns to teach another semester, review of materials will be done at that time if it has not already been done.</w:t>
      </w:r>
      <w:r w:rsidRPr="000861BF">
        <w:rPr>
          <w:color w:val="000000"/>
          <w:sz w:val="24"/>
        </w:rPr>
        <w:t xml:space="preserve">  </w:t>
      </w:r>
    </w:p>
    <w:p w14:paraId="61F89982" w14:textId="77777777" w:rsidR="00EC6713" w:rsidRPr="0074651D" w:rsidRDefault="00EC6713" w:rsidP="00DD7EF3">
      <w:pPr>
        <w:pStyle w:val="Heading1"/>
        <w:tabs>
          <w:tab w:val="left" w:pos="1620"/>
        </w:tabs>
        <w:spacing w:before="0" w:after="120"/>
        <w:ind w:left="1170" w:right="20"/>
        <w:rPr>
          <w:b w:val="0"/>
          <w:bCs w:val="0"/>
        </w:rPr>
      </w:pPr>
    </w:p>
    <w:p w14:paraId="2A720D17" w14:textId="3CDBDCDA" w:rsidR="008B7C8F" w:rsidRPr="0074651D" w:rsidRDefault="00034DDE" w:rsidP="00034DDE">
      <w:pPr>
        <w:pStyle w:val="Heading1"/>
        <w:spacing w:before="0" w:after="120"/>
        <w:ind w:left="0" w:right="20"/>
      </w:pPr>
      <w:r>
        <w:t xml:space="preserve">04.  </w:t>
      </w:r>
      <w:r w:rsidR="008B7C8F" w:rsidRPr="0074651D">
        <w:t xml:space="preserve">DEPARTMENTAL </w:t>
      </w:r>
      <w:r w:rsidR="0038032C" w:rsidRPr="0074651D">
        <w:t>PROCEDURE</w:t>
      </w:r>
      <w:r w:rsidR="008B7C8F" w:rsidRPr="0074651D">
        <w:t xml:space="preserve"> (MERIT)</w:t>
      </w:r>
    </w:p>
    <w:p w14:paraId="1CF3A808" w14:textId="0B39AD2A" w:rsidR="0027705C" w:rsidRPr="0074651D" w:rsidRDefault="00075C68" w:rsidP="00075C68">
      <w:pPr>
        <w:pStyle w:val="Heading1"/>
        <w:tabs>
          <w:tab w:val="left" w:pos="1170"/>
        </w:tabs>
        <w:spacing w:before="0" w:after="120"/>
        <w:ind w:left="450" w:right="20"/>
        <w:rPr>
          <w:b w:val="0"/>
          <w:bCs w:val="0"/>
        </w:rPr>
      </w:pPr>
      <w:r>
        <w:rPr>
          <w:b w:val="0"/>
          <w:bCs w:val="0"/>
        </w:rPr>
        <w:t xml:space="preserve">04.04    </w:t>
      </w:r>
      <w:r w:rsidR="00006F6A" w:rsidRPr="0074651D">
        <w:rPr>
          <w:b w:val="0"/>
          <w:bCs w:val="0"/>
        </w:rPr>
        <w:t>Performance Raises</w:t>
      </w:r>
    </w:p>
    <w:p w14:paraId="34B2FE2B" w14:textId="59717AC2" w:rsidR="00D50CAE" w:rsidRPr="0074651D" w:rsidRDefault="008B2232" w:rsidP="008B2232">
      <w:pPr>
        <w:tabs>
          <w:tab w:val="left" w:pos="1539"/>
          <w:tab w:val="left" w:pos="1541"/>
        </w:tabs>
        <w:spacing w:after="120"/>
        <w:ind w:left="1530" w:right="196" w:hanging="360"/>
      </w:pPr>
      <w:r>
        <w:lastRenderedPageBreak/>
        <w:t xml:space="preserve">a.   </w:t>
      </w:r>
      <w:r w:rsidR="00D50CAE" w:rsidRPr="0074651D">
        <w:t>Performance raises are defined as a prescribed number of salary steps</w:t>
      </w:r>
      <w:r w:rsidR="00D50CAE" w:rsidRPr="00075C68">
        <w:rPr>
          <w:spacing w:val="-37"/>
        </w:rPr>
        <w:t xml:space="preserve"> </w:t>
      </w:r>
      <w:r w:rsidR="00D50CAE" w:rsidRPr="0074651D">
        <w:t xml:space="preserve">awarded to faculty whose performance during the preceding year meets departmental expectations in </w:t>
      </w:r>
      <w:r w:rsidR="00A16715" w:rsidRPr="0074651D">
        <w:t>all applicable areas of evaluation</w:t>
      </w:r>
      <w:r w:rsidR="00D50CAE" w:rsidRPr="0074651D">
        <w:t>: teaching, service, or research. Performance raises, to the extent possible, track cost-of-living</w:t>
      </w:r>
      <w:r w:rsidR="00D50CAE" w:rsidRPr="00075C68">
        <w:rPr>
          <w:spacing w:val="-13"/>
        </w:rPr>
        <w:t xml:space="preserve"> </w:t>
      </w:r>
      <w:r w:rsidR="00D50CAE" w:rsidRPr="0074651D">
        <w:t>increases.</w:t>
      </w:r>
    </w:p>
    <w:p w14:paraId="0F7B889B" w14:textId="394E52D8" w:rsidR="00BF7ACB" w:rsidRPr="0074651D" w:rsidRDefault="008B2232" w:rsidP="008B2232">
      <w:pPr>
        <w:tabs>
          <w:tab w:val="left" w:pos="1539"/>
          <w:tab w:val="left" w:pos="1540"/>
        </w:tabs>
        <w:spacing w:after="120"/>
        <w:ind w:left="1530" w:right="114" w:hanging="360"/>
      </w:pPr>
      <w:r>
        <w:t xml:space="preserve">b.    </w:t>
      </w:r>
      <w:r w:rsidR="00825E6F" w:rsidRPr="0074651D">
        <w:t xml:space="preserve">In evaluating annual performance, the Personnel Committee, the </w:t>
      </w:r>
      <w:r w:rsidR="004C3E81" w:rsidRPr="0074651D">
        <w:t>Chair</w:t>
      </w:r>
      <w:r w:rsidR="00825E6F" w:rsidRPr="0074651D">
        <w:t xml:space="preserve">, and the College Dean will consider the faculty member's contributions in the context of </w:t>
      </w:r>
      <w:r w:rsidR="004C3E81" w:rsidRPr="0074651D">
        <w:t>Unit</w:t>
      </w:r>
      <w:r w:rsidR="00825E6F" w:rsidRPr="0074651D">
        <w:t xml:space="preserve">, College, and University needs and the faculty member's own past performance and career path. This evaluation will be conducted in accordance with the </w:t>
      </w:r>
      <w:r w:rsidR="00D35B64">
        <w:t>MLS</w:t>
      </w:r>
      <w:r w:rsidR="004C3E81" w:rsidRPr="0074651D">
        <w:t xml:space="preserve"> Program’s</w:t>
      </w:r>
      <w:r w:rsidR="00825E6F" w:rsidRPr="0074651D">
        <w:t xml:space="preserve"> approved policy for the performance evaluation of faculty.</w:t>
      </w:r>
    </w:p>
    <w:p w14:paraId="4FCC1394" w14:textId="2F31EA22" w:rsidR="000C6CE9" w:rsidRPr="0074651D" w:rsidRDefault="008B2232" w:rsidP="008B2232">
      <w:pPr>
        <w:tabs>
          <w:tab w:val="left" w:pos="1539"/>
          <w:tab w:val="left" w:pos="1540"/>
        </w:tabs>
        <w:spacing w:after="120"/>
        <w:ind w:left="1530" w:right="114" w:hanging="360"/>
      </w:pPr>
      <w:r>
        <w:t xml:space="preserve">c.    </w:t>
      </w:r>
      <w:r w:rsidR="000C6CE9" w:rsidRPr="0074651D">
        <w:t xml:space="preserve">Faculty who consistently meet or exceed </w:t>
      </w:r>
      <w:r w:rsidR="00D35B64">
        <w:t>MLS</w:t>
      </w:r>
      <w:r w:rsidR="004C3E81" w:rsidRPr="0074651D">
        <w:t xml:space="preserve"> Program</w:t>
      </w:r>
      <w:r w:rsidR="000C6CE9" w:rsidRPr="0074651D">
        <w:t xml:space="preserve"> performance expectations</w:t>
      </w:r>
      <w:r w:rsidR="0093219F" w:rsidRPr="0074651D">
        <w:t xml:space="preserve"> as determined by the performance evaluation will be eligible for reappointment and performance raises.</w:t>
      </w:r>
    </w:p>
    <w:p w14:paraId="0F7B889D" w14:textId="153632FB" w:rsidR="00BF7ACB" w:rsidRPr="0074651D" w:rsidRDefault="008B2232" w:rsidP="008B2232">
      <w:pPr>
        <w:tabs>
          <w:tab w:val="left" w:pos="1539"/>
          <w:tab w:val="left" w:pos="1540"/>
        </w:tabs>
        <w:spacing w:after="120"/>
        <w:ind w:left="1530" w:right="245" w:hanging="360"/>
      </w:pPr>
      <w:r>
        <w:t xml:space="preserve">d.    </w:t>
      </w:r>
      <w:r w:rsidR="00825E6F" w:rsidRPr="0074651D">
        <w:t>Any faculty member denied a performance raise will be counseled personally</w:t>
      </w:r>
      <w:r w:rsidR="00825E6F" w:rsidRPr="008B2232">
        <w:rPr>
          <w:spacing w:val="-37"/>
        </w:rPr>
        <w:t xml:space="preserve"> </w:t>
      </w:r>
      <w:r w:rsidR="00825E6F" w:rsidRPr="0074651D">
        <w:t xml:space="preserve">by the </w:t>
      </w:r>
      <w:r w:rsidR="00D35B64">
        <w:t>MLS</w:t>
      </w:r>
      <w:r w:rsidR="004C3E81" w:rsidRPr="0074651D">
        <w:t xml:space="preserve"> Chair</w:t>
      </w:r>
      <w:r w:rsidR="00825E6F" w:rsidRPr="0074651D">
        <w:t xml:space="preserve"> who will provide specific written suggestions for improvement.</w:t>
      </w:r>
    </w:p>
    <w:p w14:paraId="0F7B889F" w14:textId="4BB0F289" w:rsidR="00BF7ACB" w:rsidRPr="0074651D" w:rsidRDefault="008B2232" w:rsidP="008B2232">
      <w:pPr>
        <w:pStyle w:val="Heading1"/>
        <w:tabs>
          <w:tab w:val="left" w:pos="1170"/>
        </w:tabs>
        <w:spacing w:before="0" w:after="120"/>
        <w:ind w:left="360" w:right="20"/>
        <w:rPr>
          <w:b w:val="0"/>
          <w:bCs w:val="0"/>
        </w:rPr>
      </w:pPr>
      <w:r>
        <w:rPr>
          <w:b w:val="0"/>
          <w:bCs w:val="0"/>
        </w:rPr>
        <w:t xml:space="preserve">04.02    </w:t>
      </w:r>
      <w:r w:rsidR="00825E6F" w:rsidRPr="0074651D">
        <w:rPr>
          <w:b w:val="0"/>
          <w:bCs w:val="0"/>
        </w:rPr>
        <w:t>Merit Raises</w:t>
      </w:r>
    </w:p>
    <w:p w14:paraId="0F7B88A1" w14:textId="1558FBCC" w:rsidR="00BF7ACB" w:rsidRPr="0074651D" w:rsidRDefault="008B2232" w:rsidP="008B2232">
      <w:pPr>
        <w:spacing w:after="120"/>
        <w:ind w:left="1530" w:right="196" w:hanging="360"/>
      </w:pPr>
      <w:r>
        <w:t xml:space="preserve">a.    </w:t>
      </w:r>
      <w:r w:rsidR="00825E6F" w:rsidRPr="0074651D">
        <w:t>Merit raises are defined as additional salary steps to be awarded to faculty whose performance during the preceding annual evaluations since the last merit raise was distributed (i.e., this may include two or more annual evaluations and this time will be called the evaluation period).</w:t>
      </w:r>
    </w:p>
    <w:p w14:paraId="0F7B88A5" w14:textId="614B3793" w:rsidR="00BF7ACB" w:rsidRPr="0074651D" w:rsidRDefault="008B2232" w:rsidP="008B2232">
      <w:pPr>
        <w:spacing w:after="120"/>
        <w:ind w:left="1530" w:right="196" w:hanging="360"/>
      </w:pPr>
      <w:r>
        <w:t xml:space="preserve">b.    </w:t>
      </w:r>
      <w:r w:rsidR="00825E6F" w:rsidRPr="0074651D">
        <w:t xml:space="preserve">In evaluating annual performance, the Personnel Committee, the </w:t>
      </w:r>
      <w:r w:rsidR="00D35B64">
        <w:t>MLS</w:t>
      </w:r>
      <w:r w:rsidR="00CE4C7D" w:rsidRPr="0074651D">
        <w:t xml:space="preserve"> Chair</w:t>
      </w:r>
      <w:r w:rsidR="00825E6F" w:rsidRPr="0074651D">
        <w:t xml:space="preserve">, and the College Dean will consider the faculty member's contributions in the context of </w:t>
      </w:r>
      <w:r w:rsidR="00CE4C7D" w:rsidRPr="0074651D">
        <w:t>Unit</w:t>
      </w:r>
      <w:r w:rsidR="00825E6F" w:rsidRPr="0074651D">
        <w:t>, College, and University needs and the faculty member's own past performance and career path. This evaluation will be conducted in</w:t>
      </w:r>
      <w:r w:rsidR="005B4F51" w:rsidRPr="0074651D">
        <w:t xml:space="preserve"> </w:t>
      </w:r>
      <w:r w:rsidR="00825E6F" w:rsidRPr="0074651D">
        <w:t xml:space="preserve">accordance with the </w:t>
      </w:r>
      <w:r w:rsidR="00D35B64">
        <w:t>MLS</w:t>
      </w:r>
      <w:r w:rsidR="00CE4C7D" w:rsidRPr="0074651D">
        <w:t xml:space="preserve"> Program’s</w:t>
      </w:r>
      <w:r w:rsidR="00825E6F" w:rsidRPr="0074651D">
        <w:t xml:space="preserve"> approved policy for the performance evaluation of faculty.</w:t>
      </w:r>
    </w:p>
    <w:p w14:paraId="0F7B88A7" w14:textId="19FEDA9E" w:rsidR="00BF7ACB" w:rsidRPr="0074651D" w:rsidRDefault="008B2232" w:rsidP="008B2232">
      <w:pPr>
        <w:spacing w:after="120"/>
        <w:ind w:left="1530" w:right="196" w:hanging="360"/>
      </w:pPr>
      <w:r>
        <w:t xml:space="preserve">c.    </w:t>
      </w:r>
      <w:r w:rsidR="00825E6F" w:rsidRPr="0074651D">
        <w:t xml:space="preserve">All faculty receiving a performance raise will be eligible for a merit raise. Once a merit pool is established, the </w:t>
      </w:r>
      <w:r w:rsidR="00D35B64">
        <w:t>MLS</w:t>
      </w:r>
      <w:r w:rsidR="00CE4C7D" w:rsidRPr="0074651D">
        <w:t xml:space="preserve"> Chair</w:t>
      </w:r>
      <w:r w:rsidR="00825E6F" w:rsidRPr="0074651D">
        <w:t xml:space="preserve"> will determine </w:t>
      </w:r>
      <w:r w:rsidR="00B034A1" w:rsidRPr="0074651D">
        <w:t>a percentage</w:t>
      </w:r>
      <w:r w:rsidR="00825E6F" w:rsidRPr="0074651D">
        <w:t xml:space="preserve"> to be divided into the merit pool</w:t>
      </w:r>
      <w:r w:rsidR="00B034A1" w:rsidRPr="0074651D">
        <w:t>.</w:t>
      </w:r>
    </w:p>
    <w:p w14:paraId="5D4E44F4" w14:textId="6CA185F3" w:rsidR="007D6C17" w:rsidRPr="0074651D" w:rsidRDefault="00C45800" w:rsidP="00FE272C">
      <w:pPr>
        <w:spacing w:after="120"/>
        <w:ind w:left="2070" w:right="196" w:hanging="450"/>
      </w:pPr>
      <w:r>
        <w:t xml:space="preserve">1.    </w:t>
      </w:r>
      <w:r w:rsidR="00706312" w:rsidRPr="0074651D">
        <w:t>A</w:t>
      </w:r>
      <w:r w:rsidR="009755DD" w:rsidRPr="0074651D">
        <w:t xml:space="preserve"> faculty member who </w:t>
      </w:r>
      <w:r w:rsidR="00706312" w:rsidRPr="0074651D">
        <w:t>meets or exceeds expectations</w:t>
      </w:r>
      <w:r w:rsidR="009755DD" w:rsidRPr="0074651D">
        <w:t xml:space="preserve"> in teaching, in service, and in research, would be allocated </w:t>
      </w:r>
      <w:r w:rsidR="00706312" w:rsidRPr="0074651D">
        <w:t>a level of</w:t>
      </w:r>
      <w:r w:rsidR="009755DD" w:rsidRPr="0074651D">
        <w:t xml:space="preserve"> merit</w:t>
      </w:r>
      <w:r w:rsidR="00E71B46" w:rsidRPr="0074651D">
        <w:t xml:space="preserve"> [low, medium, and high]</w:t>
      </w:r>
      <w:r w:rsidR="00C45C03" w:rsidRPr="0074651D">
        <w:t xml:space="preserve">. </w:t>
      </w:r>
    </w:p>
    <w:p w14:paraId="0F7B88AD" w14:textId="37C5D138" w:rsidR="00BF7ACB" w:rsidRPr="0074651D" w:rsidRDefault="00C45800" w:rsidP="00FE272C">
      <w:pPr>
        <w:spacing w:after="120"/>
        <w:ind w:left="2070" w:right="196" w:hanging="450"/>
      </w:pPr>
      <w:r>
        <w:t xml:space="preserve">2.    </w:t>
      </w:r>
      <w:r w:rsidR="00C45C03" w:rsidRPr="0074651D">
        <w:t xml:space="preserve">If the department is given a </w:t>
      </w:r>
      <w:r w:rsidR="00CC4712" w:rsidRPr="0074651D">
        <w:t>total dollar amount, t</w:t>
      </w:r>
      <w:r w:rsidR="00825E6F" w:rsidRPr="0074651D">
        <w:t xml:space="preserve">he merit dollars per </w:t>
      </w:r>
      <w:r w:rsidR="00706312" w:rsidRPr="0074651D">
        <w:t xml:space="preserve">faculty member is </w:t>
      </w:r>
      <w:r w:rsidR="00825E6F" w:rsidRPr="0074651D">
        <w:t xml:space="preserve">determined by dividing </w:t>
      </w:r>
      <w:r w:rsidR="00E71B46" w:rsidRPr="0074651D">
        <w:t>the total dollar amount</w:t>
      </w:r>
      <w:r w:rsidR="00825E6F" w:rsidRPr="0074651D">
        <w:t xml:space="preserve"> for the faculty by the merit pool available</w:t>
      </w:r>
      <w:r w:rsidR="00E71B46" w:rsidRPr="0074651D">
        <w:t xml:space="preserve"> and by priority for low, medium and high </w:t>
      </w:r>
      <w:proofErr w:type="gramStart"/>
      <w:r w:rsidR="00E71B46" w:rsidRPr="0074651D">
        <w:t>rating</w:t>
      </w:r>
      <w:proofErr w:type="gramEnd"/>
      <w:r w:rsidR="00825E6F" w:rsidRPr="0074651D">
        <w:t>.</w:t>
      </w:r>
    </w:p>
    <w:p w14:paraId="0F7B88AF" w14:textId="17C3DE1B" w:rsidR="00BF7ACB" w:rsidRPr="0074651D" w:rsidRDefault="00FE272C" w:rsidP="00FE272C">
      <w:pPr>
        <w:spacing w:after="120"/>
        <w:ind w:left="2070" w:right="196" w:hanging="90"/>
      </w:pPr>
      <w:r>
        <w:t xml:space="preserve">a.    </w:t>
      </w:r>
      <w:r w:rsidR="00825E6F" w:rsidRPr="0074651D">
        <w:t xml:space="preserve">The </w:t>
      </w:r>
      <w:r w:rsidR="00D35B64">
        <w:t>MLS</w:t>
      </w:r>
      <w:r w:rsidR="0074651D" w:rsidRPr="0074651D">
        <w:t xml:space="preserve"> Chair</w:t>
      </w:r>
      <w:r w:rsidR="00825E6F" w:rsidRPr="0074651D">
        <w:t xml:space="preserve"> will review with the Personnel Committee the final merit awards prior to distribution individual faculty member awards.</w:t>
      </w:r>
    </w:p>
    <w:p w14:paraId="0F7B88CE" w14:textId="08F78C0C" w:rsidR="00BF7ACB" w:rsidRPr="00FE272C" w:rsidRDefault="00FE272C" w:rsidP="00FE272C">
      <w:pPr>
        <w:spacing w:after="120"/>
        <w:ind w:left="2070" w:right="196" w:hanging="90"/>
        <w:rPr>
          <w:color w:val="FF0000"/>
        </w:rPr>
      </w:pPr>
      <w:r>
        <w:t xml:space="preserve">b.    </w:t>
      </w:r>
      <w:r w:rsidR="00825E6F" w:rsidRPr="0074651D">
        <w:t xml:space="preserve">Faculty who are dissatisfied with the </w:t>
      </w:r>
      <w:r w:rsidR="0074651D" w:rsidRPr="0074651D">
        <w:t>Unit’s</w:t>
      </w:r>
      <w:r w:rsidR="00825E6F" w:rsidRPr="0074651D">
        <w:t xml:space="preserve"> final merit recommendation may appeal to the College Dean</w:t>
      </w:r>
      <w:r w:rsidR="00E56E00" w:rsidRPr="0074651D">
        <w:t>. See the CHP PPS on merit for details</w:t>
      </w:r>
      <w:r w:rsidR="00E56E00" w:rsidRPr="00FE272C">
        <w:rPr>
          <w:color w:val="FF0000"/>
        </w:rPr>
        <w:t>.</w:t>
      </w:r>
      <w:r w:rsidR="00825E6F" w:rsidRPr="00FE272C">
        <w:rPr>
          <w:color w:val="FF0000"/>
        </w:rPr>
        <w:t xml:space="preserve"> </w:t>
      </w:r>
    </w:p>
    <w:sectPr w:rsidR="00BF7ACB" w:rsidRPr="00FE272C" w:rsidSect="005E6909">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3F4"/>
    <w:multiLevelType w:val="hybridMultilevel"/>
    <w:tmpl w:val="1BAE674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066E48CE"/>
    <w:multiLevelType w:val="multilevel"/>
    <w:tmpl w:val="131C7986"/>
    <w:lvl w:ilvl="0">
      <w:start w:val="7"/>
      <w:numFmt w:val="decimal"/>
      <w:lvlText w:val="%1"/>
      <w:lvlJc w:val="left"/>
      <w:pPr>
        <w:ind w:left="820" w:hanging="721"/>
      </w:pPr>
      <w:rPr>
        <w:rFonts w:hint="default"/>
        <w:lang w:val="en-US" w:eastAsia="en-US" w:bidi="ar-SA"/>
      </w:rPr>
    </w:lvl>
    <w:lvl w:ilvl="1">
      <w:start w:val="101"/>
      <w:numFmt w:val="decimal"/>
      <w:lvlText w:val="%1.%2"/>
      <w:lvlJc w:val="left"/>
      <w:pPr>
        <w:ind w:left="820" w:hanging="721"/>
      </w:pPr>
      <w:rPr>
        <w:rFonts w:ascii="Arial" w:eastAsia="Arial" w:hAnsi="Arial" w:cs="Arial" w:hint="default"/>
        <w:spacing w:val="-1"/>
        <w:w w:val="100"/>
        <w:sz w:val="22"/>
        <w:szCs w:val="22"/>
        <w:lang w:val="en-US" w:eastAsia="en-US" w:bidi="ar-SA"/>
      </w:rPr>
    </w:lvl>
    <w:lvl w:ilvl="2">
      <w:start w:val="1"/>
      <w:numFmt w:val="upperLetter"/>
      <w:lvlText w:val="%3."/>
      <w:lvlJc w:val="left"/>
      <w:pPr>
        <w:ind w:left="1540" w:hanging="721"/>
      </w:pPr>
      <w:rPr>
        <w:rFonts w:ascii="Arial" w:eastAsia="Arial" w:hAnsi="Arial" w:cs="Arial" w:hint="default"/>
        <w:spacing w:val="-1"/>
        <w:w w:val="100"/>
        <w:sz w:val="22"/>
        <w:szCs w:val="22"/>
        <w:lang w:val="en-US" w:eastAsia="en-US" w:bidi="ar-SA"/>
      </w:rPr>
    </w:lvl>
    <w:lvl w:ilvl="3">
      <w:numFmt w:val="bullet"/>
      <w:lvlText w:val="•"/>
      <w:lvlJc w:val="left"/>
      <w:pPr>
        <w:ind w:left="3322" w:hanging="721"/>
      </w:pPr>
      <w:rPr>
        <w:rFonts w:hint="default"/>
        <w:lang w:val="en-US" w:eastAsia="en-US" w:bidi="ar-SA"/>
      </w:rPr>
    </w:lvl>
    <w:lvl w:ilvl="4">
      <w:numFmt w:val="bullet"/>
      <w:lvlText w:val="•"/>
      <w:lvlJc w:val="left"/>
      <w:pPr>
        <w:ind w:left="4213" w:hanging="721"/>
      </w:pPr>
      <w:rPr>
        <w:rFonts w:hint="default"/>
        <w:lang w:val="en-US" w:eastAsia="en-US" w:bidi="ar-SA"/>
      </w:rPr>
    </w:lvl>
    <w:lvl w:ilvl="5">
      <w:numFmt w:val="bullet"/>
      <w:lvlText w:val="•"/>
      <w:lvlJc w:val="left"/>
      <w:pPr>
        <w:ind w:left="5104" w:hanging="721"/>
      </w:pPr>
      <w:rPr>
        <w:rFonts w:hint="default"/>
        <w:lang w:val="en-US" w:eastAsia="en-US" w:bidi="ar-SA"/>
      </w:rPr>
    </w:lvl>
    <w:lvl w:ilvl="6">
      <w:numFmt w:val="bullet"/>
      <w:lvlText w:val="•"/>
      <w:lvlJc w:val="left"/>
      <w:pPr>
        <w:ind w:left="5995" w:hanging="721"/>
      </w:pPr>
      <w:rPr>
        <w:rFonts w:hint="default"/>
        <w:lang w:val="en-US" w:eastAsia="en-US" w:bidi="ar-SA"/>
      </w:rPr>
    </w:lvl>
    <w:lvl w:ilvl="7">
      <w:numFmt w:val="bullet"/>
      <w:lvlText w:val="•"/>
      <w:lvlJc w:val="left"/>
      <w:pPr>
        <w:ind w:left="6886" w:hanging="721"/>
      </w:pPr>
      <w:rPr>
        <w:rFonts w:hint="default"/>
        <w:lang w:val="en-US" w:eastAsia="en-US" w:bidi="ar-SA"/>
      </w:rPr>
    </w:lvl>
    <w:lvl w:ilvl="8">
      <w:numFmt w:val="bullet"/>
      <w:lvlText w:val="•"/>
      <w:lvlJc w:val="left"/>
      <w:pPr>
        <w:ind w:left="7777" w:hanging="721"/>
      </w:pPr>
      <w:rPr>
        <w:rFonts w:hint="default"/>
        <w:lang w:val="en-US" w:eastAsia="en-US" w:bidi="ar-SA"/>
      </w:rPr>
    </w:lvl>
  </w:abstractNum>
  <w:abstractNum w:abstractNumId="2" w15:restartNumberingAfterBreak="0">
    <w:nsid w:val="0FA0166D"/>
    <w:multiLevelType w:val="multilevel"/>
    <w:tmpl w:val="3A56678C"/>
    <w:lvl w:ilvl="0">
      <w:start w:val="1"/>
      <w:numFmt w:val="decimal"/>
      <w:lvlText w:val="0%1."/>
      <w:lvlJc w:val="left"/>
      <w:pPr>
        <w:ind w:left="892" w:hanging="360"/>
      </w:pPr>
      <w:rPr>
        <w:rFonts w:hint="default"/>
      </w:rPr>
    </w:lvl>
    <w:lvl w:ilvl="1">
      <w:start w:val="1"/>
      <w:numFmt w:val="decimal"/>
      <w:lvlText w:val="0%1.0%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312C21"/>
    <w:multiLevelType w:val="hybridMultilevel"/>
    <w:tmpl w:val="43CAF454"/>
    <w:lvl w:ilvl="0" w:tplc="F46EAD34">
      <w:start w:val="1"/>
      <w:numFmt w:val="upperLetter"/>
      <w:lvlText w:val="%1."/>
      <w:lvlJc w:val="left"/>
      <w:pPr>
        <w:ind w:left="1540" w:hanging="721"/>
      </w:pPr>
      <w:rPr>
        <w:rFonts w:ascii="Arial" w:eastAsia="Arial" w:hAnsi="Arial" w:cs="Arial" w:hint="default"/>
        <w:spacing w:val="-1"/>
        <w:w w:val="100"/>
        <w:sz w:val="22"/>
        <w:szCs w:val="22"/>
        <w:lang w:val="en-US" w:eastAsia="en-US" w:bidi="ar-SA"/>
      </w:rPr>
    </w:lvl>
    <w:lvl w:ilvl="1" w:tplc="163A0C04">
      <w:numFmt w:val="bullet"/>
      <w:lvlText w:val="•"/>
      <w:lvlJc w:val="left"/>
      <w:pPr>
        <w:ind w:left="2342" w:hanging="721"/>
      </w:pPr>
      <w:rPr>
        <w:rFonts w:hint="default"/>
        <w:lang w:val="en-US" w:eastAsia="en-US" w:bidi="ar-SA"/>
      </w:rPr>
    </w:lvl>
    <w:lvl w:ilvl="2" w:tplc="6A163872">
      <w:numFmt w:val="bullet"/>
      <w:lvlText w:val="•"/>
      <w:lvlJc w:val="left"/>
      <w:pPr>
        <w:ind w:left="3144" w:hanging="721"/>
      </w:pPr>
      <w:rPr>
        <w:rFonts w:hint="default"/>
        <w:lang w:val="en-US" w:eastAsia="en-US" w:bidi="ar-SA"/>
      </w:rPr>
    </w:lvl>
    <w:lvl w:ilvl="3" w:tplc="E250A7BA">
      <w:numFmt w:val="bullet"/>
      <w:lvlText w:val="•"/>
      <w:lvlJc w:val="left"/>
      <w:pPr>
        <w:ind w:left="3946" w:hanging="721"/>
      </w:pPr>
      <w:rPr>
        <w:rFonts w:hint="default"/>
        <w:lang w:val="en-US" w:eastAsia="en-US" w:bidi="ar-SA"/>
      </w:rPr>
    </w:lvl>
    <w:lvl w:ilvl="4" w:tplc="0F522B02">
      <w:numFmt w:val="bullet"/>
      <w:lvlText w:val="•"/>
      <w:lvlJc w:val="left"/>
      <w:pPr>
        <w:ind w:left="4748" w:hanging="721"/>
      </w:pPr>
      <w:rPr>
        <w:rFonts w:hint="default"/>
        <w:lang w:val="en-US" w:eastAsia="en-US" w:bidi="ar-SA"/>
      </w:rPr>
    </w:lvl>
    <w:lvl w:ilvl="5" w:tplc="35706406">
      <w:numFmt w:val="bullet"/>
      <w:lvlText w:val="•"/>
      <w:lvlJc w:val="left"/>
      <w:pPr>
        <w:ind w:left="5550" w:hanging="721"/>
      </w:pPr>
      <w:rPr>
        <w:rFonts w:hint="default"/>
        <w:lang w:val="en-US" w:eastAsia="en-US" w:bidi="ar-SA"/>
      </w:rPr>
    </w:lvl>
    <w:lvl w:ilvl="6" w:tplc="AD9CB808">
      <w:numFmt w:val="bullet"/>
      <w:lvlText w:val="•"/>
      <w:lvlJc w:val="left"/>
      <w:pPr>
        <w:ind w:left="6352" w:hanging="721"/>
      </w:pPr>
      <w:rPr>
        <w:rFonts w:hint="default"/>
        <w:lang w:val="en-US" w:eastAsia="en-US" w:bidi="ar-SA"/>
      </w:rPr>
    </w:lvl>
    <w:lvl w:ilvl="7" w:tplc="87E6FEA6">
      <w:numFmt w:val="bullet"/>
      <w:lvlText w:val="•"/>
      <w:lvlJc w:val="left"/>
      <w:pPr>
        <w:ind w:left="7154" w:hanging="721"/>
      </w:pPr>
      <w:rPr>
        <w:rFonts w:hint="default"/>
        <w:lang w:val="en-US" w:eastAsia="en-US" w:bidi="ar-SA"/>
      </w:rPr>
    </w:lvl>
    <w:lvl w:ilvl="8" w:tplc="B150C41C">
      <w:numFmt w:val="bullet"/>
      <w:lvlText w:val="•"/>
      <w:lvlJc w:val="left"/>
      <w:pPr>
        <w:ind w:left="7956" w:hanging="721"/>
      </w:pPr>
      <w:rPr>
        <w:rFonts w:hint="default"/>
        <w:lang w:val="en-US" w:eastAsia="en-US" w:bidi="ar-SA"/>
      </w:rPr>
    </w:lvl>
  </w:abstractNum>
  <w:abstractNum w:abstractNumId="4" w15:restartNumberingAfterBreak="0">
    <w:nsid w:val="17765058"/>
    <w:multiLevelType w:val="hybridMultilevel"/>
    <w:tmpl w:val="2DA46FB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8F5926"/>
    <w:multiLevelType w:val="hybridMultilevel"/>
    <w:tmpl w:val="43CAF454"/>
    <w:lvl w:ilvl="0" w:tplc="FFFFFFFF">
      <w:start w:val="1"/>
      <w:numFmt w:val="upperLetter"/>
      <w:lvlText w:val="%1."/>
      <w:lvlJc w:val="left"/>
      <w:pPr>
        <w:ind w:left="1540" w:hanging="721"/>
      </w:pPr>
      <w:rPr>
        <w:rFonts w:ascii="Arial" w:eastAsia="Arial" w:hAnsi="Arial" w:cs="Arial" w:hint="default"/>
        <w:spacing w:val="-1"/>
        <w:w w:val="100"/>
        <w:sz w:val="22"/>
        <w:szCs w:val="22"/>
        <w:lang w:val="en-US" w:eastAsia="en-US" w:bidi="ar-SA"/>
      </w:rPr>
    </w:lvl>
    <w:lvl w:ilvl="1" w:tplc="FFFFFFFF">
      <w:numFmt w:val="bullet"/>
      <w:lvlText w:val="•"/>
      <w:lvlJc w:val="left"/>
      <w:pPr>
        <w:ind w:left="2342" w:hanging="721"/>
      </w:pPr>
      <w:rPr>
        <w:rFonts w:hint="default"/>
        <w:lang w:val="en-US" w:eastAsia="en-US" w:bidi="ar-SA"/>
      </w:rPr>
    </w:lvl>
    <w:lvl w:ilvl="2" w:tplc="FFFFFFFF">
      <w:numFmt w:val="bullet"/>
      <w:lvlText w:val="•"/>
      <w:lvlJc w:val="left"/>
      <w:pPr>
        <w:ind w:left="3144" w:hanging="721"/>
      </w:pPr>
      <w:rPr>
        <w:rFonts w:hint="default"/>
        <w:lang w:val="en-US" w:eastAsia="en-US" w:bidi="ar-SA"/>
      </w:rPr>
    </w:lvl>
    <w:lvl w:ilvl="3" w:tplc="FFFFFFFF">
      <w:numFmt w:val="bullet"/>
      <w:lvlText w:val="•"/>
      <w:lvlJc w:val="left"/>
      <w:pPr>
        <w:ind w:left="3946" w:hanging="721"/>
      </w:pPr>
      <w:rPr>
        <w:rFonts w:hint="default"/>
        <w:lang w:val="en-US" w:eastAsia="en-US" w:bidi="ar-SA"/>
      </w:rPr>
    </w:lvl>
    <w:lvl w:ilvl="4" w:tplc="FFFFFFFF">
      <w:numFmt w:val="bullet"/>
      <w:lvlText w:val="•"/>
      <w:lvlJc w:val="left"/>
      <w:pPr>
        <w:ind w:left="4748" w:hanging="721"/>
      </w:pPr>
      <w:rPr>
        <w:rFonts w:hint="default"/>
        <w:lang w:val="en-US" w:eastAsia="en-US" w:bidi="ar-SA"/>
      </w:rPr>
    </w:lvl>
    <w:lvl w:ilvl="5" w:tplc="FFFFFFFF">
      <w:numFmt w:val="bullet"/>
      <w:lvlText w:val="•"/>
      <w:lvlJc w:val="left"/>
      <w:pPr>
        <w:ind w:left="5550" w:hanging="721"/>
      </w:pPr>
      <w:rPr>
        <w:rFonts w:hint="default"/>
        <w:lang w:val="en-US" w:eastAsia="en-US" w:bidi="ar-SA"/>
      </w:rPr>
    </w:lvl>
    <w:lvl w:ilvl="6" w:tplc="FFFFFFFF">
      <w:numFmt w:val="bullet"/>
      <w:lvlText w:val="•"/>
      <w:lvlJc w:val="left"/>
      <w:pPr>
        <w:ind w:left="6352" w:hanging="721"/>
      </w:pPr>
      <w:rPr>
        <w:rFonts w:hint="default"/>
        <w:lang w:val="en-US" w:eastAsia="en-US" w:bidi="ar-SA"/>
      </w:rPr>
    </w:lvl>
    <w:lvl w:ilvl="7" w:tplc="FFFFFFFF">
      <w:numFmt w:val="bullet"/>
      <w:lvlText w:val="•"/>
      <w:lvlJc w:val="left"/>
      <w:pPr>
        <w:ind w:left="7154" w:hanging="721"/>
      </w:pPr>
      <w:rPr>
        <w:rFonts w:hint="default"/>
        <w:lang w:val="en-US" w:eastAsia="en-US" w:bidi="ar-SA"/>
      </w:rPr>
    </w:lvl>
    <w:lvl w:ilvl="8" w:tplc="FFFFFFFF">
      <w:numFmt w:val="bullet"/>
      <w:lvlText w:val="•"/>
      <w:lvlJc w:val="left"/>
      <w:pPr>
        <w:ind w:left="7956" w:hanging="721"/>
      </w:pPr>
      <w:rPr>
        <w:rFonts w:hint="default"/>
        <w:lang w:val="en-US" w:eastAsia="en-US" w:bidi="ar-SA"/>
      </w:rPr>
    </w:lvl>
  </w:abstractNum>
  <w:abstractNum w:abstractNumId="6" w15:restartNumberingAfterBreak="0">
    <w:nsid w:val="3D860894"/>
    <w:multiLevelType w:val="hybridMultilevel"/>
    <w:tmpl w:val="30F0EB34"/>
    <w:lvl w:ilvl="0" w:tplc="93D03E6A">
      <w:start w:val="1"/>
      <w:numFmt w:val="lowerLetter"/>
      <w:lvlText w:val="%1."/>
      <w:lvlJc w:val="left"/>
      <w:pPr>
        <w:ind w:left="1540" w:hanging="721"/>
      </w:pPr>
      <w:rPr>
        <w:rFonts w:hint="default"/>
        <w:spacing w:val="-1"/>
        <w:w w:val="100"/>
        <w:sz w:val="22"/>
        <w:szCs w:val="22"/>
        <w:lang w:val="en-US" w:eastAsia="en-US" w:bidi="ar-SA"/>
      </w:rPr>
    </w:lvl>
    <w:lvl w:ilvl="1" w:tplc="FFFFFFFF">
      <w:numFmt w:val="bullet"/>
      <w:lvlText w:val="•"/>
      <w:lvlJc w:val="left"/>
      <w:pPr>
        <w:ind w:left="2342" w:hanging="721"/>
      </w:pPr>
      <w:rPr>
        <w:rFonts w:hint="default"/>
        <w:lang w:val="en-US" w:eastAsia="en-US" w:bidi="ar-SA"/>
      </w:rPr>
    </w:lvl>
    <w:lvl w:ilvl="2" w:tplc="FFFFFFFF">
      <w:numFmt w:val="bullet"/>
      <w:lvlText w:val="•"/>
      <w:lvlJc w:val="left"/>
      <w:pPr>
        <w:ind w:left="3144" w:hanging="721"/>
      </w:pPr>
      <w:rPr>
        <w:rFonts w:hint="default"/>
        <w:lang w:val="en-US" w:eastAsia="en-US" w:bidi="ar-SA"/>
      </w:rPr>
    </w:lvl>
    <w:lvl w:ilvl="3" w:tplc="FFFFFFFF">
      <w:numFmt w:val="bullet"/>
      <w:lvlText w:val="•"/>
      <w:lvlJc w:val="left"/>
      <w:pPr>
        <w:ind w:left="3946" w:hanging="721"/>
      </w:pPr>
      <w:rPr>
        <w:rFonts w:hint="default"/>
        <w:lang w:val="en-US" w:eastAsia="en-US" w:bidi="ar-SA"/>
      </w:rPr>
    </w:lvl>
    <w:lvl w:ilvl="4" w:tplc="FFFFFFFF">
      <w:numFmt w:val="bullet"/>
      <w:lvlText w:val="•"/>
      <w:lvlJc w:val="left"/>
      <w:pPr>
        <w:ind w:left="4748" w:hanging="721"/>
      </w:pPr>
      <w:rPr>
        <w:rFonts w:hint="default"/>
        <w:lang w:val="en-US" w:eastAsia="en-US" w:bidi="ar-SA"/>
      </w:rPr>
    </w:lvl>
    <w:lvl w:ilvl="5" w:tplc="FFFFFFFF">
      <w:numFmt w:val="bullet"/>
      <w:lvlText w:val="•"/>
      <w:lvlJc w:val="left"/>
      <w:pPr>
        <w:ind w:left="5550" w:hanging="721"/>
      </w:pPr>
      <w:rPr>
        <w:rFonts w:hint="default"/>
        <w:lang w:val="en-US" w:eastAsia="en-US" w:bidi="ar-SA"/>
      </w:rPr>
    </w:lvl>
    <w:lvl w:ilvl="6" w:tplc="FFFFFFFF">
      <w:numFmt w:val="bullet"/>
      <w:lvlText w:val="•"/>
      <w:lvlJc w:val="left"/>
      <w:pPr>
        <w:ind w:left="6352" w:hanging="721"/>
      </w:pPr>
      <w:rPr>
        <w:rFonts w:hint="default"/>
        <w:lang w:val="en-US" w:eastAsia="en-US" w:bidi="ar-SA"/>
      </w:rPr>
    </w:lvl>
    <w:lvl w:ilvl="7" w:tplc="FFFFFFFF">
      <w:numFmt w:val="bullet"/>
      <w:lvlText w:val="•"/>
      <w:lvlJc w:val="left"/>
      <w:pPr>
        <w:ind w:left="7154" w:hanging="721"/>
      </w:pPr>
      <w:rPr>
        <w:rFonts w:hint="default"/>
        <w:lang w:val="en-US" w:eastAsia="en-US" w:bidi="ar-SA"/>
      </w:rPr>
    </w:lvl>
    <w:lvl w:ilvl="8" w:tplc="FFFFFFFF">
      <w:numFmt w:val="bullet"/>
      <w:lvlText w:val="•"/>
      <w:lvlJc w:val="left"/>
      <w:pPr>
        <w:ind w:left="7956" w:hanging="721"/>
      </w:pPr>
      <w:rPr>
        <w:rFonts w:hint="default"/>
        <w:lang w:val="en-US" w:eastAsia="en-US" w:bidi="ar-SA"/>
      </w:rPr>
    </w:lvl>
  </w:abstractNum>
  <w:abstractNum w:abstractNumId="7" w15:restartNumberingAfterBreak="0">
    <w:nsid w:val="4A5A2BDB"/>
    <w:multiLevelType w:val="hybridMultilevel"/>
    <w:tmpl w:val="6F80F5A8"/>
    <w:lvl w:ilvl="0" w:tplc="79064872">
      <w:start w:val="1"/>
      <w:numFmt w:val="decimal"/>
      <w:lvlText w:val="03.0%1."/>
      <w:lvlJc w:val="left"/>
      <w:pPr>
        <w:ind w:left="1252" w:hanging="360"/>
      </w:pPr>
      <w:rPr>
        <w:rFonts w:hint="default"/>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8" w15:restartNumberingAfterBreak="0">
    <w:nsid w:val="562D3FFD"/>
    <w:multiLevelType w:val="hybridMultilevel"/>
    <w:tmpl w:val="18DE64F6"/>
    <w:lvl w:ilvl="0" w:tplc="93D03E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74060"/>
    <w:multiLevelType w:val="multilevel"/>
    <w:tmpl w:val="01F08B5A"/>
    <w:lvl w:ilvl="0">
      <w:start w:val="1"/>
      <w:numFmt w:val="decimal"/>
      <w:lvlText w:val="0%1."/>
      <w:lvlJc w:val="left"/>
      <w:pPr>
        <w:ind w:left="892" w:hanging="360"/>
      </w:pPr>
      <w:rPr>
        <w:rFonts w:hint="default"/>
      </w:rPr>
    </w:lvl>
    <w:lvl w:ilvl="1">
      <w:start w:val="1"/>
      <w:numFmt w:val="decimal"/>
      <w:lvlText w:val="0%1.0%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upperRoman"/>
      <w:lvlText w:val="%5."/>
      <w:lvlJc w:val="right"/>
      <w:pPr>
        <w:ind w:left="3600" w:hanging="360"/>
      </w:p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2D7281F"/>
    <w:multiLevelType w:val="multilevel"/>
    <w:tmpl w:val="44DC3F46"/>
    <w:lvl w:ilvl="0">
      <w:start w:val="1"/>
      <w:numFmt w:val="decimal"/>
      <w:lvlText w:val="0%1."/>
      <w:lvlJc w:val="left"/>
      <w:pPr>
        <w:ind w:left="892" w:hanging="360"/>
      </w:pPr>
      <w:rPr>
        <w:rFonts w:hint="default"/>
      </w:rPr>
    </w:lvl>
    <w:lvl w:ilvl="1">
      <w:start w:val="1"/>
      <w:numFmt w:val="decimal"/>
      <w:lvlText w:val="0%1.0%2."/>
      <w:lvlJc w:val="left"/>
      <w:pPr>
        <w:ind w:left="297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33577BF"/>
    <w:multiLevelType w:val="hybridMultilevel"/>
    <w:tmpl w:val="58AEA78C"/>
    <w:lvl w:ilvl="0" w:tplc="24C62412">
      <w:numFmt w:val="bullet"/>
      <w:lvlText w:val=""/>
      <w:lvlJc w:val="left"/>
      <w:pPr>
        <w:ind w:left="2980" w:hanging="361"/>
      </w:pPr>
      <w:rPr>
        <w:rFonts w:ascii="Symbol" w:eastAsia="Symbol" w:hAnsi="Symbol" w:cs="Symbol" w:hint="default"/>
        <w:w w:val="100"/>
        <w:sz w:val="22"/>
        <w:szCs w:val="22"/>
        <w:lang w:val="en-US" w:eastAsia="en-US" w:bidi="ar-SA"/>
      </w:rPr>
    </w:lvl>
    <w:lvl w:ilvl="1" w:tplc="43AA2B46">
      <w:numFmt w:val="bullet"/>
      <w:lvlText w:val="•"/>
      <w:lvlJc w:val="left"/>
      <w:pPr>
        <w:ind w:left="3638" w:hanging="361"/>
      </w:pPr>
      <w:rPr>
        <w:rFonts w:hint="default"/>
        <w:lang w:val="en-US" w:eastAsia="en-US" w:bidi="ar-SA"/>
      </w:rPr>
    </w:lvl>
    <w:lvl w:ilvl="2" w:tplc="AA620950">
      <w:numFmt w:val="bullet"/>
      <w:lvlText w:val="•"/>
      <w:lvlJc w:val="left"/>
      <w:pPr>
        <w:ind w:left="4296" w:hanging="361"/>
      </w:pPr>
      <w:rPr>
        <w:rFonts w:hint="default"/>
        <w:lang w:val="en-US" w:eastAsia="en-US" w:bidi="ar-SA"/>
      </w:rPr>
    </w:lvl>
    <w:lvl w:ilvl="3" w:tplc="AFC22A58">
      <w:numFmt w:val="bullet"/>
      <w:lvlText w:val="•"/>
      <w:lvlJc w:val="left"/>
      <w:pPr>
        <w:ind w:left="4954" w:hanging="361"/>
      </w:pPr>
      <w:rPr>
        <w:rFonts w:hint="default"/>
        <w:lang w:val="en-US" w:eastAsia="en-US" w:bidi="ar-SA"/>
      </w:rPr>
    </w:lvl>
    <w:lvl w:ilvl="4" w:tplc="D0FA9994">
      <w:numFmt w:val="bullet"/>
      <w:lvlText w:val="•"/>
      <w:lvlJc w:val="left"/>
      <w:pPr>
        <w:ind w:left="5612" w:hanging="361"/>
      </w:pPr>
      <w:rPr>
        <w:rFonts w:hint="default"/>
        <w:lang w:val="en-US" w:eastAsia="en-US" w:bidi="ar-SA"/>
      </w:rPr>
    </w:lvl>
    <w:lvl w:ilvl="5" w:tplc="3976C866">
      <w:numFmt w:val="bullet"/>
      <w:lvlText w:val="•"/>
      <w:lvlJc w:val="left"/>
      <w:pPr>
        <w:ind w:left="6270" w:hanging="361"/>
      </w:pPr>
      <w:rPr>
        <w:rFonts w:hint="default"/>
        <w:lang w:val="en-US" w:eastAsia="en-US" w:bidi="ar-SA"/>
      </w:rPr>
    </w:lvl>
    <w:lvl w:ilvl="6" w:tplc="93A236FE">
      <w:numFmt w:val="bullet"/>
      <w:lvlText w:val="•"/>
      <w:lvlJc w:val="left"/>
      <w:pPr>
        <w:ind w:left="6928" w:hanging="361"/>
      </w:pPr>
      <w:rPr>
        <w:rFonts w:hint="default"/>
        <w:lang w:val="en-US" w:eastAsia="en-US" w:bidi="ar-SA"/>
      </w:rPr>
    </w:lvl>
    <w:lvl w:ilvl="7" w:tplc="04F8FC7E">
      <w:numFmt w:val="bullet"/>
      <w:lvlText w:val="•"/>
      <w:lvlJc w:val="left"/>
      <w:pPr>
        <w:ind w:left="7586" w:hanging="361"/>
      </w:pPr>
      <w:rPr>
        <w:rFonts w:hint="default"/>
        <w:lang w:val="en-US" w:eastAsia="en-US" w:bidi="ar-SA"/>
      </w:rPr>
    </w:lvl>
    <w:lvl w:ilvl="8" w:tplc="28803522">
      <w:numFmt w:val="bullet"/>
      <w:lvlText w:val="•"/>
      <w:lvlJc w:val="left"/>
      <w:pPr>
        <w:ind w:left="8244" w:hanging="361"/>
      </w:pPr>
      <w:rPr>
        <w:rFonts w:hint="default"/>
        <w:lang w:val="en-US" w:eastAsia="en-US" w:bidi="ar-SA"/>
      </w:rPr>
    </w:lvl>
  </w:abstractNum>
  <w:abstractNum w:abstractNumId="12" w15:restartNumberingAfterBreak="0">
    <w:nsid w:val="73F12364"/>
    <w:multiLevelType w:val="multilevel"/>
    <w:tmpl w:val="CFFA544E"/>
    <w:lvl w:ilvl="0">
      <w:start w:val="1"/>
      <w:numFmt w:val="decimal"/>
      <w:lvlText w:val="0%1."/>
      <w:lvlJc w:val="left"/>
      <w:pPr>
        <w:ind w:left="892" w:hanging="360"/>
      </w:pPr>
      <w:rPr>
        <w:rFonts w:hint="default"/>
      </w:rPr>
    </w:lvl>
    <w:lvl w:ilvl="1">
      <w:start w:val="1"/>
      <w:numFmt w:val="decimal"/>
      <w:lvlText w:val="0%1.0%2."/>
      <w:lvlJc w:val="left"/>
      <w:pPr>
        <w:ind w:left="1440" w:hanging="360"/>
      </w:pPr>
      <w:rPr>
        <w:rFonts w:hint="default"/>
      </w:rPr>
    </w:lvl>
    <w:lvl w:ilvl="2">
      <w:start w:val="1"/>
      <w:numFmt w:val="decimal"/>
      <w:lvlText w:val="03.0%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A990A6B"/>
    <w:multiLevelType w:val="hybridMultilevel"/>
    <w:tmpl w:val="944A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576339">
    <w:abstractNumId w:val="3"/>
  </w:num>
  <w:num w:numId="2" w16cid:durableId="850990071">
    <w:abstractNumId w:val="1"/>
  </w:num>
  <w:num w:numId="3" w16cid:durableId="804389857">
    <w:abstractNumId w:val="11"/>
  </w:num>
  <w:num w:numId="4" w16cid:durableId="1480687095">
    <w:abstractNumId w:val="13"/>
  </w:num>
  <w:num w:numId="5" w16cid:durableId="1108234881">
    <w:abstractNumId w:val="5"/>
  </w:num>
  <w:num w:numId="6" w16cid:durableId="324551103">
    <w:abstractNumId w:val="10"/>
  </w:num>
  <w:num w:numId="7" w16cid:durableId="403991104">
    <w:abstractNumId w:val="12"/>
  </w:num>
  <w:num w:numId="8" w16cid:durableId="1219711222">
    <w:abstractNumId w:val="7"/>
  </w:num>
  <w:num w:numId="9" w16cid:durableId="1005087327">
    <w:abstractNumId w:val="0"/>
  </w:num>
  <w:num w:numId="10" w16cid:durableId="1990134010">
    <w:abstractNumId w:val="9"/>
  </w:num>
  <w:num w:numId="11" w16cid:durableId="152258321">
    <w:abstractNumId w:val="2"/>
  </w:num>
  <w:num w:numId="12" w16cid:durableId="1210992685">
    <w:abstractNumId w:val="6"/>
  </w:num>
  <w:num w:numId="13" w16cid:durableId="2019194072">
    <w:abstractNumId w:val="8"/>
  </w:num>
  <w:num w:numId="14" w16cid:durableId="1954901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CB"/>
    <w:rsid w:val="00001662"/>
    <w:rsid w:val="0000484F"/>
    <w:rsid w:val="00006F6A"/>
    <w:rsid w:val="0001035F"/>
    <w:rsid w:val="0001101C"/>
    <w:rsid w:val="00016B4A"/>
    <w:rsid w:val="0002543A"/>
    <w:rsid w:val="00034DDE"/>
    <w:rsid w:val="000405BB"/>
    <w:rsid w:val="0004334E"/>
    <w:rsid w:val="00051282"/>
    <w:rsid w:val="00060B59"/>
    <w:rsid w:val="00061F9B"/>
    <w:rsid w:val="0006423A"/>
    <w:rsid w:val="0006599F"/>
    <w:rsid w:val="000669F0"/>
    <w:rsid w:val="00073143"/>
    <w:rsid w:val="00073341"/>
    <w:rsid w:val="00073536"/>
    <w:rsid w:val="00075C68"/>
    <w:rsid w:val="000814AB"/>
    <w:rsid w:val="00083B08"/>
    <w:rsid w:val="0008747B"/>
    <w:rsid w:val="00093325"/>
    <w:rsid w:val="00095142"/>
    <w:rsid w:val="00095F55"/>
    <w:rsid w:val="000B056B"/>
    <w:rsid w:val="000B5127"/>
    <w:rsid w:val="000B6CD6"/>
    <w:rsid w:val="000C6CE9"/>
    <w:rsid w:val="000C730C"/>
    <w:rsid w:val="000E76C7"/>
    <w:rsid w:val="00103857"/>
    <w:rsid w:val="00140F31"/>
    <w:rsid w:val="001421F3"/>
    <w:rsid w:val="001432CF"/>
    <w:rsid w:val="00146AB6"/>
    <w:rsid w:val="00147B43"/>
    <w:rsid w:val="00167D55"/>
    <w:rsid w:val="00171D98"/>
    <w:rsid w:val="0017497B"/>
    <w:rsid w:val="00185498"/>
    <w:rsid w:val="0019751C"/>
    <w:rsid w:val="001C0A0B"/>
    <w:rsid w:val="001C2DF6"/>
    <w:rsid w:val="001D2C01"/>
    <w:rsid w:val="001D6807"/>
    <w:rsid w:val="001E1481"/>
    <w:rsid w:val="001E7721"/>
    <w:rsid w:val="001F194E"/>
    <w:rsid w:val="001F5358"/>
    <w:rsid w:val="002050ED"/>
    <w:rsid w:val="0021499F"/>
    <w:rsid w:val="00226B05"/>
    <w:rsid w:val="0023021A"/>
    <w:rsid w:val="002334A1"/>
    <w:rsid w:val="00247A31"/>
    <w:rsid w:val="00254841"/>
    <w:rsid w:val="002603E2"/>
    <w:rsid w:val="0026290E"/>
    <w:rsid w:val="00262961"/>
    <w:rsid w:val="00271681"/>
    <w:rsid w:val="0027705C"/>
    <w:rsid w:val="00277B1C"/>
    <w:rsid w:val="00280087"/>
    <w:rsid w:val="002A0BFC"/>
    <w:rsid w:val="002A15B3"/>
    <w:rsid w:val="002B6085"/>
    <w:rsid w:val="002B757C"/>
    <w:rsid w:val="002D0602"/>
    <w:rsid w:val="002F2638"/>
    <w:rsid w:val="002F2660"/>
    <w:rsid w:val="002F3453"/>
    <w:rsid w:val="003226E1"/>
    <w:rsid w:val="003306E4"/>
    <w:rsid w:val="00336070"/>
    <w:rsid w:val="0034060A"/>
    <w:rsid w:val="00354D20"/>
    <w:rsid w:val="00360581"/>
    <w:rsid w:val="00366A43"/>
    <w:rsid w:val="0036799C"/>
    <w:rsid w:val="00374CA3"/>
    <w:rsid w:val="0038032C"/>
    <w:rsid w:val="00384F30"/>
    <w:rsid w:val="0039007D"/>
    <w:rsid w:val="003A27C2"/>
    <w:rsid w:val="003A6BE5"/>
    <w:rsid w:val="003B0078"/>
    <w:rsid w:val="003B5C24"/>
    <w:rsid w:val="003C2594"/>
    <w:rsid w:val="003D1122"/>
    <w:rsid w:val="003E0177"/>
    <w:rsid w:val="003E2E3E"/>
    <w:rsid w:val="003F46B6"/>
    <w:rsid w:val="003F52C7"/>
    <w:rsid w:val="003F5562"/>
    <w:rsid w:val="00413356"/>
    <w:rsid w:val="00413388"/>
    <w:rsid w:val="00432C95"/>
    <w:rsid w:val="00434401"/>
    <w:rsid w:val="00434CC7"/>
    <w:rsid w:val="0043591B"/>
    <w:rsid w:val="004408E6"/>
    <w:rsid w:val="00441089"/>
    <w:rsid w:val="004448E3"/>
    <w:rsid w:val="004553B5"/>
    <w:rsid w:val="00465211"/>
    <w:rsid w:val="00477AF1"/>
    <w:rsid w:val="004904B7"/>
    <w:rsid w:val="004A2C79"/>
    <w:rsid w:val="004A4C0E"/>
    <w:rsid w:val="004B119A"/>
    <w:rsid w:val="004B2490"/>
    <w:rsid w:val="004C3E81"/>
    <w:rsid w:val="004C472E"/>
    <w:rsid w:val="004D1A9E"/>
    <w:rsid w:val="004E099C"/>
    <w:rsid w:val="004E2E39"/>
    <w:rsid w:val="004E3716"/>
    <w:rsid w:val="004F0920"/>
    <w:rsid w:val="004F23FE"/>
    <w:rsid w:val="004F6680"/>
    <w:rsid w:val="00504A3E"/>
    <w:rsid w:val="00505E57"/>
    <w:rsid w:val="005123B3"/>
    <w:rsid w:val="00532424"/>
    <w:rsid w:val="00535896"/>
    <w:rsid w:val="00540791"/>
    <w:rsid w:val="005552CA"/>
    <w:rsid w:val="005732DB"/>
    <w:rsid w:val="005857C7"/>
    <w:rsid w:val="0059103D"/>
    <w:rsid w:val="00595598"/>
    <w:rsid w:val="005A1475"/>
    <w:rsid w:val="005A7348"/>
    <w:rsid w:val="005B4F51"/>
    <w:rsid w:val="005C457E"/>
    <w:rsid w:val="005D2D9E"/>
    <w:rsid w:val="005D42A1"/>
    <w:rsid w:val="005D4CD3"/>
    <w:rsid w:val="005E6909"/>
    <w:rsid w:val="005F183F"/>
    <w:rsid w:val="006056B9"/>
    <w:rsid w:val="00614959"/>
    <w:rsid w:val="00643DD2"/>
    <w:rsid w:val="00652CE1"/>
    <w:rsid w:val="00665DAC"/>
    <w:rsid w:val="006679A3"/>
    <w:rsid w:val="0067239A"/>
    <w:rsid w:val="00674BA0"/>
    <w:rsid w:val="00681A20"/>
    <w:rsid w:val="006928B9"/>
    <w:rsid w:val="00693710"/>
    <w:rsid w:val="006A2E86"/>
    <w:rsid w:val="006A42CB"/>
    <w:rsid w:val="006C3405"/>
    <w:rsid w:val="006C479D"/>
    <w:rsid w:val="006E24B7"/>
    <w:rsid w:val="006F1C06"/>
    <w:rsid w:val="006F208B"/>
    <w:rsid w:val="006F5A5D"/>
    <w:rsid w:val="00705688"/>
    <w:rsid w:val="00705C87"/>
    <w:rsid w:val="00706312"/>
    <w:rsid w:val="00716D7B"/>
    <w:rsid w:val="00720956"/>
    <w:rsid w:val="00720F2A"/>
    <w:rsid w:val="00721CA7"/>
    <w:rsid w:val="00724A8F"/>
    <w:rsid w:val="00725233"/>
    <w:rsid w:val="007305AE"/>
    <w:rsid w:val="007376ED"/>
    <w:rsid w:val="0074651D"/>
    <w:rsid w:val="00764547"/>
    <w:rsid w:val="00767016"/>
    <w:rsid w:val="00772538"/>
    <w:rsid w:val="00777244"/>
    <w:rsid w:val="007974D7"/>
    <w:rsid w:val="007B2F13"/>
    <w:rsid w:val="007B5380"/>
    <w:rsid w:val="007C2BA3"/>
    <w:rsid w:val="007D6C17"/>
    <w:rsid w:val="007E1F60"/>
    <w:rsid w:val="007E2C3C"/>
    <w:rsid w:val="007E6A50"/>
    <w:rsid w:val="007F55EF"/>
    <w:rsid w:val="008022B0"/>
    <w:rsid w:val="00802DD2"/>
    <w:rsid w:val="00804367"/>
    <w:rsid w:val="008050CB"/>
    <w:rsid w:val="00816F4D"/>
    <w:rsid w:val="00821AED"/>
    <w:rsid w:val="00825E6F"/>
    <w:rsid w:val="00832C08"/>
    <w:rsid w:val="0083405E"/>
    <w:rsid w:val="00841A17"/>
    <w:rsid w:val="0085062B"/>
    <w:rsid w:val="008705A0"/>
    <w:rsid w:val="008738D0"/>
    <w:rsid w:val="00877DC3"/>
    <w:rsid w:val="008918A8"/>
    <w:rsid w:val="008B15FD"/>
    <w:rsid w:val="008B2232"/>
    <w:rsid w:val="008B5611"/>
    <w:rsid w:val="008B6C33"/>
    <w:rsid w:val="008B7C8F"/>
    <w:rsid w:val="008C46D2"/>
    <w:rsid w:val="008E7975"/>
    <w:rsid w:val="008F03F2"/>
    <w:rsid w:val="008F215A"/>
    <w:rsid w:val="008F33DB"/>
    <w:rsid w:val="00905FBA"/>
    <w:rsid w:val="00906881"/>
    <w:rsid w:val="009072F9"/>
    <w:rsid w:val="00924AE4"/>
    <w:rsid w:val="0093219F"/>
    <w:rsid w:val="00950A61"/>
    <w:rsid w:val="009576B4"/>
    <w:rsid w:val="00973387"/>
    <w:rsid w:val="009755DD"/>
    <w:rsid w:val="009D55C1"/>
    <w:rsid w:val="009E0815"/>
    <w:rsid w:val="009E1322"/>
    <w:rsid w:val="009E6212"/>
    <w:rsid w:val="009F2FE6"/>
    <w:rsid w:val="009F4BFC"/>
    <w:rsid w:val="00A05F77"/>
    <w:rsid w:val="00A16715"/>
    <w:rsid w:val="00A21DA7"/>
    <w:rsid w:val="00A44350"/>
    <w:rsid w:val="00A5087B"/>
    <w:rsid w:val="00A6200B"/>
    <w:rsid w:val="00A71425"/>
    <w:rsid w:val="00A7181A"/>
    <w:rsid w:val="00A7639A"/>
    <w:rsid w:val="00A87298"/>
    <w:rsid w:val="00A94954"/>
    <w:rsid w:val="00AA658A"/>
    <w:rsid w:val="00AB0379"/>
    <w:rsid w:val="00AB0646"/>
    <w:rsid w:val="00AB4657"/>
    <w:rsid w:val="00AB7EAB"/>
    <w:rsid w:val="00AE15B2"/>
    <w:rsid w:val="00AE4626"/>
    <w:rsid w:val="00AE5C07"/>
    <w:rsid w:val="00B034A1"/>
    <w:rsid w:val="00B0352D"/>
    <w:rsid w:val="00B03995"/>
    <w:rsid w:val="00B107D1"/>
    <w:rsid w:val="00B12E7A"/>
    <w:rsid w:val="00B200BC"/>
    <w:rsid w:val="00B2373F"/>
    <w:rsid w:val="00B322D3"/>
    <w:rsid w:val="00B3480F"/>
    <w:rsid w:val="00B352F2"/>
    <w:rsid w:val="00B722BA"/>
    <w:rsid w:val="00B83F64"/>
    <w:rsid w:val="00B87EA0"/>
    <w:rsid w:val="00BA468D"/>
    <w:rsid w:val="00BB0F5C"/>
    <w:rsid w:val="00BB6611"/>
    <w:rsid w:val="00BC70E9"/>
    <w:rsid w:val="00BE4FE5"/>
    <w:rsid w:val="00BF1001"/>
    <w:rsid w:val="00BF1C1F"/>
    <w:rsid w:val="00BF7350"/>
    <w:rsid w:val="00BF7ACB"/>
    <w:rsid w:val="00C02C60"/>
    <w:rsid w:val="00C034EA"/>
    <w:rsid w:val="00C111AC"/>
    <w:rsid w:val="00C15FAB"/>
    <w:rsid w:val="00C1665E"/>
    <w:rsid w:val="00C200B1"/>
    <w:rsid w:val="00C22FD8"/>
    <w:rsid w:val="00C256CC"/>
    <w:rsid w:val="00C274D4"/>
    <w:rsid w:val="00C27CBE"/>
    <w:rsid w:val="00C322B3"/>
    <w:rsid w:val="00C342B4"/>
    <w:rsid w:val="00C45800"/>
    <w:rsid w:val="00C45C03"/>
    <w:rsid w:val="00C4673A"/>
    <w:rsid w:val="00C62782"/>
    <w:rsid w:val="00C70CAF"/>
    <w:rsid w:val="00C80B41"/>
    <w:rsid w:val="00C80E2A"/>
    <w:rsid w:val="00C93C57"/>
    <w:rsid w:val="00C96EC7"/>
    <w:rsid w:val="00C96FDF"/>
    <w:rsid w:val="00C97D84"/>
    <w:rsid w:val="00CA068A"/>
    <w:rsid w:val="00CA0B60"/>
    <w:rsid w:val="00CA31FB"/>
    <w:rsid w:val="00CB74BF"/>
    <w:rsid w:val="00CC034F"/>
    <w:rsid w:val="00CC19E7"/>
    <w:rsid w:val="00CC4712"/>
    <w:rsid w:val="00CD590E"/>
    <w:rsid w:val="00CE2B1F"/>
    <w:rsid w:val="00CE3906"/>
    <w:rsid w:val="00CE4C7D"/>
    <w:rsid w:val="00CF0BCF"/>
    <w:rsid w:val="00D35B64"/>
    <w:rsid w:val="00D45C5F"/>
    <w:rsid w:val="00D50CAE"/>
    <w:rsid w:val="00D53D5C"/>
    <w:rsid w:val="00D60474"/>
    <w:rsid w:val="00D64174"/>
    <w:rsid w:val="00D641E1"/>
    <w:rsid w:val="00D66D1A"/>
    <w:rsid w:val="00D73B0A"/>
    <w:rsid w:val="00D8396F"/>
    <w:rsid w:val="00D94ADE"/>
    <w:rsid w:val="00D95B5D"/>
    <w:rsid w:val="00DA4A0B"/>
    <w:rsid w:val="00DA5EA9"/>
    <w:rsid w:val="00DC1686"/>
    <w:rsid w:val="00DD7EF3"/>
    <w:rsid w:val="00DE3F8D"/>
    <w:rsid w:val="00DE5A22"/>
    <w:rsid w:val="00DE7EA9"/>
    <w:rsid w:val="00E03181"/>
    <w:rsid w:val="00E123A7"/>
    <w:rsid w:val="00E14256"/>
    <w:rsid w:val="00E171EC"/>
    <w:rsid w:val="00E17F5D"/>
    <w:rsid w:val="00E4137E"/>
    <w:rsid w:val="00E4393A"/>
    <w:rsid w:val="00E456E3"/>
    <w:rsid w:val="00E5597A"/>
    <w:rsid w:val="00E56197"/>
    <w:rsid w:val="00E56E00"/>
    <w:rsid w:val="00E71B46"/>
    <w:rsid w:val="00EA19CC"/>
    <w:rsid w:val="00EB4A65"/>
    <w:rsid w:val="00EB5808"/>
    <w:rsid w:val="00EB6B91"/>
    <w:rsid w:val="00EB78EF"/>
    <w:rsid w:val="00EC6713"/>
    <w:rsid w:val="00EC6B6D"/>
    <w:rsid w:val="00EC729E"/>
    <w:rsid w:val="00ED4998"/>
    <w:rsid w:val="00ED530E"/>
    <w:rsid w:val="00EE30E4"/>
    <w:rsid w:val="00EE4AEE"/>
    <w:rsid w:val="00EE6E9F"/>
    <w:rsid w:val="00F04C0D"/>
    <w:rsid w:val="00F11E4D"/>
    <w:rsid w:val="00F12BDA"/>
    <w:rsid w:val="00F137C8"/>
    <w:rsid w:val="00F176F8"/>
    <w:rsid w:val="00F210FD"/>
    <w:rsid w:val="00F41FB8"/>
    <w:rsid w:val="00F44C46"/>
    <w:rsid w:val="00F45B46"/>
    <w:rsid w:val="00F53985"/>
    <w:rsid w:val="00F601E0"/>
    <w:rsid w:val="00F638E5"/>
    <w:rsid w:val="00F94012"/>
    <w:rsid w:val="00F947A9"/>
    <w:rsid w:val="00FA2D40"/>
    <w:rsid w:val="00FA5ED3"/>
    <w:rsid w:val="00FA6193"/>
    <w:rsid w:val="00FA705C"/>
    <w:rsid w:val="00FA724D"/>
    <w:rsid w:val="00FB0753"/>
    <w:rsid w:val="00FB3206"/>
    <w:rsid w:val="00FC7E94"/>
    <w:rsid w:val="00FD001A"/>
    <w:rsid w:val="00FD6C25"/>
    <w:rsid w:val="00FE272C"/>
    <w:rsid w:val="00FE4C1F"/>
    <w:rsid w:val="00FE666D"/>
    <w:rsid w:val="00FF3619"/>
    <w:rsid w:val="00FF3D77"/>
    <w:rsid w:val="00FF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8887"/>
  <w15:docId w15:val="{14F906EE-2748-401D-A7FC-756F4F91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0B41"/>
    <w:rPr>
      <w:color w:val="0000FF" w:themeColor="hyperlink"/>
      <w:u w:val="single"/>
    </w:rPr>
  </w:style>
  <w:style w:type="character" w:styleId="UnresolvedMention">
    <w:name w:val="Unresolved Mention"/>
    <w:basedOn w:val="DefaultParagraphFont"/>
    <w:uiPriority w:val="99"/>
    <w:semiHidden/>
    <w:unhideWhenUsed/>
    <w:rsid w:val="00C80B41"/>
    <w:rPr>
      <w:color w:val="605E5C"/>
      <w:shd w:val="clear" w:color="auto" w:fill="E1DFDD"/>
    </w:rPr>
  </w:style>
  <w:style w:type="character" w:styleId="FollowedHyperlink">
    <w:name w:val="FollowedHyperlink"/>
    <w:basedOn w:val="DefaultParagraphFont"/>
    <w:uiPriority w:val="99"/>
    <w:semiHidden/>
    <w:unhideWhenUsed/>
    <w:rsid w:val="00772538"/>
    <w:rPr>
      <w:color w:val="800080" w:themeColor="followedHyperlink"/>
      <w:u w:val="single"/>
    </w:rPr>
  </w:style>
  <w:style w:type="table" w:styleId="TableGrid">
    <w:name w:val="Table Grid"/>
    <w:basedOn w:val="TableNormal"/>
    <w:uiPriority w:val="39"/>
    <w:rsid w:val="00A71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51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txst.edu/About/College-Policies-and-Procedures/04.02.20-Tenure-and-Promot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ies.txstate.edu/division-policies/academic-affairs/04-02-11.html" TargetMode="External"/><Relationship Id="rId12" Type="http://schemas.openxmlformats.org/officeDocument/2006/relationships/hyperlink" Target="https://www.health.txstate.edu/About/College-Policies-and-Procedures/04.01.50-Merit---Evaluation-for-Facul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txstate.edu/division-policies/academic-affairs/04-02-10.html" TargetMode="External"/><Relationship Id="rId11" Type="http://schemas.openxmlformats.org/officeDocument/2006/relationships/hyperlink" Target="https://policies.txstate.edu/division-policies/academic-affairs/04-01-50.html" TargetMode="External"/><Relationship Id="rId5" Type="http://schemas.openxmlformats.org/officeDocument/2006/relationships/hyperlink" Target="https://policies.txstate.edu/division-policies/academic-affairs/04-02-01.html" TargetMode="External"/><Relationship Id="rId10" Type="http://schemas.openxmlformats.org/officeDocument/2006/relationships/hyperlink" Target="https://www.health.txst.edu/About/College-Policies-and-Procedures/04.02.20-Tenure-and-Promotion.html" TargetMode="External"/><Relationship Id="rId4" Type="http://schemas.openxmlformats.org/officeDocument/2006/relationships/webSettings" Target="webSettings.xml"/><Relationship Id="rId9" Type="http://schemas.openxmlformats.org/officeDocument/2006/relationships/hyperlink" Target="https://policies.txstate.edu/division-policies/academic-affairs/04-02-2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HA/P&amp;P  #2</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HA/P&amp;P  #2</dc:title>
  <dc:creator>Julie Carroll</dc:creator>
  <cp:lastModifiedBy>Adams, Carmen A</cp:lastModifiedBy>
  <cp:revision>2</cp:revision>
  <dcterms:created xsi:type="dcterms:W3CDTF">2025-05-01T16:41:00Z</dcterms:created>
  <dcterms:modified xsi:type="dcterms:W3CDTF">2025-05-01T16:41:00Z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Acrobat PDFMaker 10.1 for Word</vt:lpwstr>
  </property>
  <property fmtid="{D5CDD505-2E9C-101B-9397-08002B2CF9AE}" pid="4" name="LastSaved">
    <vt:filetime>2020-08-17T00:00:00Z</vt:filetime>
  </property>
</Properties>
</file>