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559A" w14:textId="77777777" w:rsidR="00425087" w:rsidRDefault="00425087" w:rsidP="00425087">
      <w:r>
        <w:rPr>
          <w:noProof/>
        </w:rPr>
        <w:drawing>
          <wp:inline distT="0" distB="0" distL="0" distR="0" wp14:anchorId="4BDF75E6" wp14:editId="56BAD1DE">
            <wp:extent cx="5943600" cy="1042035"/>
            <wp:effectExtent l="0" t="0" r="0" b="571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943600" cy="1042035"/>
                    </a:xfrm>
                    <a:prstGeom prst="rect">
                      <a:avLst/>
                    </a:prstGeom>
                  </pic:spPr>
                </pic:pic>
              </a:graphicData>
            </a:graphic>
          </wp:inline>
        </w:drawing>
      </w:r>
    </w:p>
    <w:p w14:paraId="51D5C50B" w14:textId="77777777" w:rsidR="00425087" w:rsidRDefault="00425087" w:rsidP="00425087"/>
    <w:p w14:paraId="10F51782" w14:textId="77777777" w:rsidR="00425087" w:rsidRDefault="00425087" w:rsidP="00425087"/>
    <w:p w14:paraId="259387E8" w14:textId="77777777" w:rsidR="00425087" w:rsidRPr="00D85A33" w:rsidRDefault="00425087" w:rsidP="00425087"/>
    <w:p w14:paraId="27D1932B" w14:textId="77777777" w:rsidR="00425087" w:rsidRPr="002C5BD5" w:rsidRDefault="00425087" w:rsidP="00425087">
      <w:pPr>
        <w:jc w:val="center"/>
        <w:rPr>
          <w:rFonts w:ascii="Arial" w:hAnsi="Arial" w:cs="Arial"/>
          <w:b/>
          <w:sz w:val="48"/>
          <w:szCs w:val="48"/>
        </w:rPr>
      </w:pPr>
      <w:r w:rsidRPr="002C5BD5">
        <w:rPr>
          <w:rFonts w:ascii="Arial" w:hAnsi="Arial" w:cs="Arial"/>
          <w:b/>
          <w:sz w:val="48"/>
          <w:szCs w:val="48"/>
        </w:rPr>
        <w:t xml:space="preserve">ASSESSMENT RESULTS: </w:t>
      </w:r>
    </w:p>
    <w:p w14:paraId="2E07A1D4" w14:textId="77777777" w:rsidR="00425087" w:rsidRPr="00FC6211" w:rsidRDefault="00425087" w:rsidP="00425087">
      <w:pPr>
        <w:jc w:val="center"/>
        <w:rPr>
          <w:rFonts w:ascii="Arial" w:hAnsi="Arial" w:cs="Arial"/>
          <w:b/>
          <w:sz w:val="20"/>
          <w:szCs w:val="20"/>
        </w:rPr>
      </w:pPr>
      <w:r w:rsidRPr="00FC6211">
        <w:rPr>
          <w:rFonts w:ascii="Arial" w:hAnsi="Arial" w:cs="Arial"/>
          <w:b/>
          <w:sz w:val="20"/>
          <w:szCs w:val="20"/>
        </w:rPr>
        <w:t xml:space="preserve">  </w:t>
      </w:r>
    </w:p>
    <w:p w14:paraId="7B9AF5CB" w14:textId="77777777" w:rsidR="00425087" w:rsidRPr="00FC6211" w:rsidRDefault="00425087" w:rsidP="00425087">
      <w:pPr>
        <w:jc w:val="center"/>
        <w:rPr>
          <w:rFonts w:ascii="Arial" w:hAnsi="Arial" w:cs="Arial"/>
          <w:b/>
          <w:sz w:val="20"/>
          <w:szCs w:val="20"/>
        </w:rPr>
      </w:pPr>
      <w:r w:rsidRPr="00FC6211">
        <w:rPr>
          <w:rFonts w:ascii="Arial" w:hAnsi="Arial" w:cs="Arial"/>
          <w:b/>
          <w:sz w:val="20"/>
          <w:szCs w:val="20"/>
        </w:rPr>
        <w:t xml:space="preserve">  </w:t>
      </w:r>
    </w:p>
    <w:p w14:paraId="02D45AF8" w14:textId="1E77176A" w:rsidR="00425087" w:rsidRPr="00FC6211" w:rsidRDefault="00EF03CD" w:rsidP="00425087">
      <w:pPr>
        <w:jc w:val="center"/>
        <w:rPr>
          <w:rFonts w:ascii="Arial" w:hAnsi="Arial" w:cs="Arial"/>
          <w:b/>
          <w:sz w:val="40"/>
          <w:szCs w:val="40"/>
        </w:rPr>
      </w:pPr>
      <w:r>
        <w:rPr>
          <w:rFonts w:ascii="Arial" w:hAnsi="Arial" w:cs="Arial"/>
          <w:b/>
          <w:sz w:val="40"/>
          <w:szCs w:val="40"/>
        </w:rPr>
        <w:t>ANALYTICAL THINKING</w:t>
      </w:r>
    </w:p>
    <w:p w14:paraId="27B29710" w14:textId="77777777" w:rsidR="00425087" w:rsidRDefault="00425087" w:rsidP="00425087"/>
    <w:p w14:paraId="60758493" w14:textId="77777777" w:rsidR="00425087" w:rsidRDefault="00425087" w:rsidP="00425087">
      <w:pPr>
        <w:widowControl w:val="0"/>
        <w:autoSpaceDE w:val="0"/>
        <w:autoSpaceDN w:val="0"/>
        <w:rPr>
          <w:lang w:bidi="en-US"/>
        </w:rPr>
      </w:pPr>
    </w:p>
    <w:p w14:paraId="176BE607" w14:textId="77777777" w:rsidR="00425087" w:rsidRPr="00D5580D" w:rsidRDefault="00425087" w:rsidP="00425087">
      <w:pPr>
        <w:widowControl w:val="0"/>
        <w:autoSpaceDE w:val="0"/>
        <w:autoSpaceDN w:val="0"/>
        <w:rPr>
          <w:lang w:bidi="en-US"/>
        </w:rPr>
      </w:pPr>
      <w:r w:rsidRPr="00D5580D">
        <w:rPr>
          <w:lang w:bidi="en-US"/>
        </w:rPr>
        <w:t>Prepared by the McCoy College Assurance of Learning Committee:</w:t>
      </w:r>
    </w:p>
    <w:p w14:paraId="2164603A" w14:textId="77777777" w:rsidR="00425087" w:rsidRPr="00D5580D" w:rsidRDefault="00425087" w:rsidP="00425087">
      <w:pPr>
        <w:widowControl w:val="0"/>
        <w:autoSpaceDE w:val="0"/>
        <w:autoSpaceDN w:val="0"/>
        <w:rPr>
          <w:lang w:bidi="en-US"/>
        </w:rPr>
      </w:pPr>
    </w:p>
    <w:p w14:paraId="22CC6810" w14:textId="77777777" w:rsidR="00425087" w:rsidRPr="00D5580D" w:rsidRDefault="00425087" w:rsidP="00425087">
      <w:pPr>
        <w:widowControl w:val="0"/>
        <w:autoSpaceDE w:val="0"/>
        <w:autoSpaceDN w:val="0"/>
        <w:rPr>
          <w:lang w:bidi="en-US"/>
        </w:rPr>
      </w:pPr>
      <w:r w:rsidRPr="00D5580D">
        <w:rPr>
          <w:lang w:bidi="en-US"/>
        </w:rPr>
        <w:t>Course Coordinator</w:t>
      </w:r>
      <w:r w:rsidRPr="00D5580D">
        <w:rPr>
          <w:lang w:bidi="en-US"/>
        </w:rPr>
        <w:tab/>
      </w:r>
      <w:r w:rsidRPr="00D5580D">
        <w:rPr>
          <w:lang w:bidi="en-US"/>
        </w:rPr>
        <w:tab/>
      </w:r>
      <w:r w:rsidRPr="00D5580D">
        <w:rPr>
          <w:lang w:bidi="en-US"/>
        </w:rPr>
        <w:tab/>
      </w:r>
      <w:r w:rsidRPr="00D5580D">
        <w:rPr>
          <w:lang w:bidi="en-US"/>
        </w:rPr>
        <w:tab/>
        <w:t>Core Course</w:t>
      </w:r>
    </w:p>
    <w:p w14:paraId="16C1033C" w14:textId="77777777" w:rsidR="00425087" w:rsidRPr="00D5580D" w:rsidRDefault="00425087" w:rsidP="00425087">
      <w:pPr>
        <w:widowControl w:val="0"/>
        <w:autoSpaceDE w:val="0"/>
        <w:autoSpaceDN w:val="0"/>
        <w:rPr>
          <w:lang w:bidi="en-US"/>
        </w:rPr>
      </w:pPr>
    </w:p>
    <w:p w14:paraId="0B38DA48" w14:textId="77777777" w:rsidR="006B3594" w:rsidRDefault="006B3594" w:rsidP="006B3594">
      <w:pPr>
        <w:widowControl w:val="0"/>
        <w:tabs>
          <w:tab w:val="left" w:pos="2430"/>
          <w:tab w:val="left" w:pos="4050"/>
        </w:tabs>
        <w:autoSpaceDE w:val="0"/>
        <w:autoSpaceDN w:val="0"/>
        <w:ind w:left="113"/>
        <w:rPr>
          <w:lang w:bidi="en-US"/>
        </w:rPr>
      </w:pPr>
      <w:r w:rsidRPr="00FD6E14">
        <w:rPr>
          <w:lang w:bidi="en-US"/>
        </w:rPr>
        <w:t>Dr. Rene Heredia</w:t>
      </w:r>
      <w:r w:rsidRPr="00FD6E14">
        <w:rPr>
          <w:lang w:bidi="en-US"/>
        </w:rPr>
        <w:tab/>
        <w:t>BA 1310</w:t>
      </w:r>
      <w:r w:rsidRPr="00FD6E14">
        <w:rPr>
          <w:lang w:bidi="en-US"/>
        </w:rPr>
        <w:tab/>
        <w:t xml:space="preserve">Introduction to Business </w:t>
      </w:r>
    </w:p>
    <w:p w14:paraId="1F1AADC3"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Ms. Jennifer Krou</w:t>
      </w:r>
      <w:r w:rsidRPr="00FD6E14">
        <w:rPr>
          <w:lang w:bidi="en-US"/>
        </w:rPr>
        <w:tab/>
        <w:t>CIS 1323</w:t>
      </w:r>
      <w:r w:rsidRPr="00FD6E14">
        <w:rPr>
          <w:lang w:bidi="en-US"/>
        </w:rPr>
        <w:tab/>
        <w:t>Introduction to Microcomputer Applications</w:t>
      </w:r>
    </w:p>
    <w:p w14:paraId="5D88CEC1"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 xml:space="preserve">Dr. Dean Showalter </w:t>
      </w:r>
      <w:r w:rsidRPr="00FD6E14">
        <w:rPr>
          <w:lang w:bidi="en-US"/>
        </w:rPr>
        <w:tab/>
        <w:t>ECO 2314</w:t>
      </w:r>
      <w:r w:rsidRPr="00FD6E14">
        <w:rPr>
          <w:lang w:bidi="en-US"/>
        </w:rPr>
        <w:tab/>
        <w:t>Principles of Microeconomics</w:t>
      </w:r>
    </w:p>
    <w:p w14:paraId="6470B5CD"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 xml:space="preserve">Dr. Quazi Fidia Farah </w:t>
      </w:r>
      <w:r w:rsidRPr="00FD6E14">
        <w:rPr>
          <w:lang w:bidi="en-US"/>
        </w:rPr>
        <w:tab/>
        <w:t>ECO 2315</w:t>
      </w:r>
      <w:r w:rsidRPr="00FD6E14">
        <w:rPr>
          <w:lang w:bidi="en-US"/>
        </w:rPr>
        <w:tab/>
        <w:t>Principles of Macroeconomics</w:t>
      </w:r>
    </w:p>
    <w:p w14:paraId="52FB64B2"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Dr. Francis Mendez</w:t>
      </w:r>
      <w:r w:rsidRPr="00FD6E14">
        <w:rPr>
          <w:lang w:bidi="en-US"/>
        </w:rPr>
        <w:tab/>
        <w:t xml:space="preserve">QMST 2333 </w:t>
      </w:r>
      <w:r w:rsidRPr="00FD6E14">
        <w:rPr>
          <w:lang w:bidi="en-US"/>
        </w:rPr>
        <w:tab/>
        <w:t>Business Statistics</w:t>
      </w:r>
    </w:p>
    <w:p w14:paraId="1152D7BC"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Dr. Lindsay Ayers</w:t>
      </w:r>
      <w:r w:rsidRPr="00FD6E14">
        <w:rPr>
          <w:lang w:bidi="en-US"/>
        </w:rPr>
        <w:tab/>
        <w:t xml:space="preserve">BLAW 2361 </w:t>
      </w:r>
      <w:r w:rsidRPr="00FD6E14">
        <w:rPr>
          <w:lang w:bidi="en-US"/>
        </w:rPr>
        <w:tab/>
        <w:t>Legal Environment of Business</w:t>
      </w:r>
    </w:p>
    <w:p w14:paraId="322AFD52"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Dr. Chris Proschko</w:t>
      </w:r>
      <w:r w:rsidRPr="00FD6E14">
        <w:rPr>
          <w:lang w:bidi="en-US"/>
        </w:rPr>
        <w:tab/>
      </w:r>
      <w:bookmarkStart w:id="0" w:name="RANGE!D10"/>
      <w:r w:rsidRPr="00FD6E14">
        <w:rPr>
          <w:lang w:bidi="en-US"/>
        </w:rPr>
        <w:t xml:space="preserve">ACC 2361 </w:t>
      </w:r>
      <w:bookmarkEnd w:id="0"/>
      <w:r w:rsidRPr="00FD6E14">
        <w:rPr>
          <w:lang w:bidi="en-US"/>
        </w:rPr>
        <w:tab/>
        <w:t>Introduction to Financial Accounting</w:t>
      </w:r>
    </w:p>
    <w:p w14:paraId="36450B35"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Ms. Alex Hampshire</w:t>
      </w:r>
      <w:r w:rsidRPr="00FD6E14">
        <w:rPr>
          <w:lang w:bidi="en-US"/>
        </w:rPr>
        <w:tab/>
        <w:t xml:space="preserve">ACC 2362 </w:t>
      </w:r>
      <w:r w:rsidRPr="00FD6E14">
        <w:rPr>
          <w:lang w:bidi="en-US"/>
        </w:rPr>
        <w:tab/>
        <w:t>Introduction to Managerial Accounting</w:t>
      </w:r>
    </w:p>
    <w:p w14:paraId="11CBB09F" w14:textId="2F20CB0C" w:rsidR="006B3594" w:rsidRPr="00FD6E14" w:rsidRDefault="009C1D1B" w:rsidP="006B3594">
      <w:pPr>
        <w:widowControl w:val="0"/>
        <w:tabs>
          <w:tab w:val="left" w:pos="2430"/>
          <w:tab w:val="left" w:pos="4050"/>
        </w:tabs>
        <w:autoSpaceDE w:val="0"/>
        <w:autoSpaceDN w:val="0"/>
        <w:ind w:left="113"/>
        <w:rPr>
          <w:lang w:bidi="en-US"/>
        </w:rPr>
      </w:pPr>
      <w:r>
        <w:rPr>
          <w:lang w:bidi="en-US"/>
        </w:rPr>
        <w:t>M</w:t>
      </w:r>
      <w:r w:rsidR="006B3594" w:rsidRPr="00FD6E14">
        <w:rPr>
          <w:lang w:bidi="en-US"/>
        </w:rPr>
        <w:t xml:space="preserve">r. Kevin Lyman </w:t>
      </w:r>
      <w:r w:rsidR="006B3594" w:rsidRPr="00FD6E14">
        <w:rPr>
          <w:lang w:bidi="en-US"/>
        </w:rPr>
        <w:tab/>
        <w:t>MGT 3303</w:t>
      </w:r>
      <w:r w:rsidR="006B3594" w:rsidRPr="00FD6E14">
        <w:rPr>
          <w:lang w:bidi="en-US"/>
        </w:rPr>
        <w:tab/>
        <w:t>Management of Organizations</w:t>
      </w:r>
    </w:p>
    <w:p w14:paraId="4E43785C"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 xml:space="preserve">Dr. Vance Lesseig </w:t>
      </w:r>
      <w:r w:rsidRPr="00FD6E14">
        <w:rPr>
          <w:lang w:bidi="en-US"/>
        </w:rPr>
        <w:tab/>
        <w:t>FIN 3312</w:t>
      </w:r>
      <w:r w:rsidRPr="00FD6E14">
        <w:rPr>
          <w:lang w:bidi="en-US"/>
        </w:rPr>
        <w:tab/>
      </w:r>
      <w:bookmarkStart w:id="1" w:name="RANGE!E13"/>
      <w:r w:rsidRPr="00FD6E14">
        <w:rPr>
          <w:lang w:bidi="en-US"/>
        </w:rPr>
        <w:t>Business Finance</w:t>
      </w:r>
      <w:bookmarkEnd w:id="1"/>
    </w:p>
    <w:p w14:paraId="0D6D4EE5"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Mr. Ken Murdock</w:t>
      </w:r>
      <w:r w:rsidRPr="00FD6E14">
        <w:rPr>
          <w:lang w:bidi="en-US"/>
        </w:rPr>
        <w:tab/>
        <w:t>MKT 3343</w:t>
      </w:r>
      <w:r w:rsidRPr="00FD6E14">
        <w:rPr>
          <w:lang w:bidi="en-US"/>
        </w:rPr>
        <w:tab/>
        <w:t>Principles of Marketing</w:t>
      </w:r>
    </w:p>
    <w:p w14:paraId="35786921"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Dr. Peiqin Zhang</w:t>
      </w:r>
      <w:r w:rsidRPr="00FD6E14">
        <w:rPr>
          <w:lang w:bidi="en-US"/>
        </w:rPr>
        <w:tab/>
        <w:t xml:space="preserve">CIS 3380 </w:t>
      </w:r>
      <w:r w:rsidRPr="00FD6E14">
        <w:rPr>
          <w:lang w:bidi="en-US"/>
        </w:rPr>
        <w:tab/>
        <w:t>Enterprise Inf. Tech. and Bus. Intelligence</w:t>
      </w:r>
    </w:p>
    <w:p w14:paraId="6765EAD5"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 xml:space="preserve">Mr. Mark Evans </w:t>
      </w:r>
      <w:r w:rsidRPr="00FD6E14">
        <w:rPr>
          <w:lang w:bidi="en-US"/>
        </w:rPr>
        <w:tab/>
        <w:t>MGT 3453</w:t>
      </w:r>
      <w:r w:rsidRPr="00FD6E14">
        <w:rPr>
          <w:lang w:bidi="en-US"/>
        </w:rPr>
        <w:tab/>
        <w:t>Bus. Comm. and Professional Development</w:t>
      </w:r>
    </w:p>
    <w:p w14:paraId="4BEED108"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Dr. Corey Fox</w:t>
      </w:r>
      <w:r w:rsidRPr="00FD6E14">
        <w:rPr>
          <w:lang w:bidi="en-US"/>
        </w:rPr>
        <w:tab/>
        <w:t>MGT 4335</w:t>
      </w:r>
      <w:r w:rsidRPr="00FD6E14">
        <w:rPr>
          <w:lang w:bidi="en-US"/>
        </w:rPr>
        <w:tab/>
        <w:t>Strategic Management and Business Policy</w:t>
      </w:r>
    </w:p>
    <w:p w14:paraId="23D61013" w14:textId="77777777" w:rsidR="006B3594" w:rsidRDefault="006B3594" w:rsidP="006B3594">
      <w:pPr>
        <w:widowControl w:val="0"/>
        <w:tabs>
          <w:tab w:val="left" w:pos="2430"/>
          <w:tab w:val="left" w:pos="4050"/>
        </w:tabs>
        <w:autoSpaceDE w:val="0"/>
        <w:autoSpaceDN w:val="0"/>
        <w:ind w:left="113"/>
        <w:rPr>
          <w:lang w:bidi="en-US"/>
        </w:rPr>
      </w:pPr>
      <w:r w:rsidRPr="00FD6E14">
        <w:rPr>
          <w:lang w:bidi="en-US"/>
        </w:rPr>
        <w:t xml:space="preserve">Dr. Rene Heredia </w:t>
      </w:r>
      <w:r>
        <w:rPr>
          <w:lang w:bidi="en-US"/>
        </w:rPr>
        <w:tab/>
      </w:r>
      <w:r w:rsidRPr="00FD6E14">
        <w:rPr>
          <w:lang w:bidi="en-US"/>
        </w:rPr>
        <w:t>BA 3110</w:t>
      </w:r>
      <w:r>
        <w:rPr>
          <w:lang w:bidi="en-US"/>
        </w:rPr>
        <w:tab/>
        <w:t>Professional Development I</w:t>
      </w:r>
    </w:p>
    <w:p w14:paraId="66337F84" w14:textId="77777777" w:rsidR="006B3594" w:rsidRPr="00FD6E14" w:rsidRDefault="006B3594" w:rsidP="006B3594">
      <w:pPr>
        <w:widowControl w:val="0"/>
        <w:tabs>
          <w:tab w:val="left" w:pos="2430"/>
          <w:tab w:val="left" w:pos="4050"/>
        </w:tabs>
        <w:autoSpaceDE w:val="0"/>
        <w:autoSpaceDN w:val="0"/>
        <w:ind w:left="113"/>
        <w:rPr>
          <w:lang w:bidi="en-US"/>
        </w:rPr>
      </w:pPr>
      <w:r w:rsidRPr="00FD6E14">
        <w:rPr>
          <w:lang w:bidi="en-US"/>
        </w:rPr>
        <w:t xml:space="preserve">Dr. Rene Heredia </w:t>
      </w:r>
      <w:r>
        <w:rPr>
          <w:lang w:bidi="en-US"/>
        </w:rPr>
        <w:tab/>
      </w:r>
      <w:r w:rsidRPr="00FD6E14">
        <w:rPr>
          <w:lang w:bidi="en-US"/>
        </w:rPr>
        <w:t>BA 3120</w:t>
      </w:r>
      <w:r>
        <w:rPr>
          <w:lang w:bidi="en-US"/>
        </w:rPr>
        <w:tab/>
        <w:t>Professional Development II</w:t>
      </w:r>
    </w:p>
    <w:p w14:paraId="2D00B0CE" w14:textId="77777777" w:rsidR="00425087" w:rsidRPr="00D5580D" w:rsidRDefault="00425087" w:rsidP="00425087">
      <w:pPr>
        <w:widowControl w:val="0"/>
        <w:autoSpaceDE w:val="0"/>
        <w:autoSpaceDN w:val="0"/>
        <w:rPr>
          <w:lang w:bidi="en-US"/>
        </w:rPr>
      </w:pPr>
    </w:p>
    <w:p w14:paraId="0E8B99B1" w14:textId="0E01593B" w:rsidR="00425087" w:rsidRPr="00D5580D" w:rsidRDefault="00425087" w:rsidP="00425087">
      <w:pPr>
        <w:widowControl w:val="0"/>
        <w:autoSpaceDE w:val="0"/>
        <w:autoSpaceDN w:val="0"/>
        <w:rPr>
          <w:lang w:bidi="en-US"/>
        </w:rPr>
      </w:pPr>
      <w:r w:rsidRPr="00D5580D">
        <w:rPr>
          <w:lang w:bidi="en-US"/>
        </w:rPr>
        <w:t xml:space="preserve">Dr. </w:t>
      </w:r>
      <w:r>
        <w:rPr>
          <w:lang w:bidi="en-US"/>
        </w:rPr>
        <w:t>Kenneth Murdock</w:t>
      </w:r>
      <w:r w:rsidRPr="00D5580D">
        <w:rPr>
          <w:lang w:bidi="en-US"/>
        </w:rPr>
        <w:t xml:space="preserve">, Assurance of Learning Committee, </w:t>
      </w:r>
      <w:r>
        <w:rPr>
          <w:lang w:bidi="en-US"/>
        </w:rPr>
        <w:t xml:space="preserve">Interim </w:t>
      </w:r>
      <w:r w:rsidRPr="00D5580D">
        <w:rPr>
          <w:lang w:bidi="en-US"/>
        </w:rPr>
        <w:t>Chair</w:t>
      </w:r>
      <w:r w:rsidRPr="00D5580D">
        <w:rPr>
          <w:lang w:bidi="en-US"/>
        </w:rPr>
        <w:tab/>
        <w:t>Ex-officio</w:t>
      </w:r>
    </w:p>
    <w:p w14:paraId="1C93E063" w14:textId="77777777" w:rsidR="00425087" w:rsidRPr="00D5580D" w:rsidRDefault="00425087" w:rsidP="00425087">
      <w:pPr>
        <w:widowControl w:val="0"/>
        <w:autoSpaceDE w:val="0"/>
        <w:autoSpaceDN w:val="0"/>
        <w:rPr>
          <w:sz w:val="26"/>
          <w:lang w:bidi="en-US"/>
        </w:rPr>
      </w:pPr>
      <w:r w:rsidRPr="00D5580D">
        <w:rPr>
          <w:lang w:bidi="en-US"/>
        </w:rPr>
        <w:t>Dr. David Wierschem, Associate Dean for Undergraduate Programs</w:t>
      </w:r>
      <w:r w:rsidRPr="00D5580D">
        <w:rPr>
          <w:lang w:bidi="en-US"/>
        </w:rPr>
        <w:tab/>
        <w:t>Ex-officio</w:t>
      </w:r>
    </w:p>
    <w:p w14:paraId="7013FB92" w14:textId="77777777" w:rsidR="00425087" w:rsidRDefault="00425087" w:rsidP="00425087"/>
    <w:p w14:paraId="27AE5D24" w14:textId="42DA3D4B" w:rsidR="00425087" w:rsidRPr="003F1354" w:rsidRDefault="00425087" w:rsidP="00425087">
      <w:pPr>
        <w:jc w:val="center"/>
        <w:rPr>
          <w:i/>
        </w:rPr>
      </w:pPr>
      <w:r w:rsidRPr="003F1354">
        <w:rPr>
          <w:i/>
        </w:rPr>
        <w:t xml:space="preserve">Document </w:t>
      </w:r>
      <w:r>
        <w:rPr>
          <w:i/>
        </w:rPr>
        <w:t>Submitted: Fall 2025</w:t>
      </w:r>
    </w:p>
    <w:p w14:paraId="76D50715" w14:textId="77777777" w:rsidR="00425087" w:rsidRDefault="00425087" w:rsidP="00425087"/>
    <w:p w14:paraId="502FD00B" w14:textId="6CE930EC" w:rsidR="00425087" w:rsidRPr="00425087" w:rsidRDefault="00425087" w:rsidP="00425087">
      <w:pPr>
        <w:rPr>
          <w:i/>
          <w:iCs/>
        </w:rPr>
      </w:pPr>
      <w:r w:rsidRPr="00425087">
        <w:rPr>
          <w:i/>
          <w:iCs/>
        </w:rPr>
        <w:t xml:space="preserve">The McCoy College of Business assesses all six undergraduate competency goals every three years. This report discloses the assessment results of Competency Goal </w:t>
      </w:r>
      <w:r>
        <w:rPr>
          <w:i/>
          <w:iCs/>
        </w:rPr>
        <w:t>3</w:t>
      </w:r>
      <w:r w:rsidRPr="00425087">
        <w:rPr>
          <w:i/>
          <w:iCs/>
        </w:rPr>
        <w:t xml:space="preserve"> for the 202</w:t>
      </w:r>
      <w:r>
        <w:rPr>
          <w:i/>
          <w:iCs/>
        </w:rPr>
        <w:t>4</w:t>
      </w:r>
      <w:r w:rsidRPr="00425087">
        <w:rPr>
          <w:i/>
          <w:iCs/>
        </w:rPr>
        <w:t>-202</w:t>
      </w:r>
      <w:r>
        <w:rPr>
          <w:i/>
          <w:iCs/>
        </w:rPr>
        <w:t>5</w:t>
      </w:r>
      <w:r w:rsidRPr="00425087">
        <w:rPr>
          <w:i/>
          <w:iCs/>
        </w:rPr>
        <w:t xml:space="preserve"> academic year. </w:t>
      </w:r>
    </w:p>
    <w:p w14:paraId="6737E3E0" w14:textId="77777777" w:rsidR="00425087" w:rsidRDefault="00425087" w:rsidP="00425087">
      <w:pPr>
        <w:sectPr w:rsidR="00425087" w:rsidSect="0042508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007781B7" w14:textId="7F79AE99"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2060"/>
          <w:sz w:val="28"/>
          <w:szCs w:val="28"/>
          <w:u w:val="single"/>
        </w:rPr>
      </w:pPr>
      <w:r w:rsidRPr="00B34387">
        <w:rPr>
          <w:rFonts w:asciiTheme="majorHAnsi" w:hAnsiTheme="majorHAnsi"/>
          <w:b/>
          <w:color w:val="002060"/>
          <w:sz w:val="28"/>
          <w:szCs w:val="28"/>
          <w:u w:val="single"/>
        </w:rPr>
        <w:lastRenderedPageBreak/>
        <w:t xml:space="preserve">Competency Goal </w:t>
      </w:r>
      <w:r w:rsidR="001404F6">
        <w:rPr>
          <w:rFonts w:asciiTheme="majorHAnsi" w:hAnsiTheme="majorHAnsi"/>
          <w:b/>
          <w:color w:val="002060"/>
          <w:sz w:val="28"/>
          <w:szCs w:val="28"/>
          <w:u w:val="single"/>
        </w:rPr>
        <w:t>2</w:t>
      </w:r>
      <w:r w:rsidRPr="00B34387">
        <w:rPr>
          <w:rFonts w:asciiTheme="majorHAnsi" w:hAnsiTheme="majorHAnsi"/>
          <w:b/>
          <w:color w:val="002060"/>
          <w:sz w:val="28"/>
          <w:szCs w:val="28"/>
          <w:u w:val="single"/>
        </w:rPr>
        <w:t xml:space="preserve"> states: </w:t>
      </w:r>
    </w:p>
    <w:p w14:paraId="03B7ED3A" w14:textId="77777777"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2060"/>
          <w:sz w:val="28"/>
          <w:szCs w:val="28"/>
          <w:u w:val="single"/>
        </w:rPr>
      </w:pPr>
    </w:p>
    <w:p w14:paraId="33AF8F51" w14:textId="77777777" w:rsid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2060"/>
          <w:sz w:val="28"/>
          <w:szCs w:val="28"/>
        </w:rPr>
      </w:pPr>
      <w:r>
        <w:rPr>
          <w:rFonts w:asciiTheme="majorHAnsi" w:hAnsiTheme="majorHAnsi"/>
          <w:b/>
          <w:color w:val="002060"/>
          <w:sz w:val="28"/>
          <w:szCs w:val="28"/>
        </w:rPr>
        <w:t>“Apply analytical thinking skills and use analytical tools to evaluate information, solve problems, and make sound decisions.”</w:t>
      </w:r>
    </w:p>
    <w:p w14:paraId="7119D3B7" w14:textId="77777777" w:rsid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p>
    <w:p w14:paraId="06DC03A7" w14:textId="77777777" w:rsid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2060"/>
        </w:rPr>
      </w:pPr>
      <w:r>
        <w:rPr>
          <w:b/>
          <w:bCs/>
          <w:color w:val="002060"/>
        </w:rPr>
        <w:t>Graduates should be able to carefully and logically analyze data, information, problems, and ideas from multiple perspectives.  They may demonstrate these analytical thinking skills through their ability, in a variety of circumstances, to synthesize information and evaluate its logic, validity, and relevance; arrive at reasoned conclusions, make informed decisions, and solve challenging problems; and generate or explore new questions.</w:t>
      </w:r>
    </w:p>
    <w:p w14:paraId="4184CDFF" w14:textId="77777777" w:rsid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p>
    <w:p w14:paraId="1EDF8F8C" w14:textId="05F6C14F" w:rsid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r>
        <w:rPr>
          <w:color w:val="002060"/>
        </w:rPr>
        <w:t xml:space="preserve">Three courses assessed this goal for the 2021-2022 academic year:  </w:t>
      </w:r>
    </w:p>
    <w:p w14:paraId="0192B485" w14:textId="77777777" w:rsid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lang w:bidi="en-US"/>
        </w:rPr>
      </w:pPr>
    </w:p>
    <w:p w14:paraId="742410CE" w14:textId="77777777" w:rsid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r>
        <w:rPr>
          <w:color w:val="002060"/>
          <w:lang w:bidi="en-US"/>
        </w:rPr>
        <w:tab/>
        <w:t xml:space="preserve">Introduction to Financial Accounting </w:t>
      </w:r>
      <w:r>
        <w:rPr>
          <w:color w:val="002060"/>
        </w:rPr>
        <w:t>(</w:t>
      </w:r>
      <w:r>
        <w:rPr>
          <w:color w:val="002060"/>
          <w:lang w:bidi="en-US"/>
        </w:rPr>
        <w:t>ACC 2361</w:t>
      </w:r>
      <w:r>
        <w:rPr>
          <w:color w:val="002060"/>
        </w:rPr>
        <w:t>)</w:t>
      </w:r>
    </w:p>
    <w:p w14:paraId="4DCF413B" w14:textId="1728EB30" w:rsidR="001404F6" w:rsidRP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lang w:bidi="en-US"/>
        </w:rPr>
      </w:pPr>
      <w:r>
        <w:rPr>
          <w:color w:val="002060"/>
          <w:lang w:bidi="en-US"/>
        </w:rPr>
        <w:tab/>
      </w:r>
      <w:r w:rsidRPr="001404F6">
        <w:rPr>
          <w:color w:val="002060"/>
          <w:lang w:bidi="en-US"/>
        </w:rPr>
        <w:t>Principles of Macroeconomics (ECO 2315)</w:t>
      </w:r>
    </w:p>
    <w:p w14:paraId="26A59B69" w14:textId="77777777" w:rsid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r>
        <w:rPr>
          <w:color w:val="002060"/>
        </w:rPr>
        <w:tab/>
      </w:r>
      <w:r>
        <w:rPr>
          <w:color w:val="002060"/>
          <w:lang w:bidi="en-US"/>
        </w:rPr>
        <w:t>Business Finance</w:t>
      </w:r>
      <w:r>
        <w:rPr>
          <w:color w:val="002060"/>
        </w:rPr>
        <w:t xml:space="preserve"> (FIN 3312) </w:t>
      </w:r>
    </w:p>
    <w:p w14:paraId="3A47D1CD" w14:textId="77777777" w:rsid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p>
    <w:p w14:paraId="70488A53" w14:textId="666294D1" w:rsidR="001404F6" w:rsidRDefault="001404F6" w:rsidP="00140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r>
        <w:rPr>
          <w:color w:val="002060"/>
        </w:rPr>
        <w:t>The results from each course along with an analysis of the results by the instructors and plans for the coming year appear below.  Following that will be the recommendations of the joint meeting of the Undergraduate Curriculum Committee and the Course Coordinators from each course.</w:t>
      </w:r>
    </w:p>
    <w:p w14:paraId="7698BBA8" w14:textId="77777777" w:rsidR="004250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32D4C94" w14:textId="5E0A436E" w:rsidR="004250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322D5">
        <w:t xml:space="preserve">The process of assessment and the results for AY </w:t>
      </w:r>
      <w:r>
        <w:t>2024-</w:t>
      </w:r>
      <w:r w:rsidRPr="001322D5">
        <w:t>20</w:t>
      </w:r>
      <w:r>
        <w:t>25</w:t>
      </w:r>
      <w:r w:rsidRPr="001322D5">
        <w:t xml:space="preserve"> are provided below.</w:t>
      </w:r>
    </w:p>
    <w:p w14:paraId="781B1056" w14:textId="77777777" w:rsidR="004250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i/>
          <w:sz w:val="28"/>
          <w:szCs w:val="28"/>
        </w:rPr>
      </w:pPr>
    </w:p>
    <w:p w14:paraId="3738F7A9" w14:textId="77777777" w:rsidR="00425087" w:rsidRDefault="00425087"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5577DA50" w14:textId="77777777" w:rsidR="00425087" w:rsidRDefault="00425087"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244A5566" w14:textId="7515C442"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28"/>
          <w:szCs w:val="28"/>
          <w:u w:val="single"/>
        </w:rPr>
      </w:pPr>
      <w:r>
        <w:rPr>
          <w:b/>
          <w:color w:val="000000"/>
          <w:sz w:val="28"/>
          <w:szCs w:val="28"/>
          <w:u w:val="single"/>
        </w:rPr>
        <w:t>ACC 2361</w:t>
      </w:r>
      <w:r w:rsidRPr="00341AF4">
        <w:rPr>
          <w:b/>
          <w:color w:val="000000"/>
          <w:sz w:val="28"/>
          <w:szCs w:val="28"/>
          <w:u w:val="single"/>
        </w:rPr>
        <w:t>: Introduction</w:t>
      </w:r>
      <w:r>
        <w:rPr>
          <w:b/>
          <w:color w:val="000000"/>
          <w:sz w:val="28"/>
          <w:szCs w:val="28"/>
          <w:u w:val="single"/>
        </w:rPr>
        <w:t xml:space="preserve"> to Financial Accounting</w:t>
      </w:r>
    </w:p>
    <w:p w14:paraId="52BADF7A" w14:textId="77777777" w:rsidR="00827DC2" w:rsidRPr="00341AF4"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28"/>
          <w:szCs w:val="28"/>
          <w:u w:val="single"/>
        </w:rPr>
      </w:pPr>
    </w:p>
    <w:p w14:paraId="661C38B7" w14:textId="77777777" w:rsidR="00827DC2" w:rsidRDefault="00827DC2" w:rsidP="00827DC2">
      <w:pPr>
        <w:rPr>
          <w:rFonts w:eastAsia="Calibri"/>
          <w:szCs w:val="22"/>
        </w:rPr>
      </w:pPr>
      <w:r w:rsidRPr="00F04E54">
        <w:rPr>
          <w:color w:val="000000"/>
        </w:rPr>
        <w:t>To assess student learning of Program Goal 2 (</w:t>
      </w:r>
      <w:r w:rsidRPr="00F04E54">
        <w:t>Analytical Thinking</w:t>
      </w:r>
      <w:r w:rsidRPr="00F04E54">
        <w:rPr>
          <w:color w:val="000000"/>
        </w:rPr>
        <w:t xml:space="preserve">), </w:t>
      </w:r>
      <w:r w:rsidRPr="00F04E54">
        <w:rPr>
          <w:rFonts w:eastAsia="Calibri"/>
          <w:szCs w:val="22"/>
        </w:rPr>
        <w:t>results were measured by scoring the first fifteen questions of a multiple-choice final exam. Assessment questions were selected from those labeled “analytical thinking” as defined by AACSB standards</w:t>
      </w:r>
      <w:r>
        <w:rPr>
          <w:rFonts w:eastAsia="Calibri"/>
          <w:szCs w:val="22"/>
        </w:rPr>
        <w:t>.</w:t>
      </w:r>
    </w:p>
    <w:p w14:paraId="63B8A5CF" w14:textId="77777777" w:rsidR="00827DC2" w:rsidRPr="00F04E54" w:rsidRDefault="00827DC2" w:rsidP="00827DC2">
      <w:pPr>
        <w:rPr>
          <w:color w:val="000000"/>
        </w:rPr>
      </w:pPr>
    </w:p>
    <w:p w14:paraId="3DBDF487" w14:textId="77777777" w:rsidR="00827DC2" w:rsidRPr="00873935"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73935">
        <w:rPr>
          <w:color w:val="000000"/>
        </w:rPr>
        <w:t xml:space="preserve">For assessment purposes, </w:t>
      </w:r>
      <w:r>
        <w:rPr>
          <w:color w:val="000000"/>
        </w:rPr>
        <w:t>sixteen</w:t>
      </w:r>
      <w:r w:rsidRPr="00873935">
        <w:rPr>
          <w:color w:val="000000"/>
        </w:rPr>
        <w:t xml:space="preserve"> sections of </w:t>
      </w:r>
      <w:r>
        <w:rPr>
          <w:color w:val="000000"/>
        </w:rPr>
        <w:t>Acc</w:t>
      </w:r>
      <w:r w:rsidRPr="00873935">
        <w:rPr>
          <w:color w:val="000000"/>
        </w:rPr>
        <w:t xml:space="preserve"> </w:t>
      </w:r>
      <w:r>
        <w:rPr>
          <w:color w:val="000000"/>
        </w:rPr>
        <w:t>2361</w:t>
      </w:r>
      <w:r w:rsidRPr="00873935">
        <w:rPr>
          <w:color w:val="000000"/>
        </w:rPr>
        <w:t xml:space="preserve"> were included in a representative sample of students enrolled at the main campus. This includes </w:t>
      </w:r>
      <w:r>
        <w:rPr>
          <w:color w:val="000000"/>
        </w:rPr>
        <w:t>six</w:t>
      </w:r>
      <w:r w:rsidRPr="00873935">
        <w:rPr>
          <w:color w:val="000000"/>
        </w:rPr>
        <w:t xml:space="preserve"> large</w:t>
      </w:r>
      <w:r w:rsidRPr="00873935">
        <w:t xml:space="preserve"> lecture</w:t>
      </w:r>
      <w:r>
        <w:t xml:space="preserve"> sections </w:t>
      </w:r>
      <w:r w:rsidRPr="00873935">
        <w:t xml:space="preserve">(with </w:t>
      </w:r>
      <w:r>
        <w:t xml:space="preserve">a class size </w:t>
      </w:r>
      <w:r w:rsidRPr="00873935">
        <w:t>of ~</w:t>
      </w:r>
      <w:r>
        <w:t>150</w:t>
      </w:r>
      <w:r w:rsidRPr="00873935">
        <w:t xml:space="preserve"> students each) and </w:t>
      </w:r>
      <w:r>
        <w:t>10 small lecture sections</w:t>
      </w:r>
      <w:r w:rsidRPr="00873935">
        <w:t xml:space="preserve"> (with </w:t>
      </w:r>
      <w:r>
        <w:t xml:space="preserve">a class </w:t>
      </w:r>
      <w:r w:rsidRPr="00873935">
        <w:t>of ~</w:t>
      </w:r>
      <w:r>
        <w:t>55</w:t>
      </w:r>
      <w:r w:rsidRPr="00873935">
        <w:t xml:space="preserve"> students each), totaling </w:t>
      </w:r>
      <w:r>
        <w:t>1,636</w:t>
      </w:r>
      <w:r w:rsidRPr="00873935">
        <w:t xml:space="preserve"> students enrolled </w:t>
      </w:r>
      <w:r>
        <w:t xml:space="preserve">and 1,537 students assessed </w:t>
      </w:r>
      <w:r w:rsidRPr="00873935">
        <w:t>in Fall 20</w:t>
      </w:r>
      <w:r>
        <w:t>24</w:t>
      </w:r>
      <w:r w:rsidRPr="00873935">
        <w:t xml:space="preserve"> and Spring 20</w:t>
      </w:r>
      <w:r>
        <w:t>25</w:t>
      </w:r>
      <w:r w:rsidRPr="00873935">
        <w:t xml:space="preserve">.  </w:t>
      </w:r>
    </w:p>
    <w:p w14:paraId="3B5AC253" w14:textId="77777777" w:rsidR="00827DC2" w:rsidRPr="00873935"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3DDB77B" w14:textId="77777777" w:rsidR="00827DC2" w:rsidRPr="00873935"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73935">
        <w:rPr>
          <w:color w:val="000000"/>
        </w:rPr>
        <w:t>The following criteria were used to determine if students exceeded, met, or failed to meet expectations:</w:t>
      </w:r>
    </w:p>
    <w:p w14:paraId="0BD4AE8C" w14:textId="77777777" w:rsidR="00827DC2" w:rsidRPr="00873935"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938E18F" w14:textId="77777777" w:rsidR="00827DC2" w:rsidRPr="00873935" w:rsidRDefault="00827DC2" w:rsidP="00827DC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73935">
        <w:rPr>
          <w:color w:val="000000"/>
        </w:rPr>
        <w:t>Exceeded expectations</w:t>
      </w:r>
      <w:r w:rsidRPr="00873935">
        <w:rPr>
          <w:color w:val="000000"/>
        </w:rPr>
        <w:tab/>
        <w:t xml:space="preserve">= students who earned </w:t>
      </w:r>
      <w:r>
        <w:rPr>
          <w:color w:val="000000"/>
        </w:rPr>
        <w:t>better than 90 percent</w:t>
      </w:r>
    </w:p>
    <w:p w14:paraId="16322DB4" w14:textId="77777777" w:rsidR="00827DC2" w:rsidRPr="00873935" w:rsidRDefault="00827DC2" w:rsidP="00827DC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73935">
        <w:rPr>
          <w:color w:val="000000"/>
        </w:rPr>
        <w:t xml:space="preserve">Met expectations </w:t>
      </w:r>
      <w:r w:rsidRPr="00873935">
        <w:rPr>
          <w:color w:val="000000"/>
        </w:rPr>
        <w:tab/>
        <w:t xml:space="preserve">= students who earned between </w:t>
      </w:r>
      <w:r>
        <w:rPr>
          <w:color w:val="000000"/>
        </w:rPr>
        <w:t>70</w:t>
      </w:r>
      <w:r w:rsidRPr="00873935">
        <w:rPr>
          <w:color w:val="000000"/>
        </w:rPr>
        <w:t xml:space="preserve"> and </w:t>
      </w:r>
      <w:r>
        <w:rPr>
          <w:color w:val="000000"/>
        </w:rPr>
        <w:t>90</w:t>
      </w:r>
      <w:r w:rsidRPr="00873935">
        <w:rPr>
          <w:color w:val="000000"/>
        </w:rPr>
        <w:t xml:space="preserve"> percent </w:t>
      </w:r>
    </w:p>
    <w:p w14:paraId="1E100485" w14:textId="77777777" w:rsidR="00827DC2" w:rsidRDefault="00827DC2" w:rsidP="00827DC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73935">
        <w:rPr>
          <w:color w:val="000000"/>
        </w:rPr>
        <w:t xml:space="preserve">Below expectations </w:t>
      </w:r>
      <w:r w:rsidRPr="00873935">
        <w:rPr>
          <w:color w:val="000000"/>
        </w:rPr>
        <w:tab/>
        <w:t xml:space="preserve">= students who earned below </w:t>
      </w:r>
      <w:r>
        <w:rPr>
          <w:color w:val="000000"/>
        </w:rPr>
        <w:t>70</w:t>
      </w:r>
      <w:r w:rsidRPr="00873935">
        <w:rPr>
          <w:color w:val="000000"/>
        </w:rPr>
        <w:t xml:space="preserve"> percent</w:t>
      </w:r>
    </w:p>
    <w:p w14:paraId="623E009B" w14:textId="77777777" w:rsidR="00EF03CD" w:rsidRDefault="00EF03CD" w:rsidP="00EF0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FDA946F" w14:textId="77777777" w:rsidR="00EF03CD" w:rsidRPr="00EF03CD" w:rsidRDefault="00EF03CD" w:rsidP="00EF0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78A29A5"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A6C9C26"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u w:val="single"/>
        </w:rPr>
      </w:pPr>
      <w:r>
        <w:rPr>
          <w:b/>
          <w:u w:val="single"/>
        </w:rPr>
        <w:lastRenderedPageBreak/>
        <w:t>Results</w:t>
      </w:r>
    </w:p>
    <w:p w14:paraId="73AF2549"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136464D" w14:textId="77777777" w:rsidR="00827DC2" w:rsidRPr="00A65EF0"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San Marcos Campus</w:t>
      </w:r>
    </w:p>
    <w:p w14:paraId="3A33B74A" w14:textId="1BC40347" w:rsidR="00827DC2" w:rsidRDefault="00827DC2" w:rsidP="00827DC2">
      <w:pPr>
        <w:widowControl w:val="0"/>
        <w:autoSpaceDE w:val="0"/>
        <w:autoSpaceDN w:val="0"/>
        <w:adjustRightInd w:val="0"/>
        <w:rPr>
          <w:rFonts w:ascii="Arial" w:eastAsia="Calibri" w:hAnsi="Arial"/>
          <w:sz w:val="20"/>
          <w:szCs w:val="20"/>
        </w:rPr>
      </w:pPr>
    </w:p>
    <w:p w14:paraId="6D0B5803" w14:textId="02D0B532" w:rsidR="00827DC2" w:rsidRDefault="00827DC2" w:rsidP="00827DC2">
      <w:pPr>
        <w:widowControl w:val="0"/>
        <w:autoSpaceDE w:val="0"/>
        <w:autoSpaceDN w:val="0"/>
        <w:adjustRightInd w:val="0"/>
        <w:rPr>
          <w:sz w:val="22"/>
          <w:szCs w:val="16"/>
        </w:rPr>
      </w:pPr>
    </w:p>
    <w:tbl>
      <w:tblPr>
        <w:tblW w:w="9400" w:type="dxa"/>
        <w:tblLook w:val="04A0" w:firstRow="1" w:lastRow="0" w:firstColumn="1" w:lastColumn="0" w:noHBand="0" w:noVBand="1"/>
      </w:tblPr>
      <w:tblGrid>
        <w:gridCol w:w="1780"/>
        <w:gridCol w:w="1340"/>
        <w:gridCol w:w="1160"/>
        <w:gridCol w:w="1300"/>
        <w:gridCol w:w="1320"/>
        <w:gridCol w:w="1240"/>
        <w:gridCol w:w="1260"/>
      </w:tblGrid>
      <w:tr w:rsidR="00827DC2" w14:paraId="765F974C" w14:textId="77777777" w:rsidTr="00EB7F20">
        <w:trPr>
          <w:trHeight w:val="288"/>
        </w:trPr>
        <w:tc>
          <w:tcPr>
            <w:tcW w:w="1780" w:type="dxa"/>
            <w:tcBorders>
              <w:top w:val="single" w:sz="4" w:space="0" w:color="auto"/>
              <w:left w:val="single" w:sz="4" w:space="0" w:color="auto"/>
              <w:bottom w:val="nil"/>
              <w:right w:val="nil"/>
            </w:tcBorders>
            <w:noWrap/>
            <w:vAlign w:val="center"/>
            <w:hideMark/>
          </w:tcPr>
          <w:p w14:paraId="673C6BE4"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2024-2025</w:t>
            </w:r>
          </w:p>
        </w:tc>
        <w:tc>
          <w:tcPr>
            <w:tcW w:w="1340" w:type="dxa"/>
            <w:tcBorders>
              <w:top w:val="single" w:sz="4" w:space="0" w:color="auto"/>
              <w:left w:val="single" w:sz="4" w:space="0" w:color="auto"/>
              <w:bottom w:val="nil"/>
              <w:right w:val="single" w:sz="4" w:space="0" w:color="auto"/>
            </w:tcBorders>
            <w:noWrap/>
            <w:vAlign w:val="center"/>
            <w:hideMark/>
          </w:tcPr>
          <w:p w14:paraId="1403ECF6"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Fall (N)</w:t>
            </w:r>
          </w:p>
        </w:tc>
        <w:tc>
          <w:tcPr>
            <w:tcW w:w="1160" w:type="dxa"/>
            <w:tcBorders>
              <w:top w:val="single" w:sz="4" w:space="0" w:color="auto"/>
              <w:left w:val="nil"/>
              <w:bottom w:val="nil"/>
              <w:right w:val="nil"/>
            </w:tcBorders>
            <w:noWrap/>
            <w:vAlign w:val="center"/>
            <w:hideMark/>
          </w:tcPr>
          <w:p w14:paraId="75A658C1"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Fall (%)</w:t>
            </w:r>
          </w:p>
        </w:tc>
        <w:tc>
          <w:tcPr>
            <w:tcW w:w="1300" w:type="dxa"/>
            <w:tcBorders>
              <w:top w:val="single" w:sz="4" w:space="0" w:color="auto"/>
              <w:left w:val="single" w:sz="4" w:space="0" w:color="auto"/>
              <w:bottom w:val="nil"/>
              <w:right w:val="single" w:sz="4" w:space="0" w:color="auto"/>
            </w:tcBorders>
            <w:noWrap/>
            <w:vAlign w:val="center"/>
            <w:hideMark/>
          </w:tcPr>
          <w:p w14:paraId="09A7D795"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Spring (N)</w:t>
            </w:r>
          </w:p>
        </w:tc>
        <w:tc>
          <w:tcPr>
            <w:tcW w:w="1320" w:type="dxa"/>
            <w:tcBorders>
              <w:top w:val="single" w:sz="4" w:space="0" w:color="auto"/>
              <w:left w:val="nil"/>
              <w:bottom w:val="nil"/>
              <w:right w:val="nil"/>
            </w:tcBorders>
            <w:noWrap/>
            <w:vAlign w:val="center"/>
            <w:hideMark/>
          </w:tcPr>
          <w:p w14:paraId="07061F29"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Spring (%)</w:t>
            </w:r>
          </w:p>
        </w:tc>
        <w:tc>
          <w:tcPr>
            <w:tcW w:w="1240" w:type="dxa"/>
            <w:tcBorders>
              <w:top w:val="single" w:sz="4" w:space="0" w:color="auto"/>
              <w:left w:val="single" w:sz="4" w:space="0" w:color="auto"/>
              <w:bottom w:val="nil"/>
              <w:right w:val="single" w:sz="4" w:space="0" w:color="auto"/>
            </w:tcBorders>
            <w:noWrap/>
            <w:vAlign w:val="center"/>
            <w:hideMark/>
          </w:tcPr>
          <w:p w14:paraId="10E62BEF"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Total (N)</w:t>
            </w:r>
          </w:p>
        </w:tc>
        <w:tc>
          <w:tcPr>
            <w:tcW w:w="1260" w:type="dxa"/>
            <w:tcBorders>
              <w:top w:val="single" w:sz="4" w:space="0" w:color="auto"/>
              <w:left w:val="nil"/>
              <w:bottom w:val="nil"/>
              <w:right w:val="single" w:sz="4" w:space="0" w:color="auto"/>
            </w:tcBorders>
            <w:noWrap/>
            <w:vAlign w:val="center"/>
            <w:hideMark/>
          </w:tcPr>
          <w:p w14:paraId="6930209A"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Total (%)</w:t>
            </w:r>
          </w:p>
        </w:tc>
      </w:tr>
      <w:tr w:rsidR="00827DC2" w14:paraId="32D3282F" w14:textId="77777777" w:rsidTr="00EB7F20">
        <w:trPr>
          <w:trHeight w:val="288"/>
        </w:trPr>
        <w:tc>
          <w:tcPr>
            <w:tcW w:w="1780" w:type="dxa"/>
            <w:tcBorders>
              <w:top w:val="single" w:sz="4" w:space="0" w:color="auto"/>
              <w:left w:val="single" w:sz="4" w:space="0" w:color="auto"/>
              <w:bottom w:val="single" w:sz="4" w:space="0" w:color="auto"/>
              <w:right w:val="single" w:sz="4" w:space="0" w:color="auto"/>
            </w:tcBorders>
            <w:noWrap/>
            <w:vAlign w:val="center"/>
            <w:hideMark/>
          </w:tcPr>
          <w:p w14:paraId="4C3C3944"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Exceeded</w:t>
            </w:r>
          </w:p>
        </w:tc>
        <w:tc>
          <w:tcPr>
            <w:tcW w:w="1340" w:type="dxa"/>
            <w:tcBorders>
              <w:top w:val="single" w:sz="4" w:space="0" w:color="auto"/>
              <w:left w:val="nil"/>
              <w:bottom w:val="single" w:sz="4" w:space="0" w:color="auto"/>
              <w:right w:val="single" w:sz="4" w:space="0" w:color="auto"/>
            </w:tcBorders>
            <w:noWrap/>
            <w:vAlign w:val="center"/>
            <w:hideMark/>
          </w:tcPr>
          <w:p w14:paraId="3D6DCCE1"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218</w:t>
            </w:r>
          </w:p>
        </w:tc>
        <w:tc>
          <w:tcPr>
            <w:tcW w:w="1160" w:type="dxa"/>
            <w:tcBorders>
              <w:top w:val="single" w:sz="4" w:space="0" w:color="auto"/>
              <w:left w:val="nil"/>
              <w:bottom w:val="single" w:sz="4" w:space="0" w:color="auto"/>
              <w:right w:val="single" w:sz="4" w:space="0" w:color="auto"/>
            </w:tcBorders>
            <w:noWrap/>
            <w:vAlign w:val="center"/>
            <w:hideMark/>
          </w:tcPr>
          <w:p w14:paraId="3859B226"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28.39%</w:t>
            </w:r>
          </w:p>
        </w:tc>
        <w:tc>
          <w:tcPr>
            <w:tcW w:w="1300" w:type="dxa"/>
            <w:tcBorders>
              <w:top w:val="single" w:sz="4" w:space="0" w:color="auto"/>
              <w:left w:val="nil"/>
              <w:bottom w:val="single" w:sz="4" w:space="0" w:color="auto"/>
              <w:right w:val="single" w:sz="4" w:space="0" w:color="auto"/>
            </w:tcBorders>
            <w:noWrap/>
            <w:vAlign w:val="center"/>
            <w:hideMark/>
          </w:tcPr>
          <w:p w14:paraId="6414308C"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175</w:t>
            </w:r>
          </w:p>
        </w:tc>
        <w:tc>
          <w:tcPr>
            <w:tcW w:w="1320" w:type="dxa"/>
            <w:tcBorders>
              <w:top w:val="single" w:sz="4" w:space="0" w:color="auto"/>
              <w:left w:val="nil"/>
              <w:bottom w:val="single" w:sz="4" w:space="0" w:color="auto"/>
              <w:right w:val="single" w:sz="4" w:space="0" w:color="auto"/>
            </w:tcBorders>
            <w:noWrap/>
            <w:vAlign w:val="center"/>
            <w:hideMark/>
          </w:tcPr>
          <w:p w14:paraId="75975568"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22.76%</w:t>
            </w:r>
          </w:p>
        </w:tc>
        <w:tc>
          <w:tcPr>
            <w:tcW w:w="1240" w:type="dxa"/>
            <w:tcBorders>
              <w:top w:val="single" w:sz="4" w:space="0" w:color="auto"/>
              <w:left w:val="nil"/>
              <w:bottom w:val="single" w:sz="4" w:space="0" w:color="auto"/>
              <w:right w:val="single" w:sz="4" w:space="0" w:color="auto"/>
            </w:tcBorders>
            <w:noWrap/>
            <w:vAlign w:val="center"/>
            <w:hideMark/>
          </w:tcPr>
          <w:p w14:paraId="49B45BDC"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393</w:t>
            </w:r>
          </w:p>
        </w:tc>
        <w:tc>
          <w:tcPr>
            <w:tcW w:w="1260" w:type="dxa"/>
            <w:tcBorders>
              <w:top w:val="single" w:sz="4" w:space="0" w:color="auto"/>
              <w:left w:val="nil"/>
              <w:bottom w:val="single" w:sz="4" w:space="0" w:color="auto"/>
              <w:right w:val="single" w:sz="4" w:space="0" w:color="auto"/>
            </w:tcBorders>
            <w:noWrap/>
            <w:vAlign w:val="center"/>
            <w:hideMark/>
          </w:tcPr>
          <w:p w14:paraId="2734E21D"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25.57%</w:t>
            </w:r>
          </w:p>
        </w:tc>
      </w:tr>
      <w:tr w:rsidR="00827DC2" w14:paraId="63793C72"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69B96F02"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Met</w:t>
            </w:r>
          </w:p>
        </w:tc>
        <w:tc>
          <w:tcPr>
            <w:tcW w:w="1340" w:type="dxa"/>
            <w:tcBorders>
              <w:top w:val="nil"/>
              <w:left w:val="nil"/>
              <w:bottom w:val="single" w:sz="4" w:space="0" w:color="auto"/>
              <w:right w:val="single" w:sz="4" w:space="0" w:color="auto"/>
            </w:tcBorders>
            <w:noWrap/>
            <w:vAlign w:val="center"/>
            <w:hideMark/>
          </w:tcPr>
          <w:p w14:paraId="09E49B10"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298</w:t>
            </w:r>
          </w:p>
        </w:tc>
        <w:tc>
          <w:tcPr>
            <w:tcW w:w="1160" w:type="dxa"/>
            <w:tcBorders>
              <w:top w:val="nil"/>
              <w:left w:val="nil"/>
              <w:bottom w:val="single" w:sz="4" w:space="0" w:color="auto"/>
              <w:right w:val="single" w:sz="4" w:space="0" w:color="auto"/>
            </w:tcBorders>
            <w:noWrap/>
            <w:vAlign w:val="center"/>
            <w:hideMark/>
          </w:tcPr>
          <w:p w14:paraId="221D678B"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38.80%</w:t>
            </w:r>
          </w:p>
        </w:tc>
        <w:tc>
          <w:tcPr>
            <w:tcW w:w="1300" w:type="dxa"/>
            <w:tcBorders>
              <w:top w:val="nil"/>
              <w:left w:val="nil"/>
              <w:bottom w:val="single" w:sz="4" w:space="0" w:color="auto"/>
              <w:right w:val="single" w:sz="4" w:space="0" w:color="auto"/>
            </w:tcBorders>
            <w:noWrap/>
            <w:vAlign w:val="center"/>
            <w:hideMark/>
          </w:tcPr>
          <w:p w14:paraId="5D19F1D9"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307</w:t>
            </w:r>
          </w:p>
        </w:tc>
        <w:tc>
          <w:tcPr>
            <w:tcW w:w="1320" w:type="dxa"/>
            <w:tcBorders>
              <w:top w:val="nil"/>
              <w:left w:val="nil"/>
              <w:bottom w:val="single" w:sz="4" w:space="0" w:color="auto"/>
              <w:right w:val="single" w:sz="4" w:space="0" w:color="auto"/>
            </w:tcBorders>
            <w:noWrap/>
            <w:vAlign w:val="center"/>
            <w:hideMark/>
          </w:tcPr>
          <w:p w14:paraId="475FEE12"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39.92%</w:t>
            </w:r>
          </w:p>
        </w:tc>
        <w:tc>
          <w:tcPr>
            <w:tcW w:w="1240" w:type="dxa"/>
            <w:tcBorders>
              <w:top w:val="nil"/>
              <w:left w:val="nil"/>
              <w:bottom w:val="single" w:sz="4" w:space="0" w:color="auto"/>
              <w:right w:val="single" w:sz="4" w:space="0" w:color="auto"/>
            </w:tcBorders>
            <w:noWrap/>
            <w:vAlign w:val="center"/>
            <w:hideMark/>
          </w:tcPr>
          <w:p w14:paraId="463CF305"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605</w:t>
            </w:r>
          </w:p>
        </w:tc>
        <w:tc>
          <w:tcPr>
            <w:tcW w:w="1260" w:type="dxa"/>
            <w:tcBorders>
              <w:top w:val="nil"/>
              <w:left w:val="nil"/>
              <w:bottom w:val="single" w:sz="4" w:space="0" w:color="auto"/>
              <w:right w:val="single" w:sz="4" w:space="0" w:color="auto"/>
            </w:tcBorders>
            <w:noWrap/>
            <w:vAlign w:val="center"/>
            <w:hideMark/>
          </w:tcPr>
          <w:p w14:paraId="2B43CF6C"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39.36%</w:t>
            </w:r>
          </w:p>
        </w:tc>
      </w:tr>
      <w:tr w:rsidR="00827DC2" w14:paraId="7165115C"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3D10D5EE" w14:textId="77777777" w:rsidR="00827DC2" w:rsidRDefault="00827DC2" w:rsidP="00EB7F20">
            <w:pPr>
              <w:rPr>
                <w:rFonts w:ascii="Calibri" w:hAnsi="Calibri" w:cs="Calibri"/>
                <w:b/>
                <w:bCs/>
                <w:color w:val="000000"/>
                <w:sz w:val="22"/>
                <w:szCs w:val="22"/>
              </w:rPr>
            </w:pPr>
            <w:r>
              <w:rPr>
                <w:rFonts w:ascii="Calibri" w:hAnsi="Calibri" w:cs="Calibri"/>
                <w:b/>
                <w:bCs/>
                <w:color w:val="000000"/>
                <w:sz w:val="22"/>
                <w:szCs w:val="22"/>
              </w:rPr>
              <w:t>Exceeded &amp; Met</w:t>
            </w:r>
          </w:p>
        </w:tc>
        <w:tc>
          <w:tcPr>
            <w:tcW w:w="1340" w:type="dxa"/>
            <w:tcBorders>
              <w:top w:val="nil"/>
              <w:left w:val="nil"/>
              <w:bottom w:val="single" w:sz="4" w:space="0" w:color="auto"/>
              <w:right w:val="single" w:sz="4" w:space="0" w:color="auto"/>
            </w:tcBorders>
            <w:noWrap/>
            <w:vAlign w:val="center"/>
            <w:hideMark/>
          </w:tcPr>
          <w:p w14:paraId="49EBD03F"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516</w:t>
            </w:r>
          </w:p>
        </w:tc>
        <w:tc>
          <w:tcPr>
            <w:tcW w:w="1160" w:type="dxa"/>
            <w:tcBorders>
              <w:top w:val="nil"/>
              <w:left w:val="nil"/>
              <w:bottom w:val="single" w:sz="4" w:space="0" w:color="auto"/>
              <w:right w:val="single" w:sz="4" w:space="0" w:color="auto"/>
            </w:tcBorders>
            <w:noWrap/>
            <w:vAlign w:val="center"/>
            <w:hideMark/>
          </w:tcPr>
          <w:p w14:paraId="76A0D0FB"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67.19%</w:t>
            </w:r>
          </w:p>
        </w:tc>
        <w:tc>
          <w:tcPr>
            <w:tcW w:w="1300" w:type="dxa"/>
            <w:tcBorders>
              <w:top w:val="nil"/>
              <w:left w:val="nil"/>
              <w:bottom w:val="single" w:sz="4" w:space="0" w:color="auto"/>
              <w:right w:val="single" w:sz="4" w:space="0" w:color="auto"/>
            </w:tcBorders>
            <w:noWrap/>
            <w:vAlign w:val="center"/>
            <w:hideMark/>
          </w:tcPr>
          <w:p w14:paraId="127E340F"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482</w:t>
            </w:r>
          </w:p>
        </w:tc>
        <w:tc>
          <w:tcPr>
            <w:tcW w:w="1320" w:type="dxa"/>
            <w:tcBorders>
              <w:top w:val="nil"/>
              <w:left w:val="nil"/>
              <w:bottom w:val="single" w:sz="4" w:space="0" w:color="auto"/>
              <w:right w:val="single" w:sz="4" w:space="0" w:color="auto"/>
            </w:tcBorders>
            <w:noWrap/>
            <w:vAlign w:val="center"/>
            <w:hideMark/>
          </w:tcPr>
          <w:p w14:paraId="0E9FD521"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62.68%</w:t>
            </w:r>
          </w:p>
        </w:tc>
        <w:tc>
          <w:tcPr>
            <w:tcW w:w="1240" w:type="dxa"/>
            <w:tcBorders>
              <w:top w:val="nil"/>
              <w:left w:val="nil"/>
              <w:bottom w:val="single" w:sz="4" w:space="0" w:color="auto"/>
              <w:right w:val="single" w:sz="4" w:space="0" w:color="auto"/>
            </w:tcBorders>
            <w:noWrap/>
            <w:vAlign w:val="center"/>
            <w:hideMark/>
          </w:tcPr>
          <w:p w14:paraId="24C016E0"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998</w:t>
            </w:r>
          </w:p>
        </w:tc>
        <w:tc>
          <w:tcPr>
            <w:tcW w:w="1260" w:type="dxa"/>
            <w:tcBorders>
              <w:top w:val="nil"/>
              <w:left w:val="nil"/>
              <w:bottom w:val="single" w:sz="4" w:space="0" w:color="auto"/>
              <w:right w:val="single" w:sz="4" w:space="0" w:color="auto"/>
            </w:tcBorders>
            <w:noWrap/>
            <w:vAlign w:val="center"/>
            <w:hideMark/>
          </w:tcPr>
          <w:p w14:paraId="783A5894"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64.93%</w:t>
            </w:r>
          </w:p>
        </w:tc>
      </w:tr>
      <w:tr w:rsidR="00827DC2" w14:paraId="247F1B59"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4D57F054"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Below</w:t>
            </w:r>
          </w:p>
        </w:tc>
        <w:tc>
          <w:tcPr>
            <w:tcW w:w="1340" w:type="dxa"/>
            <w:tcBorders>
              <w:top w:val="nil"/>
              <w:left w:val="nil"/>
              <w:bottom w:val="single" w:sz="4" w:space="0" w:color="auto"/>
              <w:right w:val="single" w:sz="4" w:space="0" w:color="auto"/>
            </w:tcBorders>
            <w:noWrap/>
            <w:vAlign w:val="center"/>
            <w:hideMark/>
          </w:tcPr>
          <w:p w14:paraId="41ABB4BC"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252</w:t>
            </w:r>
          </w:p>
        </w:tc>
        <w:tc>
          <w:tcPr>
            <w:tcW w:w="1160" w:type="dxa"/>
            <w:tcBorders>
              <w:top w:val="nil"/>
              <w:left w:val="nil"/>
              <w:bottom w:val="single" w:sz="4" w:space="0" w:color="auto"/>
              <w:right w:val="single" w:sz="4" w:space="0" w:color="auto"/>
            </w:tcBorders>
            <w:noWrap/>
            <w:vAlign w:val="center"/>
            <w:hideMark/>
          </w:tcPr>
          <w:p w14:paraId="7341718D"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32.81%</w:t>
            </w:r>
          </w:p>
        </w:tc>
        <w:tc>
          <w:tcPr>
            <w:tcW w:w="1300" w:type="dxa"/>
            <w:tcBorders>
              <w:top w:val="nil"/>
              <w:left w:val="nil"/>
              <w:bottom w:val="single" w:sz="4" w:space="0" w:color="auto"/>
              <w:right w:val="single" w:sz="4" w:space="0" w:color="auto"/>
            </w:tcBorders>
            <w:noWrap/>
            <w:vAlign w:val="center"/>
            <w:hideMark/>
          </w:tcPr>
          <w:p w14:paraId="30AE2596"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287</w:t>
            </w:r>
          </w:p>
        </w:tc>
        <w:tc>
          <w:tcPr>
            <w:tcW w:w="1320" w:type="dxa"/>
            <w:tcBorders>
              <w:top w:val="nil"/>
              <w:left w:val="nil"/>
              <w:bottom w:val="single" w:sz="4" w:space="0" w:color="auto"/>
              <w:right w:val="single" w:sz="4" w:space="0" w:color="auto"/>
            </w:tcBorders>
            <w:noWrap/>
            <w:vAlign w:val="center"/>
            <w:hideMark/>
          </w:tcPr>
          <w:p w14:paraId="23E4AC9B"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37.32%</w:t>
            </w:r>
          </w:p>
        </w:tc>
        <w:tc>
          <w:tcPr>
            <w:tcW w:w="1240" w:type="dxa"/>
            <w:tcBorders>
              <w:top w:val="nil"/>
              <w:left w:val="nil"/>
              <w:bottom w:val="single" w:sz="4" w:space="0" w:color="auto"/>
              <w:right w:val="single" w:sz="4" w:space="0" w:color="auto"/>
            </w:tcBorders>
            <w:noWrap/>
            <w:vAlign w:val="center"/>
            <w:hideMark/>
          </w:tcPr>
          <w:p w14:paraId="16BE8A3B"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539</w:t>
            </w:r>
          </w:p>
        </w:tc>
        <w:tc>
          <w:tcPr>
            <w:tcW w:w="1260" w:type="dxa"/>
            <w:tcBorders>
              <w:top w:val="nil"/>
              <w:left w:val="nil"/>
              <w:bottom w:val="single" w:sz="4" w:space="0" w:color="auto"/>
              <w:right w:val="single" w:sz="4" w:space="0" w:color="auto"/>
            </w:tcBorders>
            <w:noWrap/>
            <w:vAlign w:val="center"/>
            <w:hideMark/>
          </w:tcPr>
          <w:p w14:paraId="26C9BDB2"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35.07%</w:t>
            </w:r>
          </w:p>
        </w:tc>
      </w:tr>
      <w:tr w:rsidR="00827DC2" w14:paraId="41F8DC4E"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3B48FC53"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Total</w:t>
            </w:r>
          </w:p>
        </w:tc>
        <w:tc>
          <w:tcPr>
            <w:tcW w:w="1340" w:type="dxa"/>
            <w:tcBorders>
              <w:top w:val="nil"/>
              <w:left w:val="nil"/>
              <w:bottom w:val="single" w:sz="4" w:space="0" w:color="auto"/>
              <w:right w:val="single" w:sz="4" w:space="0" w:color="auto"/>
            </w:tcBorders>
            <w:noWrap/>
            <w:vAlign w:val="center"/>
            <w:hideMark/>
          </w:tcPr>
          <w:p w14:paraId="7A04D191"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768</w:t>
            </w:r>
          </w:p>
        </w:tc>
        <w:tc>
          <w:tcPr>
            <w:tcW w:w="1160" w:type="dxa"/>
            <w:tcBorders>
              <w:top w:val="nil"/>
              <w:left w:val="nil"/>
              <w:bottom w:val="single" w:sz="4" w:space="0" w:color="auto"/>
              <w:right w:val="single" w:sz="4" w:space="0" w:color="auto"/>
            </w:tcBorders>
            <w:noWrap/>
            <w:vAlign w:val="center"/>
            <w:hideMark/>
          </w:tcPr>
          <w:p w14:paraId="25E8AA94"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100.00%</w:t>
            </w:r>
          </w:p>
        </w:tc>
        <w:tc>
          <w:tcPr>
            <w:tcW w:w="1300" w:type="dxa"/>
            <w:tcBorders>
              <w:top w:val="nil"/>
              <w:left w:val="nil"/>
              <w:bottom w:val="single" w:sz="4" w:space="0" w:color="auto"/>
              <w:right w:val="single" w:sz="4" w:space="0" w:color="auto"/>
            </w:tcBorders>
            <w:noWrap/>
            <w:vAlign w:val="center"/>
            <w:hideMark/>
          </w:tcPr>
          <w:p w14:paraId="69E4AFD4"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769</w:t>
            </w:r>
          </w:p>
        </w:tc>
        <w:tc>
          <w:tcPr>
            <w:tcW w:w="1320" w:type="dxa"/>
            <w:tcBorders>
              <w:top w:val="nil"/>
              <w:left w:val="nil"/>
              <w:bottom w:val="single" w:sz="4" w:space="0" w:color="auto"/>
              <w:right w:val="single" w:sz="4" w:space="0" w:color="auto"/>
            </w:tcBorders>
            <w:noWrap/>
            <w:vAlign w:val="center"/>
            <w:hideMark/>
          </w:tcPr>
          <w:p w14:paraId="053A3D79"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100.00%</w:t>
            </w:r>
          </w:p>
        </w:tc>
        <w:tc>
          <w:tcPr>
            <w:tcW w:w="1240" w:type="dxa"/>
            <w:tcBorders>
              <w:top w:val="nil"/>
              <w:left w:val="nil"/>
              <w:bottom w:val="single" w:sz="4" w:space="0" w:color="auto"/>
              <w:right w:val="single" w:sz="4" w:space="0" w:color="auto"/>
            </w:tcBorders>
            <w:noWrap/>
            <w:vAlign w:val="center"/>
            <w:hideMark/>
          </w:tcPr>
          <w:p w14:paraId="2654FC30"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1537</w:t>
            </w:r>
          </w:p>
        </w:tc>
        <w:tc>
          <w:tcPr>
            <w:tcW w:w="1260" w:type="dxa"/>
            <w:tcBorders>
              <w:top w:val="nil"/>
              <w:left w:val="nil"/>
              <w:bottom w:val="single" w:sz="4" w:space="0" w:color="auto"/>
              <w:right w:val="single" w:sz="4" w:space="0" w:color="auto"/>
            </w:tcBorders>
            <w:noWrap/>
            <w:vAlign w:val="center"/>
            <w:hideMark/>
          </w:tcPr>
          <w:p w14:paraId="255B7DE1"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100.00%</w:t>
            </w:r>
          </w:p>
        </w:tc>
      </w:tr>
    </w:tbl>
    <w:p w14:paraId="032885B0" w14:textId="77777777" w:rsidR="00827DC2" w:rsidRDefault="00827DC2" w:rsidP="00827DC2">
      <w:pPr>
        <w:widowControl w:val="0"/>
        <w:autoSpaceDE w:val="0"/>
        <w:autoSpaceDN w:val="0"/>
        <w:adjustRightInd w:val="0"/>
        <w:rPr>
          <w:sz w:val="22"/>
          <w:szCs w:val="16"/>
        </w:rPr>
      </w:pPr>
    </w:p>
    <w:tbl>
      <w:tblPr>
        <w:tblW w:w="9400" w:type="dxa"/>
        <w:tblLook w:val="04A0" w:firstRow="1" w:lastRow="0" w:firstColumn="1" w:lastColumn="0" w:noHBand="0" w:noVBand="1"/>
      </w:tblPr>
      <w:tblGrid>
        <w:gridCol w:w="1780"/>
        <w:gridCol w:w="1340"/>
        <w:gridCol w:w="1160"/>
        <w:gridCol w:w="1300"/>
        <w:gridCol w:w="1320"/>
        <w:gridCol w:w="1240"/>
        <w:gridCol w:w="1260"/>
      </w:tblGrid>
      <w:tr w:rsidR="00827DC2" w14:paraId="1C981B28" w14:textId="77777777" w:rsidTr="00EB7F20">
        <w:trPr>
          <w:trHeight w:val="288"/>
        </w:trPr>
        <w:tc>
          <w:tcPr>
            <w:tcW w:w="1780" w:type="dxa"/>
            <w:tcBorders>
              <w:top w:val="single" w:sz="4" w:space="0" w:color="auto"/>
              <w:left w:val="single" w:sz="4" w:space="0" w:color="auto"/>
              <w:bottom w:val="nil"/>
              <w:right w:val="nil"/>
            </w:tcBorders>
            <w:noWrap/>
            <w:vAlign w:val="center"/>
            <w:hideMark/>
          </w:tcPr>
          <w:p w14:paraId="449D7340"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2023-2024</w:t>
            </w:r>
          </w:p>
        </w:tc>
        <w:tc>
          <w:tcPr>
            <w:tcW w:w="1340" w:type="dxa"/>
            <w:tcBorders>
              <w:top w:val="single" w:sz="4" w:space="0" w:color="auto"/>
              <w:left w:val="single" w:sz="4" w:space="0" w:color="auto"/>
              <w:bottom w:val="nil"/>
              <w:right w:val="single" w:sz="4" w:space="0" w:color="auto"/>
            </w:tcBorders>
            <w:noWrap/>
            <w:vAlign w:val="center"/>
            <w:hideMark/>
          </w:tcPr>
          <w:p w14:paraId="675B2E93"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Fall (N)</w:t>
            </w:r>
          </w:p>
        </w:tc>
        <w:tc>
          <w:tcPr>
            <w:tcW w:w="1160" w:type="dxa"/>
            <w:tcBorders>
              <w:top w:val="single" w:sz="4" w:space="0" w:color="auto"/>
              <w:left w:val="nil"/>
              <w:bottom w:val="nil"/>
              <w:right w:val="nil"/>
            </w:tcBorders>
            <w:noWrap/>
            <w:vAlign w:val="center"/>
            <w:hideMark/>
          </w:tcPr>
          <w:p w14:paraId="3016A375"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Fall (%)</w:t>
            </w:r>
          </w:p>
        </w:tc>
        <w:tc>
          <w:tcPr>
            <w:tcW w:w="1300" w:type="dxa"/>
            <w:tcBorders>
              <w:top w:val="single" w:sz="4" w:space="0" w:color="auto"/>
              <w:left w:val="single" w:sz="4" w:space="0" w:color="auto"/>
              <w:bottom w:val="nil"/>
              <w:right w:val="single" w:sz="4" w:space="0" w:color="auto"/>
            </w:tcBorders>
            <w:noWrap/>
            <w:vAlign w:val="center"/>
            <w:hideMark/>
          </w:tcPr>
          <w:p w14:paraId="6F89821D"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Spring (N)</w:t>
            </w:r>
          </w:p>
        </w:tc>
        <w:tc>
          <w:tcPr>
            <w:tcW w:w="1320" w:type="dxa"/>
            <w:tcBorders>
              <w:top w:val="single" w:sz="4" w:space="0" w:color="auto"/>
              <w:left w:val="nil"/>
              <w:bottom w:val="nil"/>
              <w:right w:val="nil"/>
            </w:tcBorders>
            <w:noWrap/>
            <w:vAlign w:val="center"/>
            <w:hideMark/>
          </w:tcPr>
          <w:p w14:paraId="09517EBC"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Spring (%)</w:t>
            </w:r>
          </w:p>
        </w:tc>
        <w:tc>
          <w:tcPr>
            <w:tcW w:w="1240" w:type="dxa"/>
            <w:tcBorders>
              <w:top w:val="single" w:sz="4" w:space="0" w:color="auto"/>
              <w:left w:val="single" w:sz="4" w:space="0" w:color="auto"/>
              <w:bottom w:val="nil"/>
              <w:right w:val="single" w:sz="4" w:space="0" w:color="auto"/>
            </w:tcBorders>
            <w:noWrap/>
            <w:vAlign w:val="center"/>
            <w:hideMark/>
          </w:tcPr>
          <w:p w14:paraId="1677B0DD"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Total (N)</w:t>
            </w:r>
          </w:p>
        </w:tc>
        <w:tc>
          <w:tcPr>
            <w:tcW w:w="1260" w:type="dxa"/>
            <w:tcBorders>
              <w:top w:val="single" w:sz="4" w:space="0" w:color="auto"/>
              <w:left w:val="nil"/>
              <w:bottom w:val="nil"/>
              <w:right w:val="single" w:sz="4" w:space="0" w:color="auto"/>
            </w:tcBorders>
            <w:noWrap/>
            <w:vAlign w:val="center"/>
            <w:hideMark/>
          </w:tcPr>
          <w:p w14:paraId="08C8DB77"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Total (%)</w:t>
            </w:r>
          </w:p>
        </w:tc>
      </w:tr>
      <w:tr w:rsidR="00827DC2" w14:paraId="4750AFF5" w14:textId="77777777" w:rsidTr="00EB7F20">
        <w:trPr>
          <w:trHeight w:val="288"/>
        </w:trPr>
        <w:tc>
          <w:tcPr>
            <w:tcW w:w="1780" w:type="dxa"/>
            <w:tcBorders>
              <w:top w:val="single" w:sz="4" w:space="0" w:color="auto"/>
              <w:left w:val="single" w:sz="4" w:space="0" w:color="auto"/>
              <w:bottom w:val="single" w:sz="4" w:space="0" w:color="auto"/>
              <w:right w:val="single" w:sz="4" w:space="0" w:color="auto"/>
            </w:tcBorders>
            <w:noWrap/>
            <w:vAlign w:val="center"/>
            <w:hideMark/>
          </w:tcPr>
          <w:p w14:paraId="1256867B"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Exceeded</w:t>
            </w:r>
          </w:p>
        </w:tc>
        <w:tc>
          <w:tcPr>
            <w:tcW w:w="1340" w:type="dxa"/>
            <w:tcBorders>
              <w:top w:val="single" w:sz="4" w:space="0" w:color="auto"/>
              <w:left w:val="nil"/>
              <w:bottom w:val="single" w:sz="4" w:space="0" w:color="auto"/>
              <w:right w:val="single" w:sz="4" w:space="0" w:color="auto"/>
            </w:tcBorders>
            <w:noWrap/>
            <w:vAlign w:val="center"/>
            <w:hideMark/>
          </w:tcPr>
          <w:p w14:paraId="1C71D1F6"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164</w:t>
            </w:r>
          </w:p>
        </w:tc>
        <w:tc>
          <w:tcPr>
            <w:tcW w:w="1160" w:type="dxa"/>
            <w:tcBorders>
              <w:top w:val="single" w:sz="4" w:space="0" w:color="auto"/>
              <w:left w:val="nil"/>
              <w:bottom w:val="single" w:sz="4" w:space="0" w:color="auto"/>
              <w:right w:val="single" w:sz="4" w:space="0" w:color="auto"/>
            </w:tcBorders>
            <w:noWrap/>
            <w:vAlign w:val="center"/>
            <w:hideMark/>
          </w:tcPr>
          <w:p w14:paraId="55908376"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26.54%</w:t>
            </w:r>
          </w:p>
        </w:tc>
        <w:tc>
          <w:tcPr>
            <w:tcW w:w="1300" w:type="dxa"/>
            <w:tcBorders>
              <w:top w:val="single" w:sz="4" w:space="0" w:color="auto"/>
              <w:left w:val="nil"/>
              <w:bottom w:val="single" w:sz="4" w:space="0" w:color="auto"/>
              <w:right w:val="single" w:sz="4" w:space="0" w:color="auto"/>
            </w:tcBorders>
            <w:noWrap/>
            <w:vAlign w:val="center"/>
            <w:hideMark/>
          </w:tcPr>
          <w:p w14:paraId="24102F71"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116</w:t>
            </w:r>
          </w:p>
        </w:tc>
        <w:tc>
          <w:tcPr>
            <w:tcW w:w="1320" w:type="dxa"/>
            <w:tcBorders>
              <w:top w:val="single" w:sz="4" w:space="0" w:color="auto"/>
              <w:left w:val="nil"/>
              <w:bottom w:val="single" w:sz="4" w:space="0" w:color="auto"/>
              <w:right w:val="single" w:sz="4" w:space="0" w:color="auto"/>
            </w:tcBorders>
            <w:noWrap/>
            <w:vAlign w:val="center"/>
            <w:hideMark/>
          </w:tcPr>
          <w:p w14:paraId="1BF8D945"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19.17%</w:t>
            </w:r>
          </w:p>
        </w:tc>
        <w:tc>
          <w:tcPr>
            <w:tcW w:w="1240" w:type="dxa"/>
            <w:tcBorders>
              <w:top w:val="single" w:sz="4" w:space="0" w:color="auto"/>
              <w:left w:val="nil"/>
              <w:bottom w:val="single" w:sz="4" w:space="0" w:color="auto"/>
              <w:right w:val="single" w:sz="4" w:space="0" w:color="auto"/>
            </w:tcBorders>
            <w:noWrap/>
            <w:vAlign w:val="center"/>
            <w:hideMark/>
          </w:tcPr>
          <w:p w14:paraId="34B3F007"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280</w:t>
            </w:r>
          </w:p>
        </w:tc>
        <w:tc>
          <w:tcPr>
            <w:tcW w:w="1260" w:type="dxa"/>
            <w:tcBorders>
              <w:top w:val="single" w:sz="4" w:space="0" w:color="auto"/>
              <w:left w:val="nil"/>
              <w:bottom w:val="single" w:sz="4" w:space="0" w:color="auto"/>
              <w:right w:val="single" w:sz="4" w:space="0" w:color="auto"/>
            </w:tcBorders>
            <w:noWrap/>
            <w:vAlign w:val="center"/>
            <w:hideMark/>
          </w:tcPr>
          <w:p w14:paraId="760C0CB7"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22.89%</w:t>
            </w:r>
          </w:p>
        </w:tc>
      </w:tr>
      <w:tr w:rsidR="00827DC2" w14:paraId="50F3ED7E"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7D7B1DFF"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Met</w:t>
            </w:r>
          </w:p>
        </w:tc>
        <w:tc>
          <w:tcPr>
            <w:tcW w:w="1340" w:type="dxa"/>
            <w:tcBorders>
              <w:top w:val="nil"/>
              <w:left w:val="nil"/>
              <w:bottom w:val="single" w:sz="4" w:space="0" w:color="auto"/>
              <w:right w:val="single" w:sz="4" w:space="0" w:color="auto"/>
            </w:tcBorders>
            <w:noWrap/>
            <w:vAlign w:val="center"/>
            <w:hideMark/>
          </w:tcPr>
          <w:p w14:paraId="773AB13A"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228</w:t>
            </w:r>
          </w:p>
        </w:tc>
        <w:tc>
          <w:tcPr>
            <w:tcW w:w="1160" w:type="dxa"/>
            <w:tcBorders>
              <w:top w:val="nil"/>
              <w:left w:val="nil"/>
              <w:bottom w:val="single" w:sz="4" w:space="0" w:color="auto"/>
              <w:right w:val="single" w:sz="4" w:space="0" w:color="auto"/>
            </w:tcBorders>
            <w:noWrap/>
            <w:vAlign w:val="center"/>
            <w:hideMark/>
          </w:tcPr>
          <w:p w14:paraId="21ADE5FF"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36.89%</w:t>
            </w:r>
          </w:p>
        </w:tc>
        <w:tc>
          <w:tcPr>
            <w:tcW w:w="1300" w:type="dxa"/>
            <w:tcBorders>
              <w:top w:val="nil"/>
              <w:left w:val="nil"/>
              <w:bottom w:val="single" w:sz="4" w:space="0" w:color="auto"/>
              <w:right w:val="single" w:sz="4" w:space="0" w:color="auto"/>
            </w:tcBorders>
            <w:noWrap/>
            <w:vAlign w:val="center"/>
            <w:hideMark/>
          </w:tcPr>
          <w:p w14:paraId="275D3F14"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230</w:t>
            </w:r>
          </w:p>
        </w:tc>
        <w:tc>
          <w:tcPr>
            <w:tcW w:w="1320" w:type="dxa"/>
            <w:tcBorders>
              <w:top w:val="nil"/>
              <w:left w:val="nil"/>
              <w:bottom w:val="single" w:sz="4" w:space="0" w:color="auto"/>
              <w:right w:val="single" w:sz="4" w:space="0" w:color="auto"/>
            </w:tcBorders>
            <w:noWrap/>
            <w:vAlign w:val="center"/>
            <w:hideMark/>
          </w:tcPr>
          <w:p w14:paraId="3F49BB22"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38.02%</w:t>
            </w:r>
          </w:p>
        </w:tc>
        <w:tc>
          <w:tcPr>
            <w:tcW w:w="1240" w:type="dxa"/>
            <w:tcBorders>
              <w:top w:val="nil"/>
              <w:left w:val="nil"/>
              <w:bottom w:val="single" w:sz="4" w:space="0" w:color="auto"/>
              <w:right w:val="single" w:sz="4" w:space="0" w:color="auto"/>
            </w:tcBorders>
            <w:noWrap/>
            <w:vAlign w:val="center"/>
            <w:hideMark/>
          </w:tcPr>
          <w:p w14:paraId="0A9CCB2A"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458</w:t>
            </w:r>
          </w:p>
        </w:tc>
        <w:tc>
          <w:tcPr>
            <w:tcW w:w="1260" w:type="dxa"/>
            <w:tcBorders>
              <w:top w:val="nil"/>
              <w:left w:val="nil"/>
              <w:bottom w:val="single" w:sz="4" w:space="0" w:color="auto"/>
              <w:right w:val="single" w:sz="4" w:space="0" w:color="auto"/>
            </w:tcBorders>
            <w:noWrap/>
            <w:vAlign w:val="center"/>
            <w:hideMark/>
          </w:tcPr>
          <w:p w14:paraId="3C2ACC7F"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37.45%</w:t>
            </w:r>
          </w:p>
        </w:tc>
      </w:tr>
      <w:tr w:rsidR="00827DC2" w14:paraId="57DCF321"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38EACDF2" w14:textId="77777777" w:rsidR="00827DC2" w:rsidRDefault="00827DC2" w:rsidP="00EB7F20">
            <w:pPr>
              <w:rPr>
                <w:rFonts w:ascii="Calibri" w:hAnsi="Calibri" w:cs="Calibri"/>
                <w:b/>
                <w:bCs/>
                <w:color w:val="000000"/>
                <w:sz w:val="22"/>
                <w:szCs w:val="22"/>
              </w:rPr>
            </w:pPr>
            <w:r>
              <w:rPr>
                <w:rFonts w:ascii="Calibri" w:hAnsi="Calibri" w:cs="Calibri"/>
                <w:b/>
                <w:bCs/>
                <w:color w:val="000000"/>
                <w:sz w:val="22"/>
                <w:szCs w:val="22"/>
              </w:rPr>
              <w:t>Exceeded &amp; Met</w:t>
            </w:r>
          </w:p>
        </w:tc>
        <w:tc>
          <w:tcPr>
            <w:tcW w:w="1340" w:type="dxa"/>
            <w:tcBorders>
              <w:top w:val="nil"/>
              <w:left w:val="nil"/>
              <w:bottom w:val="single" w:sz="4" w:space="0" w:color="auto"/>
              <w:right w:val="single" w:sz="4" w:space="0" w:color="auto"/>
            </w:tcBorders>
            <w:noWrap/>
            <w:vAlign w:val="center"/>
            <w:hideMark/>
          </w:tcPr>
          <w:p w14:paraId="22EB8838"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392</w:t>
            </w:r>
          </w:p>
        </w:tc>
        <w:tc>
          <w:tcPr>
            <w:tcW w:w="1160" w:type="dxa"/>
            <w:tcBorders>
              <w:top w:val="nil"/>
              <w:left w:val="nil"/>
              <w:bottom w:val="single" w:sz="4" w:space="0" w:color="auto"/>
              <w:right w:val="single" w:sz="4" w:space="0" w:color="auto"/>
            </w:tcBorders>
            <w:noWrap/>
            <w:vAlign w:val="center"/>
            <w:hideMark/>
          </w:tcPr>
          <w:p w14:paraId="40D594E0"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63.43%</w:t>
            </w:r>
          </w:p>
        </w:tc>
        <w:tc>
          <w:tcPr>
            <w:tcW w:w="1300" w:type="dxa"/>
            <w:tcBorders>
              <w:top w:val="nil"/>
              <w:left w:val="nil"/>
              <w:bottom w:val="single" w:sz="4" w:space="0" w:color="auto"/>
              <w:right w:val="single" w:sz="4" w:space="0" w:color="auto"/>
            </w:tcBorders>
            <w:noWrap/>
            <w:vAlign w:val="center"/>
            <w:hideMark/>
          </w:tcPr>
          <w:p w14:paraId="5CBD289E"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346</w:t>
            </w:r>
          </w:p>
        </w:tc>
        <w:tc>
          <w:tcPr>
            <w:tcW w:w="1320" w:type="dxa"/>
            <w:tcBorders>
              <w:top w:val="nil"/>
              <w:left w:val="nil"/>
              <w:bottom w:val="single" w:sz="4" w:space="0" w:color="auto"/>
              <w:right w:val="single" w:sz="4" w:space="0" w:color="auto"/>
            </w:tcBorders>
            <w:noWrap/>
            <w:vAlign w:val="center"/>
            <w:hideMark/>
          </w:tcPr>
          <w:p w14:paraId="5FCC2E08"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57.19%</w:t>
            </w:r>
          </w:p>
        </w:tc>
        <w:tc>
          <w:tcPr>
            <w:tcW w:w="1240" w:type="dxa"/>
            <w:tcBorders>
              <w:top w:val="nil"/>
              <w:left w:val="nil"/>
              <w:bottom w:val="single" w:sz="4" w:space="0" w:color="auto"/>
              <w:right w:val="single" w:sz="4" w:space="0" w:color="auto"/>
            </w:tcBorders>
            <w:noWrap/>
            <w:vAlign w:val="center"/>
            <w:hideMark/>
          </w:tcPr>
          <w:p w14:paraId="370ED3AE"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738</w:t>
            </w:r>
          </w:p>
        </w:tc>
        <w:tc>
          <w:tcPr>
            <w:tcW w:w="1260" w:type="dxa"/>
            <w:tcBorders>
              <w:top w:val="nil"/>
              <w:left w:val="nil"/>
              <w:bottom w:val="single" w:sz="4" w:space="0" w:color="auto"/>
              <w:right w:val="single" w:sz="4" w:space="0" w:color="auto"/>
            </w:tcBorders>
            <w:noWrap/>
            <w:vAlign w:val="center"/>
            <w:hideMark/>
          </w:tcPr>
          <w:p w14:paraId="4EDB8DD5"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60.34%</w:t>
            </w:r>
          </w:p>
        </w:tc>
      </w:tr>
      <w:tr w:rsidR="00827DC2" w14:paraId="3D955BC5"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52680F28"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Below</w:t>
            </w:r>
          </w:p>
        </w:tc>
        <w:tc>
          <w:tcPr>
            <w:tcW w:w="1340" w:type="dxa"/>
            <w:tcBorders>
              <w:top w:val="nil"/>
              <w:left w:val="nil"/>
              <w:bottom w:val="single" w:sz="4" w:space="0" w:color="auto"/>
              <w:right w:val="single" w:sz="4" w:space="0" w:color="auto"/>
            </w:tcBorders>
            <w:noWrap/>
            <w:vAlign w:val="center"/>
            <w:hideMark/>
          </w:tcPr>
          <w:p w14:paraId="7D1A4705"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226</w:t>
            </w:r>
          </w:p>
        </w:tc>
        <w:tc>
          <w:tcPr>
            <w:tcW w:w="1160" w:type="dxa"/>
            <w:tcBorders>
              <w:top w:val="nil"/>
              <w:left w:val="nil"/>
              <w:bottom w:val="single" w:sz="4" w:space="0" w:color="auto"/>
              <w:right w:val="single" w:sz="4" w:space="0" w:color="auto"/>
            </w:tcBorders>
            <w:noWrap/>
            <w:vAlign w:val="center"/>
            <w:hideMark/>
          </w:tcPr>
          <w:p w14:paraId="742394AE"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36.57%</w:t>
            </w:r>
          </w:p>
        </w:tc>
        <w:tc>
          <w:tcPr>
            <w:tcW w:w="1300" w:type="dxa"/>
            <w:tcBorders>
              <w:top w:val="nil"/>
              <w:left w:val="nil"/>
              <w:bottom w:val="single" w:sz="4" w:space="0" w:color="auto"/>
              <w:right w:val="single" w:sz="4" w:space="0" w:color="auto"/>
            </w:tcBorders>
            <w:noWrap/>
            <w:vAlign w:val="center"/>
            <w:hideMark/>
          </w:tcPr>
          <w:p w14:paraId="140BDFCF"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259</w:t>
            </w:r>
          </w:p>
        </w:tc>
        <w:tc>
          <w:tcPr>
            <w:tcW w:w="1320" w:type="dxa"/>
            <w:tcBorders>
              <w:top w:val="nil"/>
              <w:left w:val="nil"/>
              <w:bottom w:val="single" w:sz="4" w:space="0" w:color="auto"/>
              <w:right w:val="single" w:sz="4" w:space="0" w:color="auto"/>
            </w:tcBorders>
            <w:noWrap/>
            <w:vAlign w:val="center"/>
            <w:hideMark/>
          </w:tcPr>
          <w:p w14:paraId="2695C0C6"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42.81%</w:t>
            </w:r>
          </w:p>
        </w:tc>
        <w:tc>
          <w:tcPr>
            <w:tcW w:w="1240" w:type="dxa"/>
            <w:tcBorders>
              <w:top w:val="nil"/>
              <w:left w:val="nil"/>
              <w:bottom w:val="single" w:sz="4" w:space="0" w:color="auto"/>
              <w:right w:val="single" w:sz="4" w:space="0" w:color="auto"/>
            </w:tcBorders>
            <w:noWrap/>
            <w:vAlign w:val="center"/>
            <w:hideMark/>
          </w:tcPr>
          <w:p w14:paraId="5A1124B9"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485</w:t>
            </w:r>
          </w:p>
        </w:tc>
        <w:tc>
          <w:tcPr>
            <w:tcW w:w="1260" w:type="dxa"/>
            <w:tcBorders>
              <w:top w:val="nil"/>
              <w:left w:val="nil"/>
              <w:bottom w:val="single" w:sz="4" w:space="0" w:color="auto"/>
              <w:right w:val="single" w:sz="4" w:space="0" w:color="auto"/>
            </w:tcBorders>
            <w:noWrap/>
            <w:vAlign w:val="center"/>
            <w:hideMark/>
          </w:tcPr>
          <w:p w14:paraId="5EBAC145"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39.66%</w:t>
            </w:r>
          </w:p>
        </w:tc>
      </w:tr>
      <w:tr w:rsidR="00827DC2" w14:paraId="6B7693ED"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25EE5708"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Total</w:t>
            </w:r>
          </w:p>
        </w:tc>
        <w:tc>
          <w:tcPr>
            <w:tcW w:w="1340" w:type="dxa"/>
            <w:tcBorders>
              <w:top w:val="nil"/>
              <w:left w:val="nil"/>
              <w:bottom w:val="single" w:sz="4" w:space="0" w:color="auto"/>
              <w:right w:val="single" w:sz="4" w:space="0" w:color="auto"/>
            </w:tcBorders>
            <w:noWrap/>
            <w:vAlign w:val="center"/>
            <w:hideMark/>
          </w:tcPr>
          <w:p w14:paraId="438D85CE"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618</w:t>
            </w:r>
          </w:p>
        </w:tc>
        <w:tc>
          <w:tcPr>
            <w:tcW w:w="1160" w:type="dxa"/>
            <w:tcBorders>
              <w:top w:val="nil"/>
              <w:left w:val="nil"/>
              <w:bottom w:val="single" w:sz="4" w:space="0" w:color="auto"/>
              <w:right w:val="single" w:sz="4" w:space="0" w:color="auto"/>
            </w:tcBorders>
            <w:noWrap/>
            <w:vAlign w:val="center"/>
            <w:hideMark/>
          </w:tcPr>
          <w:p w14:paraId="2752F6A5"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100.00%</w:t>
            </w:r>
          </w:p>
        </w:tc>
        <w:tc>
          <w:tcPr>
            <w:tcW w:w="1300" w:type="dxa"/>
            <w:tcBorders>
              <w:top w:val="nil"/>
              <w:left w:val="nil"/>
              <w:bottom w:val="single" w:sz="4" w:space="0" w:color="auto"/>
              <w:right w:val="single" w:sz="4" w:space="0" w:color="auto"/>
            </w:tcBorders>
            <w:noWrap/>
            <w:vAlign w:val="center"/>
            <w:hideMark/>
          </w:tcPr>
          <w:p w14:paraId="34CCE45F"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605</w:t>
            </w:r>
          </w:p>
        </w:tc>
        <w:tc>
          <w:tcPr>
            <w:tcW w:w="1320" w:type="dxa"/>
            <w:tcBorders>
              <w:top w:val="nil"/>
              <w:left w:val="nil"/>
              <w:bottom w:val="single" w:sz="4" w:space="0" w:color="auto"/>
              <w:right w:val="single" w:sz="4" w:space="0" w:color="auto"/>
            </w:tcBorders>
            <w:noWrap/>
            <w:vAlign w:val="center"/>
            <w:hideMark/>
          </w:tcPr>
          <w:p w14:paraId="3361CE7A"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100.00%</w:t>
            </w:r>
          </w:p>
        </w:tc>
        <w:tc>
          <w:tcPr>
            <w:tcW w:w="1240" w:type="dxa"/>
            <w:tcBorders>
              <w:top w:val="nil"/>
              <w:left w:val="nil"/>
              <w:bottom w:val="single" w:sz="4" w:space="0" w:color="auto"/>
              <w:right w:val="single" w:sz="4" w:space="0" w:color="auto"/>
            </w:tcBorders>
            <w:noWrap/>
            <w:vAlign w:val="center"/>
            <w:hideMark/>
          </w:tcPr>
          <w:p w14:paraId="4A3B007A"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1223</w:t>
            </w:r>
          </w:p>
        </w:tc>
        <w:tc>
          <w:tcPr>
            <w:tcW w:w="1260" w:type="dxa"/>
            <w:tcBorders>
              <w:top w:val="nil"/>
              <w:left w:val="nil"/>
              <w:bottom w:val="single" w:sz="4" w:space="0" w:color="auto"/>
              <w:right w:val="single" w:sz="4" w:space="0" w:color="auto"/>
            </w:tcBorders>
            <w:noWrap/>
            <w:vAlign w:val="center"/>
            <w:hideMark/>
          </w:tcPr>
          <w:p w14:paraId="548E2036"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100.00%</w:t>
            </w:r>
          </w:p>
        </w:tc>
      </w:tr>
    </w:tbl>
    <w:p w14:paraId="3F15E2E9" w14:textId="77777777" w:rsidR="00827DC2" w:rsidRDefault="00827DC2" w:rsidP="00827DC2">
      <w:pPr>
        <w:widowControl w:val="0"/>
        <w:autoSpaceDE w:val="0"/>
        <w:autoSpaceDN w:val="0"/>
        <w:adjustRightInd w:val="0"/>
        <w:rPr>
          <w:sz w:val="22"/>
          <w:szCs w:val="16"/>
        </w:rPr>
      </w:pPr>
    </w:p>
    <w:tbl>
      <w:tblPr>
        <w:tblW w:w="9400" w:type="dxa"/>
        <w:tblLook w:val="04A0" w:firstRow="1" w:lastRow="0" w:firstColumn="1" w:lastColumn="0" w:noHBand="0" w:noVBand="1"/>
      </w:tblPr>
      <w:tblGrid>
        <w:gridCol w:w="1780"/>
        <w:gridCol w:w="1340"/>
        <w:gridCol w:w="1160"/>
        <w:gridCol w:w="1300"/>
        <w:gridCol w:w="1320"/>
        <w:gridCol w:w="1240"/>
        <w:gridCol w:w="1260"/>
      </w:tblGrid>
      <w:tr w:rsidR="00827DC2" w14:paraId="5C8CDB6A" w14:textId="77777777" w:rsidTr="00EB7F20">
        <w:trPr>
          <w:trHeight w:val="288"/>
        </w:trPr>
        <w:tc>
          <w:tcPr>
            <w:tcW w:w="1780" w:type="dxa"/>
            <w:tcBorders>
              <w:top w:val="single" w:sz="4" w:space="0" w:color="auto"/>
              <w:left w:val="single" w:sz="4" w:space="0" w:color="auto"/>
              <w:bottom w:val="nil"/>
              <w:right w:val="nil"/>
            </w:tcBorders>
            <w:noWrap/>
            <w:vAlign w:val="center"/>
            <w:hideMark/>
          </w:tcPr>
          <w:p w14:paraId="45AEC934"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2022-2023</w:t>
            </w:r>
          </w:p>
        </w:tc>
        <w:tc>
          <w:tcPr>
            <w:tcW w:w="1340" w:type="dxa"/>
            <w:tcBorders>
              <w:top w:val="single" w:sz="4" w:space="0" w:color="auto"/>
              <w:left w:val="single" w:sz="4" w:space="0" w:color="auto"/>
              <w:bottom w:val="nil"/>
              <w:right w:val="single" w:sz="4" w:space="0" w:color="auto"/>
            </w:tcBorders>
            <w:noWrap/>
            <w:vAlign w:val="center"/>
            <w:hideMark/>
          </w:tcPr>
          <w:p w14:paraId="5D69B172"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Fall (N)</w:t>
            </w:r>
          </w:p>
        </w:tc>
        <w:tc>
          <w:tcPr>
            <w:tcW w:w="1160" w:type="dxa"/>
            <w:tcBorders>
              <w:top w:val="single" w:sz="4" w:space="0" w:color="auto"/>
              <w:left w:val="nil"/>
              <w:bottom w:val="nil"/>
              <w:right w:val="nil"/>
            </w:tcBorders>
            <w:noWrap/>
            <w:vAlign w:val="center"/>
            <w:hideMark/>
          </w:tcPr>
          <w:p w14:paraId="3AC94F49"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Fall (%)</w:t>
            </w:r>
          </w:p>
        </w:tc>
        <w:tc>
          <w:tcPr>
            <w:tcW w:w="1300" w:type="dxa"/>
            <w:tcBorders>
              <w:top w:val="single" w:sz="4" w:space="0" w:color="auto"/>
              <w:left w:val="single" w:sz="4" w:space="0" w:color="auto"/>
              <w:bottom w:val="nil"/>
              <w:right w:val="single" w:sz="4" w:space="0" w:color="auto"/>
            </w:tcBorders>
            <w:noWrap/>
            <w:vAlign w:val="center"/>
            <w:hideMark/>
          </w:tcPr>
          <w:p w14:paraId="57F37A6F"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Spring (N)</w:t>
            </w:r>
          </w:p>
        </w:tc>
        <w:tc>
          <w:tcPr>
            <w:tcW w:w="1320" w:type="dxa"/>
            <w:tcBorders>
              <w:top w:val="single" w:sz="4" w:space="0" w:color="auto"/>
              <w:left w:val="nil"/>
              <w:bottom w:val="nil"/>
              <w:right w:val="nil"/>
            </w:tcBorders>
            <w:noWrap/>
            <w:vAlign w:val="center"/>
            <w:hideMark/>
          </w:tcPr>
          <w:p w14:paraId="32ACE923"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Spring (%)</w:t>
            </w:r>
          </w:p>
        </w:tc>
        <w:tc>
          <w:tcPr>
            <w:tcW w:w="1240" w:type="dxa"/>
            <w:tcBorders>
              <w:top w:val="single" w:sz="4" w:space="0" w:color="auto"/>
              <w:left w:val="single" w:sz="4" w:space="0" w:color="auto"/>
              <w:bottom w:val="nil"/>
              <w:right w:val="single" w:sz="4" w:space="0" w:color="auto"/>
            </w:tcBorders>
            <w:noWrap/>
            <w:vAlign w:val="center"/>
            <w:hideMark/>
          </w:tcPr>
          <w:p w14:paraId="2E78C460"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Total (N)</w:t>
            </w:r>
          </w:p>
        </w:tc>
        <w:tc>
          <w:tcPr>
            <w:tcW w:w="1260" w:type="dxa"/>
            <w:tcBorders>
              <w:top w:val="single" w:sz="4" w:space="0" w:color="auto"/>
              <w:left w:val="nil"/>
              <w:bottom w:val="nil"/>
              <w:right w:val="single" w:sz="4" w:space="0" w:color="auto"/>
            </w:tcBorders>
            <w:noWrap/>
            <w:vAlign w:val="center"/>
            <w:hideMark/>
          </w:tcPr>
          <w:p w14:paraId="6A12567D" w14:textId="77777777" w:rsidR="00827DC2" w:rsidRDefault="00827DC2" w:rsidP="00EB7F20">
            <w:pPr>
              <w:jc w:val="center"/>
              <w:rPr>
                <w:rFonts w:ascii="Calibri" w:hAnsi="Calibri" w:cs="Calibri"/>
                <w:b/>
                <w:bCs/>
                <w:color w:val="000000"/>
                <w:sz w:val="22"/>
                <w:szCs w:val="22"/>
              </w:rPr>
            </w:pPr>
            <w:r>
              <w:rPr>
                <w:rFonts w:ascii="Calibri" w:hAnsi="Calibri" w:cs="Calibri"/>
                <w:b/>
                <w:bCs/>
                <w:color w:val="000000"/>
                <w:sz w:val="22"/>
                <w:szCs w:val="22"/>
              </w:rPr>
              <w:t>Total (%)</w:t>
            </w:r>
          </w:p>
        </w:tc>
      </w:tr>
      <w:tr w:rsidR="00827DC2" w14:paraId="05A777A4" w14:textId="77777777" w:rsidTr="00EB7F20">
        <w:trPr>
          <w:trHeight w:val="288"/>
        </w:trPr>
        <w:tc>
          <w:tcPr>
            <w:tcW w:w="1780" w:type="dxa"/>
            <w:tcBorders>
              <w:top w:val="single" w:sz="4" w:space="0" w:color="auto"/>
              <w:left w:val="single" w:sz="4" w:space="0" w:color="auto"/>
              <w:bottom w:val="single" w:sz="4" w:space="0" w:color="auto"/>
              <w:right w:val="single" w:sz="4" w:space="0" w:color="auto"/>
            </w:tcBorders>
            <w:noWrap/>
            <w:vAlign w:val="center"/>
            <w:hideMark/>
          </w:tcPr>
          <w:p w14:paraId="22CA61D4"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Exceeded</w:t>
            </w:r>
          </w:p>
        </w:tc>
        <w:tc>
          <w:tcPr>
            <w:tcW w:w="1340" w:type="dxa"/>
            <w:tcBorders>
              <w:top w:val="single" w:sz="4" w:space="0" w:color="auto"/>
              <w:left w:val="nil"/>
              <w:bottom w:val="single" w:sz="4" w:space="0" w:color="auto"/>
              <w:right w:val="single" w:sz="4" w:space="0" w:color="auto"/>
            </w:tcBorders>
            <w:noWrap/>
            <w:vAlign w:val="center"/>
            <w:hideMark/>
          </w:tcPr>
          <w:p w14:paraId="4917C035"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100</w:t>
            </w:r>
          </w:p>
        </w:tc>
        <w:tc>
          <w:tcPr>
            <w:tcW w:w="1160" w:type="dxa"/>
            <w:tcBorders>
              <w:top w:val="single" w:sz="4" w:space="0" w:color="auto"/>
              <w:left w:val="nil"/>
              <w:bottom w:val="single" w:sz="4" w:space="0" w:color="auto"/>
              <w:right w:val="single" w:sz="4" w:space="0" w:color="auto"/>
            </w:tcBorders>
            <w:noWrap/>
            <w:vAlign w:val="center"/>
            <w:hideMark/>
          </w:tcPr>
          <w:p w14:paraId="2F3581F4"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17.39%</w:t>
            </w:r>
          </w:p>
        </w:tc>
        <w:tc>
          <w:tcPr>
            <w:tcW w:w="1300" w:type="dxa"/>
            <w:tcBorders>
              <w:top w:val="single" w:sz="4" w:space="0" w:color="auto"/>
              <w:left w:val="nil"/>
              <w:bottom w:val="single" w:sz="4" w:space="0" w:color="auto"/>
              <w:right w:val="single" w:sz="4" w:space="0" w:color="auto"/>
            </w:tcBorders>
            <w:noWrap/>
            <w:vAlign w:val="center"/>
            <w:hideMark/>
          </w:tcPr>
          <w:p w14:paraId="32C7392B"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81</w:t>
            </w:r>
          </w:p>
        </w:tc>
        <w:tc>
          <w:tcPr>
            <w:tcW w:w="1320" w:type="dxa"/>
            <w:tcBorders>
              <w:top w:val="single" w:sz="4" w:space="0" w:color="auto"/>
              <w:left w:val="nil"/>
              <w:bottom w:val="single" w:sz="4" w:space="0" w:color="auto"/>
              <w:right w:val="single" w:sz="4" w:space="0" w:color="auto"/>
            </w:tcBorders>
            <w:noWrap/>
            <w:vAlign w:val="center"/>
            <w:hideMark/>
          </w:tcPr>
          <w:p w14:paraId="1FE9040F"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13.57%</w:t>
            </w:r>
          </w:p>
        </w:tc>
        <w:tc>
          <w:tcPr>
            <w:tcW w:w="1240" w:type="dxa"/>
            <w:tcBorders>
              <w:top w:val="single" w:sz="4" w:space="0" w:color="auto"/>
              <w:left w:val="nil"/>
              <w:bottom w:val="single" w:sz="4" w:space="0" w:color="auto"/>
              <w:right w:val="single" w:sz="4" w:space="0" w:color="auto"/>
            </w:tcBorders>
            <w:noWrap/>
            <w:vAlign w:val="center"/>
            <w:hideMark/>
          </w:tcPr>
          <w:p w14:paraId="494D7A55"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181</w:t>
            </w:r>
          </w:p>
        </w:tc>
        <w:tc>
          <w:tcPr>
            <w:tcW w:w="1260" w:type="dxa"/>
            <w:tcBorders>
              <w:top w:val="single" w:sz="4" w:space="0" w:color="auto"/>
              <w:left w:val="nil"/>
              <w:bottom w:val="single" w:sz="4" w:space="0" w:color="auto"/>
              <w:right w:val="single" w:sz="4" w:space="0" w:color="auto"/>
            </w:tcBorders>
            <w:noWrap/>
            <w:vAlign w:val="center"/>
            <w:hideMark/>
          </w:tcPr>
          <w:p w14:paraId="3C5AE246"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15.44%</w:t>
            </w:r>
          </w:p>
        </w:tc>
      </w:tr>
      <w:tr w:rsidR="00827DC2" w14:paraId="16C085B6"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04A58AC0"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Met</w:t>
            </w:r>
          </w:p>
        </w:tc>
        <w:tc>
          <w:tcPr>
            <w:tcW w:w="1340" w:type="dxa"/>
            <w:tcBorders>
              <w:top w:val="nil"/>
              <w:left w:val="nil"/>
              <w:bottom w:val="single" w:sz="4" w:space="0" w:color="auto"/>
              <w:right w:val="single" w:sz="4" w:space="0" w:color="auto"/>
            </w:tcBorders>
            <w:noWrap/>
            <w:vAlign w:val="center"/>
            <w:hideMark/>
          </w:tcPr>
          <w:p w14:paraId="5DC895C1"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196</w:t>
            </w:r>
          </w:p>
        </w:tc>
        <w:tc>
          <w:tcPr>
            <w:tcW w:w="1160" w:type="dxa"/>
            <w:tcBorders>
              <w:top w:val="nil"/>
              <w:left w:val="nil"/>
              <w:bottom w:val="single" w:sz="4" w:space="0" w:color="auto"/>
              <w:right w:val="single" w:sz="4" w:space="0" w:color="auto"/>
            </w:tcBorders>
            <w:noWrap/>
            <w:vAlign w:val="center"/>
            <w:hideMark/>
          </w:tcPr>
          <w:p w14:paraId="7325FB2E"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34.09%</w:t>
            </w:r>
          </w:p>
        </w:tc>
        <w:tc>
          <w:tcPr>
            <w:tcW w:w="1300" w:type="dxa"/>
            <w:tcBorders>
              <w:top w:val="nil"/>
              <w:left w:val="nil"/>
              <w:bottom w:val="single" w:sz="4" w:space="0" w:color="auto"/>
              <w:right w:val="single" w:sz="4" w:space="0" w:color="auto"/>
            </w:tcBorders>
            <w:noWrap/>
            <w:vAlign w:val="center"/>
            <w:hideMark/>
          </w:tcPr>
          <w:p w14:paraId="13220D66"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208</w:t>
            </w:r>
          </w:p>
        </w:tc>
        <w:tc>
          <w:tcPr>
            <w:tcW w:w="1320" w:type="dxa"/>
            <w:tcBorders>
              <w:top w:val="nil"/>
              <w:left w:val="nil"/>
              <w:bottom w:val="single" w:sz="4" w:space="0" w:color="auto"/>
              <w:right w:val="single" w:sz="4" w:space="0" w:color="auto"/>
            </w:tcBorders>
            <w:noWrap/>
            <w:vAlign w:val="center"/>
            <w:hideMark/>
          </w:tcPr>
          <w:p w14:paraId="1C68B4EF"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34.84%</w:t>
            </w:r>
          </w:p>
        </w:tc>
        <w:tc>
          <w:tcPr>
            <w:tcW w:w="1240" w:type="dxa"/>
            <w:tcBorders>
              <w:top w:val="nil"/>
              <w:left w:val="nil"/>
              <w:bottom w:val="single" w:sz="4" w:space="0" w:color="auto"/>
              <w:right w:val="single" w:sz="4" w:space="0" w:color="auto"/>
            </w:tcBorders>
            <w:noWrap/>
            <w:vAlign w:val="center"/>
            <w:hideMark/>
          </w:tcPr>
          <w:p w14:paraId="77F1F51C"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404</w:t>
            </w:r>
          </w:p>
        </w:tc>
        <w:tc>
          <w:tcPr>
            <w:tcW w:w="1260" w:type="dxa"/>
            <w:tcBorders>
              <w:top w:val="nil"/>
              <w:left w:val="nil"/>
              <w:bottom w:val="single" w:sz="4" w:space="0" w:color="auto"/>
              <w:right w:val="single" w:sz="4" w:space="0" w:color="auto"/>
            </w:tcBorders>
            <w:noWrap/>
            <w:vAlign w:val="center"/>
            <w:hideMark/>
          </w:tcPr>
          <w:p w14:paraId="18552D88"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34.47%</w:t>
            </w:r>
          </w:p>
        </w:tc>
      </w:tr>
      <w:tr w:rsidR="00827DC2" w14:paraId="3724462D"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72D65FA5" w14:textId="77777777" w:rsidR="00827DC2" w:rsidRDefault="00827DC2" w:rsidP="00EB7F20">
            <w:pPr>
              <w:rPr>
                <w:rFonts w:ascii="Calibri" w:hAnsi="Calibri" w:cs="Calibri"/>
                <w:b/>
                <w:bCs/>
                <w:color w:val="000000"/>
                <w:sz w:val="22"/>
                <w:szCs w:val="22"/>
              </w:rPr>
            </w:pPr>
            <w:r>
              <w:rPr>
                <w:rFonts w:ascii="Calibri" w:hAnsi="Calibri" w:cs="Calibri"/>
                <w:b/>
                <w:bCs/>
                <w:color w:val="000000"/>
                <w:sz w:val="22"/>
                <w:szCs w:val="22"/>
              </w:rPr>
              <w:t>Exceeded &amp; Met</w:t>
            </w:r>
          </w:p>
        </w:tc>
        <w:tc>
          <w:tcPr>
            <w:tcW w:w="1340" w:type="dxa"/>
            <w:tcBorders>
              <w:top w:val="nil"/>
              <w:left w:val="nil"/>
              <w:bottom w:val="single" w:sz="4" w:space="0" w:color="auto"/>
              <w:right w:val="single" w:sz="4" w:space="0" w:color="auto"/>
            </w:tcBorders>
            <w:noWrap/>
            <w:vAlign w:val="center"/>
            <w:hideMark/>
          </w:tcPr>
          <w:p w14:paraId="2520368D"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296</w:t>
            </w:r>
          </w:p>
        </w:tc>
        <w:tc>
          <w:tcPr>
            <w:tcW w:w="1160" w:type="dxa"/>
            <w:tcBorders>
              <w:top w:val="nil"/>
              <w:left w:val="nil"/>
              <w:bottom w:val="single" w:sz="4" w:space="0" w:color="auto"/>
              <w:right w:val="single" w:sz="4" w:space="0" w:color="auto"/>
            </w:tcBorders>
            <w:noWrap/>
            <w:vAlign w:val="center"/>
            <w:hideMark/>
          </w:tcPr>
          <w:p w14:paraId="5FD99191"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51.48%</w:t>
            </w:r>
          </w:p>
        </w:tc>
        <w:tc>
          <w:tcPr>
            <w:tcW w:w="1300" w:type="dxa"/>
            <w:tcBorders>
              <w:top w:val="nil"/>
              <w:left w:val="nil"/>
              <w:bottom w:val="single" w:sz="4" w:space="0" w:color="auto"/>
              <w:right w:val="single" w:sz="4" w:space="0" w:color="auto"/>
            </w:tcBorders>
            <w:noWrap/>
            <w:vAlign w:val="center"/>
            <w:hideMark/>
          </w:tcPr>
          <w:p w14:paraId="38B2596B"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289</w:t>
            </w:r>
          </w:p>
        </w:tc>
        <w:tc>
          <w:tcPr>
            <w:tcW w:w="1320" w:type="dxa"/>
            <w:tcBorders>
              <w:top w:val="nil"/>
              <w:left w:val="nil"/>
              <w:bottom w:val="single" w:sz="4" w:space="0" w:color="auto"/>
              <w:right w:val="single" w:sz="4" w:space="0" w:color="auto"/>
            </w:tcBorders>
            <w:noWrap/>
            <w:vAlign w:val="center"/>
            <w:hideMark/>
          </w:tcPr>
          <w:p w14:paraId="2D1D2D5F"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48.41%</w:t>
            </w:r>
          </w:p>
        </w:tc>
        <w:tc>
          <w:tcPr>
            <w:tcW w:w="1240" w:type="dxa"/>
            <w:tcBorders>
              <w:top w:val="nil"/>
              <w:left w:val="nil"/>
              <w:bottom w:val="single" w:sz="4" w:space="0" w:color="auto"/>
              <w:right w:val="single" w:sz="4" w:space="0" w:color="auto"/>
            </w:tcBorders>
            <w:noWrap/>
            <w:vAlign w:val="center"/>
            <w:hideMark/>
          </w:tcPr>
          <w:p w14:paraId="536264A3"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585</w:t>
            </w:r>
          </w:p>
        </w:tc>
        <w:tc>
          <w:tcPr>
            <w:tcW w:w="1260" w:type="dxa"/>
            <w:tcBorders>
              <w:top w:val="nil"/>
              <w:left w:val="nil"/>
              <w:bottom w:val="single" w:sz="4" w:space="0" w:color="auto"/>
              <w:right w:val="single" w:sz="4" w:space="0" w:color="auto"/>
            </w:tcBorders>
            <w:noWrap/>
            <w:vAlign w:val="center"/>
            <w:hideMark/>
          </w:tcPr>
          <w:p w14:paraId="00BB93DD" w14:textId="77777777" w:rsidR="00827DC2" w:rsidRDefault="00827DC2" w:rsidP="00EB7F20">
            <w:pPr>
              <w:jc w:val="right"/>
              <w:rPr>
                <w:rFonts w:ascii="Calibri" w:hAnsi="Calibri" w:cs="Calibri"/>
                <w:b/>
                <w:bCs/>
                <w:color w:val="000000"/>
                <w:sz w:val="22"/>
                <w:szCs w:val="22"/>
              </w:rPr>
            </w:pPr>
            <w:r>
              <w:rPr>
                <w:rFonts w:ascii="Calibri" w:hAnsi="Calibri" w:cs="Calibri"/>
                <w:b/>
                <w:bCs/>
                <w:color w:val="000000"/>
                <w:sz w:val="22"/>
                <w:szCs w:val="22"/>
              </w:rPr>
              <w:t>49.91%</w:t>
            </w:r>
          </w:p>
        </w:tc>
      </w:tr>
      <w:tr w:rsidR="00827DC2" w14:paraId="2029D4B6"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05A4EB5E"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Below</w:t>
            </w:r>
          </w:p>
        </w:tc>
        <w:tc>
          <w:tcPr>
            <w:tcW w:w="1340" w:type="dxa"/>
            <w:tcBorders>
              <w:top w:val="nil"/>
              <w:left w:val="nil"/>
              <w:bottom w:val="single" w:sz="4" w:space="0" w:color="auto"/>
              <w:right w:val="single" w:sz="4" w:space="0" w:color="auto"/>
            </w:tcBorders>
            <w:noWrap/>
            <w:vAlign w:val="center"/>
            <w:hideMark/>
          </w:tcPr>
          <w:p w14:paraId="22E62AE0"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279</w:t>
            </w:r>
          </w:p>
        </w:tc>
        <w:tc>
          <w:tcPr>
            <w:tcW w:w="1160" w:type="dxa"/>
            <w:tcBorders>
              <w:top w:val="nil"/>
              <w:left w:val="nil"/>
              <w:bottom w:val="single" w:sz="4" w:space="0" w:color="auto"/>
              <w:right w:val="single" w:sz="4" w:space="0" w:color="auto"/>
            </w:tcBorders>
            <w:noWrap/>
            <w:vAlign w:val="center"/>
            <w:hideMark/>
          </w:tcPr>
          <w:p w14:paraId="73078FEA"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48.52%</w:t>
            </w:r>
          </w:p>
        </w:tc>
        <w:tc>
          <w:tcPr>
            <w:tcW w:w="1300" w:type="dxa"/>
            <w:tcBorders>
              <w:top w:val="nil"/>
              <w:left w:val="nil"/>
              <w:bottom w:val="single" w:sz="4" w:space="0" w:color="auto"/>
              <w:right w:val="single" w:sz="4" w:space="0" w:color="auto"/>
            </w:tcBorders>
            <w:noWrap/>
            <w:vAlign w:val="center"/>
            <w:hideMark/>
          </w:tcPr>
          <w:p w14:paraId="0428FB39"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308</w:t>
            </w:r>
          </w:p>
        </w:tc>
        <w:tc>
          <w:tcPr>
            <w:tcW w:w="1320" w:type="dxa"/>
            <w:tcBorders>
              <w:top w:val="nil"/>
              <w:left w:val="nil"/>
              <w:bottom w:val="single" w:sz="4" w:space="0" w:color="auto"/>
              <w:right w:val="single" w:sz="4" w:space="0" w:color="auto"/>
            </w:tcBorders>
            <w:noWrap/>
            <w:vAlign w:val="center"/>
            <w:hideMark/>
          </w:tcPr>
          <w:p w14:paraId="333A6CE2"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51.59%</w:t>
            </w:r>
          </w:p>
        </w:tc>
        <w:tc>
          <w:tcPr>
            <w:tcW w:w="1240" w:type="dxa"/>
            <w:tcBorders>
              <w:top w:val="nil"/>
              <w:left w:val="nil"/>
              <w:bottom w:val="single" w:sz="4" w:space="0" w:color="auto"/>
              <w:right w:val="single" w:sz="4" w:space="0" w:color="auto"/>
            </w:tcBorders>
            <w:noWrap/>
            <w:vAlign w:val="center"/>
            <w:hideMark/>
          </w:tcPr>
          <w:p w14:paraId="636FF643"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587</w:t>
            </w:r>
          </w:p>
        </w:tc>
        <w:tc>
          <w:tcPr>
            <w:tcW w:w="1260" w:type="dxa"/>
            <w:tcBorders>
              <w:top w:val="nil"/>
              <w:left w:val="nil"/>
              <w:bottom w:val="single" w:sz="4" w:space="0" w:color="auto"/>
              <w:right w:val="single" w:sz="4" w:space="0" w:color="auto"/>
            </w:tcBorders>
            <w:noWrap/>
            <w:vAlign w:val="center"/>
            <w:hideMark/>
          </w:tcPr>
          <w:p w14:paraId="59475236"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50.09%</w:t>
            </w:r>
          </w:p>
        </w:tc>
      </w:tr>
      <w:tr w:rsidR="00827DC2" w14:paraId="583868B0" w14:textId="77777777" w:rsidTr="00EB7F20">
        <w:trPr>
          <w:trHeight w:val="288"/>
        </w:trPr>
        <w:tc>
          <w:tcPr>
            <w:tcW w:w="1780" w:type="dxa"/>
            <w:tcBorders>
              <w:top w:val="nil"/>
              <w:left w:val="single" w:sz="4" w:space="0" w:color="auto"/>
              <w:bottom w:val="single" w:sz="4" w:space="0" w:color="auto"/>
              <w:right w:val="single" w:sz="4" w:space="0" w:color="auto"/>
            </w:tcBorders>
            <w:noWrap/>
            <w:vAlign w:val="center"/>
            <w:hideMark/>
          </w:tcPr>
          <w:p w14:paraId="7FD1FD97" w14:textId="77777777" w:rsidR="00827DC2" w:rsidRDefault="00827DC2" w:rsidP="00EB7F20">
            <w:pPr>
              <w:rPr>
                <w:rFonts w:ascii="Calibri" w:hAnsi="Calibri" w:cs="Calibri"/>
                <w:color w:val="000000"/>
                <w:sz w:val="22"/>
                <w:szCs w:val="22"/>
              </w:rPr>
            </w:pPr>
            <w:r>
              <w:rPr>
                <w:rFonts w:ascii="Calibri" w:hAnsi="Calibri" w:cs="Calibri"/>
                <w:color w:val="000000"/>
                <w:sz w:val="22"/>
                <w:szCs w:val="22"/>
              </w:rPr>
              <w:t>Total</w:t>
            </w:r>
          </w:p>
        </w:tc>
        <w:tc>
          <w:tcPr>
            <w:tcW w:w="1340" w:type="dxa"/>
            <w:tcBorders>
              <w:top w:val="nil"/>
              <w:left w:val="nil"/>
              <w:bottom w:val="single" w:sz="4" w:space="0" w:color="auto"/>
              <w:right w:val="single" w:sz="4" w:space="0" w:color="auto"/>
            </w:tcBorders>
            <w:noWrap/>
            <w:vAlign w:val="center"/>
            <w:hideMark/>
          </w:tcPr>
          <w:p w14:paraId="35FA81E4"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575</w:t>
            </w:r>
          </w:p>
        </w:tc>
        <w:tc>
          <w:tcPr>
            <w:tcW w:w="1160" w:type="dxa"/>
            <w:tcBorders>
              <w:top w:val="nil"/>
              <w:left w:val="nil"/>
              <w:bottom w:val="single" w:sz="4" w:space="0" w:color="auto"/>
              <w:right w:val="single" w:sz="4" w:space="0" w:color="auto"/>
            </w:tcBorders>
            <w:noWrap/>
            <w:vAlign w:val="center"/>
            <w:hideMark/>
          </w:tcPr>
          <w:p w14:paraId="6655E15E"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100.00%</w:t>
            </w:r>
          </w:p>
        </w:tc>
        <w:tc>
          <w:tcPr>
            <w:tcW w:w="1300" w:type="dxa"/>
            <w:tcBorders>
              <w:top w:val="nil"/>
              <w:left w:val="nil"/>
              <w:bottom w:val="single" w:sz="4" w:space="0" w:color="auto"/>
              <w:right w:val="single" w:sz="4" w:space="0" w:color="auto"/>
            </w:tcBorders>
            <w:noWrap/>
            <w:vAlign w:val="center"/>
            <w:hideMark/>
          </w:tcPr>
          <w:p w14:paraId="07B3AF50"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597</w:t>
            </w:r>
          </w:p>
        </w:tc>
        <w:tc>
          <w:tcPr>
            <w:tcW w:w="1320" w:type="dxa"/>
            <w:tcBorders>
              <w:top w:val="nil"/>
              <w:left w:val="nil"/>
              <w:bottom w:val="single" w:sz="4" w:space="0" w:color="auto"/>
              <w:right w:val="single" w:sz="4" w:space="0" w:color="auto"/>
            </w:tcBorders>
            <w:noWrap/>
            <w:vAlign w:val="center"/>
            <w:hideMark/>
          </w:tcPr>
          <w:p w14:paraId="13595393"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100.00%</w:t>
            </w:r>
          </w:p>
        </w:tc>
        <w:tc>
          <w:tcPr>
            <w:tcW w:w="1240" w:type="dxa"/>
            <w:tcBorders>
              <w:top w:val="nil"/>
              <w:left w:val="nil"/>
              <w:bottom w:val="single" w:sz="4" w:space="0" w:color="auto"/>
              <w:right w:val="single" w:sz="4" w:space="0" w:color="auto"/>
            </w:tcBorders>
            <w:noWrap/>
            <w:vAlign w:val="center"/>
            <w:hideMark/>
          </w:tcPr>
          <w:p w14:paraId="64E7FB21"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1172</w:t>
            </w:r>
          </w:p>
        </w:tc>
        <w:tc>
          <w:tcPr>
            <w:tcW w:w="1260" w:type="dxa"/>
            <w:tcBorders>
              <w:top w:val="nil"/>
              <w:left w:val="nil"/>
              <w:bottom w:val="single" w:sz="4" w:space="0" w:color="auto"/>
              <w:right w:val="single" w:sz="4" w:space="0" w:color="auto"/>
            </w:tcBorders>
            <w:noWrap/>
            <w:vAlign w:val="center"/>
            <w:hideMark/>
          </w:tcPr>
          <w:p w14:paraId="3299FAD4" w14:textId="77777777" w:rsidR="00827DC2" w:rsidRDefault="00827DC2" w:rsidP="00EB7F20">
            <w:pPr>
              <w:jc w:val="right"/>
              <w:rPr>
                <w:rFonts w:ascii="Calibri" w:hAnsi="Calibri" w:cs="Calibri"/>
                <w:color w:val="000000"/>
                <w:sz w:val="22"/>
                <w:szCs w:val="22"/>
              </w:rPr>
            </w:pPr>
            <w:r>
              <w:rPr>
                <w:rFonts w:ascii="Calibri" w:hAnsi="Calibri" w:cs="Calibri"/>
                <w:color w:val="000000"/>
                <w:sz w:val="22"/>
                <w:szCs w:val="22"/>
              </w:rPr>
              <w:t>100.00%</w:t>
            </w:r>
          </w:p>
        </w:tc>
      </w:tr>
    </w:tbl>
    <w:p w14:paraId="07150155" w14:textId="77777777" w:rsidR="00827DC2" w:rsidRDefault="00827DC2" w:rsidP="00827DC2">
      <w:pPr>
        <w:widowControl w:val="0"/>
        <w:autoSpaceDE w:val="0"/>
        <w:autoSpaceDN w:val="0"/>
        <w:adjustRightInd w:val="0"/>
        <w:rPr>
          <w:sz w:val="22"/>
          <w:szCs w:val="16"/>
        </w:rPr>
      </w:pPr>
    </w:p>
    <w:p w14:paraId="7A004095" w14:textId="77777777" w:rsidR="008D07FF" w:rsidRDefault="008D07FF" w:rsidP="00827DC2">
      <w:pPr>
        <w:widowControl w:val="0"/>
        <w:autoSpaceDE w:val="0"/>
        <w:autoSpaceDN w:val="0"/>
        <w:adjustRightInd w:val="0"/>
        <w:rPr>
          <w:sz w:val="22"/>
          <w:szCs w:val="16"/>
        </w:rPr>
      </w:pPr>
    </w:p>
    <w:p w14:paraId="62F92CCB"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u w:val="single"/>
        </w:rPr>
      </w:pPr>
      <w:r>
        <w:rPr>
          <w:rFonts w:asciiTheme="majorHAnsi" w:hAnsiTheme="majorHAnsi"/>
          <w:b/>
          <w:color w:val="000000"/>
          <w:u w:val="single"/>
        </w:rPr>
        <w:t>Instructor Observations</w:t>
      </w:r>
    </w:p>
    <w:p w14:paraId="0C3863C2" w14:textId="77777777" w:rsidR="00827DC2" w:rsidRPr="00AF0E40"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u w:val="single"/>
        </w:rPr>
      </w:pPr>
    </w:p>
    <w:p w14:paraId="6A57AE30" w14:textId="77777777" w:rsidR="00827DC2" w:rsidRPr="00873935"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73935">
        <w:rPr>
          <w:color w:val="000000"/>
        </w:rPr>
        <w:t xml:space="preserve">At the </w:t>
      </w:r>
      <w:r>
        <w:rPr>
          <w:color w:val="000000"/>
        </w:rPr>
        <w:t>San Marcos</w:t>
      </w:r>
      <w:r w:rsidRPr="00873935">
        <w:rPr>
          <w:color w:val="000000"/>
        </w:rPr>
        <w:t xml:space="preserve"> campus, students performed best </w:t>
      </w:r>
      <w:r>
        <w:rPr>
          <w:color w:val="000000"/>
        </w:rPr>
        <w:t>in the fall semester.  However, there has been an increase in student performance overall every year since 2022.</w:t>
      </w:r>
      <w:r w:rsidRPr="00873935">
        <w:rPr>
          <w:color w:val="000000"/>
        </w:rPr>
        <w:t xml:space="preserve"> </w:t>
      </w:r>
    </w:p>
    <w:p w14:paraId="40C267CA" w14:textId="77777777" w:rsidR="00827DC2" w:rsidRPr="00873935"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D148FFD"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73935">
        <w:rPr>
          <w:color w:val="000000"/>
        </w:rPr>
        <w:t xml:space="preserve">The last time Goal </w:t>
      </w:r>
      <w:r>
        <w:rPr>
          <w:color w:val="000000"/>
        </w:rPr>
        <w:t>2</w:t>
      </w:r>
      <w:r w:rsidRPr="00873935">
        <w:rPr>
          <w:color w:val="000000"/>
        </w:rPr>
        <w:t xml:space="preserve"> was assessed </w:t>
      </w:r>
      <w:r>
        <w:rPr>
          <w:color w:val="000000"/>
        </w:rPr>
        <w:t xml:space="preserve">and reported </w:t>
      </w:r>
      <w:r w:rsidRPr="00873935">
        <w:rPr>
          <w:color w:val="000000"/>
        </w:rPr>
        <w:t>in this course was 20</w:t>
      </w:r>
      <w:r>
        <w:rPr>
          <w:color w:val="000000"/>
        </w:rPr>
        <w:t>22</w:t>
      </w:r>
      <w:r w:rsidRPr="00873935">
        <w:rPr>
          <w:color w:val="000000"/>
        </w:rPr>
        <w:t xml:space="preserve">. A comparison of results from the </w:t>
      </w:r>
      <w:r>
        <w:rPr>
          <w:color w:val="000000"/>
        </w:rPr>
        <w:t>2021-2022</w:t>
      </w:r>
      <w:r w:rsidRPr="00873935">
        <w:rPr>
          <w:color w:val="000000"/>
        </w:rPr>
        <w:t xml:space="preserve"> academic year shows a </w:t>
      </w:r>
      <w:r>
        <w:rPr>
          <w:color w:val="000000"/>
        </w:rPr>
        <w:t>41%</w:t>
      </w:r>
      <w:r w:rsidRPr="00873935">
        <w:rPr>
          <w:color w:val="000000"/>
        </w:rPr>
        <w:t xml:space="preserve"> increase</w:t>
      </w:r>
      <w:r>
        <w:rPr>
          <w:color w:val="000000"/>
        </w:rPr>
        <w:t xml:space="preserve"> in student performance since that time.  More importantly, we have achieved our goal that 65% of our students will score 70% or better on these questions.  Most importantly, the data shows an increase in student scores every year since 2022.  These positive results have been due to our focus on bringing awareness to the profession, engaging the students via tutoring sessions, and slightly modifying our course coverage and methodology.  </w:t>
      </w:r>
      <w:r w:rsidRPr="00873935">
        <w:rPr>
          <w:color w:val="000000"/>
        </w:rPr>
        <w:t xml:space="preserve"> </w:t>
      </w:r>
    </w:p>
    <w:p w14:paraId="18E4D46C"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DB60249" w14:textId="77777777" w:rsidR="00827DC2" w:rsidRPr="002A7CA3"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A7CA3">
        <w:rPr>
          <w:color w:val="000000"/>
        </w:rPr>
        <w:t xml:space="preserve">Coming out of the 2020-2022 “COVID years,” the course addressed lack of interest in the profession and diminishing attendance by educating the students about the profession instead of jumping right into the course material.  Attendance at tutoring has increased thanks to efforts from our </w:t>
      </w:r>
      <w:r w:rsidRPr="002A7CA3">
        <w:rPr>
          <w:rFonts w:eastAsia="Calibri"/>
        </w:rPr>
        <w:t xml:space="preserve">AIS (Accounting Instructional Support) leaders to increase tutoring awareness via Canvas announcements and Zoom sessions.  Finally, </w:t>
      </w:r>
      <w:r>
        <w:rPr>
          <w:rFonts w:eastAsia="Calibri"/>
        </w:rPr>
        <w:t xml:space="preserve">we adopted a new edition of the textbook, </w:t>
      </w:r>
      <w:r>
        <w:rPr>
          <w:rFonts w:eastAsia="Calibri"/>
        </w:rPr>
        <w:lastRenderedPageBreak/>
        <w:t xml:space="preserve">and we changed </w:t>
      </w:r>
      <w:r w:rsidRPr="002A7CA3">
        <w:rPr>
          <w:rFonts w:eastAsia="Calibri"/>
        </w:rPr>
        <w:t xml:space="preserve">our course methodology in Fall 2023 to focus more on financial statement analysis, and less on financial accounting data entry.  Assessment questions were modified (but not changed) to reflect the way the course material was presented.  </w:t>
      </w:r>
    </w:p>
    <w:p w14:paraId="6A827632"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highlight w:val="cyan"/>
        </w:rPr>
      </w:pPr>
    </w:p>
    <w:p w14:paraId="29FD478A"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u w:val="single"/>
        </w:rPr>
      </w:pPr>
      <w:r>
        <w:rPr>
          <w:rFonts w:asciiTheme="majorHAnsi" w:hAnsiTheme="majorHAnsi"/>
          <w:b/>
          <w:color w:val="000000"/>
          <w:u w:val="single"/>
        </w:rPr>
        <w:t>Instructor Recommendations for Next Academic Year</w:t>
      </w:r>
    </w:p>
    <w:p w14:paraId="74AE37C5"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u w:val="single"/>
        </w:rPr>
      </w:pPr>
    </w:p>
    <w:p w14:paraId="5A9E7B13" w14:textId="77777777" w:rsidR="00827DC2" w:rsidRPr="00873935"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73935">
        <w:rPr>
          <w:color w:val="000000"/>
        </w:rPr>
        <w:t xml:space="preserve">Conclusions from these </w:t>
      </w:r>
      <w:r>
        <w:rPr>
          <w:color w:val="000000"/>
        </w:rPr>
        <w:t xml:space="preserve">assessment </w:t>
      </w:r>
      <w:r w:rsidRPr="00873935">
        <w:rPr>
          <w:color w:val="000000"/>
        </w:rPr>
        <w:t>results support:</w:t>
      </w:r>
    </w:p>
    <w:p w14:paraId="0CE46125" w14:textId="77777777" w:rsidR="00827DC2" w:rsidRPr="00873935"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06F88BB" w14:textId="77777777" w:rsidR="00827DC2" w:rsidRDefault="00827DC2" w:rsidP="00827DC2">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73935">
        <w:rPr>
          <w:color w:val="000000"/>
        </w:rPr>
        <w:t xml:space="preserve">The need to </w:t>
      </w:r>
      <w:r>
        <w:rPr>
          <w:color w:val="000000"/>
        </w:rPr>
        <w:t>increase regular attendance (especially in the large class sections).</w:t>
      </w:r>
    </w:p>
    <w:p w14:paraId="41DD41EE" w14:textId="77777777" w:rsidR="00827DC2" w:rsidRDefault="00827DC2" w:rsidP="00827DC2">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The need to increase student engagement</w:t>
      </w:r>
    </w:p>
    <w:p w14:paraId="603712B0" w14:textId="77777777" w:rsidR="00827DC2" w:rsidRPr="00873935" w:rsidRDefault="00827DC2" w:rsidP="00827DC2">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The need to strengthen students’ understanding of the accounting cycle &amp; its relationship to the financial statements.</w:t>
      </w:r>
    </w:p>
    <w:p w14:paraId="3BD4D1DD"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u w:val="single"/>
        </w:rPr>
      </w:pPr>
    </w:p>
    <w:p w14:paraId="6E83E2A6"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A23B31">
        <w:rPr>
          <w:bCs/>
        </w:rPr>
        <w:t xml:space="preserve">To address </w:t>
      </w:r>
      <w:r>
        <w:rPr>
          <w:bCs/>
        </w:rPr>
        <w:t>these conclusions the following curriculum changes are recommended:</w:t>
      </w:r>
    </w:p>
    <w:p w14:paraId="549AF290"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14:paraId="57586CAE" w14:textId="77777777" w:rsidR="00827DC2" w:rsidRDefault="00827DC2" w:rsidP="00827DC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Pr>
          <w:bCs/>
        </w:rPr>
        <w:t xml:space="preserve"> Require &amp; note attendance in all sections of Acc. 2361</w:t>
      </w:r>
    </w:p>
    <w:p w14:paraId="764E3E67" w14:textId="77777777" w:rsidR="00827DC2" w:rsidRDefault="00827DC2" w:rsidP="00827DC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Pr>
          <w:bCs/>
        </w:rPr>
        <w:t>Supplement course material with AIS tutoring and community engagement via Suitable and the Student Success Center</w:t>
      </w:r>
    </w:p>
    <w:p w14:paraId="32BCE48A" w14:textId="77777777" w:rsidR="00827DC2" w:rsidRDefault="00827DC2" w:rsidP="00827DC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Pr>
          <w:bCs/>
        </w:rPr>
        <w:t>Emphasize the Accounting Cycle project and continue implementation of Excel based assignments.</w:t>
      </w:r>
    </w:p>
    <w:p w14:paraId="139843FF" w14:textId="77777777" w:rsidR="00827DC2" w:rsidRPr="002A7CA3"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14:paraId="53755A83" w14:textId="77777777" w:rsidR="00827DC2" w:rsidRPr="009933B9" w:rsidRDefault="00827DC2" w:rsidP="00827DC2">
      <w:pPr>
        <w:spacing w:after="160" w:line="259" w:lineRule="auto"/>
        <w:rPr>
          <w:rFonts w:eastAsia="Calibri"/>
        </w:rPr>
      </w:pPr>
      <w:r w:rsidRPr="002A7CA3">
        <w:rPr>
          <w:rFonts w:eastAsia="Calibri"/>
        </w:rPr>
        <w:t xml:space="preserve">Our goal continues to be to provide challenging curriculum for accounting majors while providing a highly structured course to engage and encourage other majors </w:t>
      </w:r>
      <w:r>
        <w:rPr>
          <w:rFonts w:eastAsia="Calibri"/>
        </w:rPr>
        <w:t>to succeed</w:t>
      </w:r>
      <w:r w:rsidRPr="002A7CA3">
        <w:rPr>
          <w:rFonts w:eastAsia="Calibri"/>
        </w:rPr>
        <w:t>.</w:t>
      </w:r>
      <w:r>
        <w:rPr>
          <w:rFonts w:eastAsia="Calibri"/>
        </w:rPr>
        <w:t xml:space="preserve">  Post COVID results show engaged classroom learning produces better student performance.</w:t>
      </w:r>
      <w:r w:rsidRPr="002A7CA3">
        <w:rPr>
          <w:rFonts w:eastAsia="Calibri"/>
        </w:rPr>
        <w:t>   </w:t>
      </w:r>
    </w:p>
    <w:p w14:paraId="09752439" w14:textId="77777777" w:rsidR="00D164C4" w:rsidRDefault="00D164C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78560E4A" w14:textId="02676C3B" w:rsidR="00D164C4" w:rsidRDefault="00D164C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C95968">
        <w:rPr>
          <w:b/>
          <w:bCs/>
          <w:sz w:val="22"/>
          <w:szCs w:val="22"/>
          <w:u w:val="single"/>
        </w:rPr>
        <w:t>Faculty Responsible for Reporting on Progress</w:t>
      </w:r>
      <w:r w:rsidRPr="00C95968">
        <w:rPr>
          <w:b/>
          <w:bCs/>
          <w:sz w:val="22"/>
          <w:szCs w:val="22"/>
        </w:rPr>
        <w:t xml:space="preserve">:  </w:t>
      </w:r>
      <w:r w:rsidR="008D07FF">
        <w:rPr>
          <w:b/>
          <w:bCs/>
          <w:sz w:val="22"/>
          <w:szCs w:val="22"/>
        </w:rPr>
        <w:t>Dr. Christpher Proschko</w:t>
      </w:r>
    </w:p>
    <w:p w14:paraId="4B62A3D4" w14:textId="77777777" w:rsidR="00D164C4" w:rsidRDefault="00D164C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37DCB889" w14:textId="77777777" w:rsidR="00D164C4" w:rsidRDefault="00D164C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64E27B3C" w14:textId="77777777" w:rsidR="00827DC2" w:rsidRPr="00277776" w:rsidRDefault="00827DC2" w:rsidP="008D0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u w:val="single"/>
        </w:rPr>
      </w:pPr>
      <w:r w:rsidRPr="00277776">
        <w:rPr>
          <w:b/>
          <w:color w:val="000000"/>
          <w:u w:val="single"/>
        </w:rPr>
        <w:t>ECO 2315: Principles of Macroeconomics</w:t>
      </w:r>
    </w:p>
    <w:p w14:paraId="5F9E8DD4"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0B3E078"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77776">
        <w:rPr>
          <w:color w:val="000000"/>
        </w:rPr>
        <w:t xml:space="preserve">To assess student learning related to </w:t>
      </w:r>
      <w:r w:rsidRPr="00277776">
        <w:rPr>
          <w:b/>
          <w:bCs/>
          <w:color w:val="000000"/>
        </w:rPr>
        <w:t>Program Goal 2: Analytical Thinking</w:t>
      </w:r>
      <w:r w:rsidRPr="00277776">
        <w:rPr>
          <w:color w:val="000000"/>
        </w:rPr>
        <w:t xml:space="preserve">, students were evaluated using </w:t>
      </w:r>
      <w:r w:rsidRPr="00277776">
        <w:rPr>
          <w:b/>
          <w:bCs/>
          <w:color w:val="000000"/>
        </w:rPr>
        <w:t>seven multiple-choice questions</w:t>
      </w:r>
      <w:r w:rsidRPr="00277776">
        <w:rPr>
          <w:color w:val="000000"/>
        </w:rPr>
        <w:t xml:space="preserve"> covering a range of macroeconomic topics. These questions were designed to measure students' ability to apply analytical reasoning to real-world economic scenarios.</w:t>
      </w:r>
    </w:p>
    <w:p w14:paraId="6FB74F5B"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66C483F"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77776">
        <w:rPr>
          <w:color w:val="000000"/>
        </w:rPr>
        <w:t>The following table presents a summary of BBA student enrollment, and the corresponding instructional modalities offered at the main campus across three academic years.</w:t>
      </w:r>
    </w:p>
    <w:tbl>
      <w:tblPr>
        <w:tblStyle w:val="TableGrid"/>
        <w:tblW w:w="0" w:type="auto"/>
        <w:tblLook w:val="04A0" w:firstRow="1" w:lastRow="0" w:firstColumn="1" w:lastColumn="0" w:noHBand="0" w:noVBand="1"/>
      </w:tblPr>
      <w:tblGrid>
        <w:gridCol w:w="1885"/>
        <w:gridCol w:w="1890"/>
        <w:gridCol w:w="2340"/>
        <w:gridCol w:w="1523"/>
        <w:gridCol w:w="1712"/>
      </w:tblGrid>
      <w:tr w:rsidR="00827DC2" w:rsidRPr="00277776" w14:paraId="7F2487E7" w14:textId="77777777" w:rsidTr="00EB7F20">
        <w:trPr>
          <w:trHeight w:val="276"/>
        </w:trPr>
        <w:tc>
          <w:tcPr>
            <w:tcW w:w="1885" w:type="dxa"/>
          </w:tcPr>
          <w:p w14:paraId="631C9232"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tc>
        <w:tc>
          <w:tcPr>
            <w:tcW w:w="1890" w:type="dxa"/>
          </w:tcPr>
          <w:p w14:paraId="5A2164ED"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Number of students (BBA)</w:t>
            </w:r>
          </w:p>
        </w:tc>
        <w:tc>
          <w:tcPr>
            <w:tcW w:w="2340" w:type="dxa"/>
          </w:tcPr>
          <w:p w14:paraId="4E29ACFE"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rPr>
              <w:t>Number of sections</w:t>
            </w:r>
          </w:p>
        </w:tc>
        <w:tc>
          <w:tcPr>
            <w:tcW w:w="1523" w:type="dxa"/>
          </w:tcPr>
          <w:p w14:paraId="2FDE5E65"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Face to Face</w:t>
            </w:r>
          </w:p>
        </w:tc>
        <w:tc>
          <w:tcPr>
            <w:tcW w:w="1712" w:type="dxa"/>
          </w:tcPr>
          <w:p w14:paraId="00D82588"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Hybrid/Online</w:t>
            </w:r>
          </w:p>
        </w:tc>
      </w:tr>
      <w:tr w:rsidR="00827DC2" w:rsidRPr="00277776" w14:paraId="682865AE" w14:textId="77777777" w:rsidTr="00EB7F20">
        <w:tc>
          <w:tcPr>
            <w:tcW w:w="1885" w:type="dxa"/>
          </w:tcPr>
          <w:p w14:paraId="377E9D49"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77776">
              <w:rPr>
                <w:rFonts w:cs="Times New Roman"/>
                <w:color w:val="000000"/>
              </w:rPr>
              <w:t>FY 2022-2023</w:t>
            </w:r>
          </w:p>
        </w:tc>
        <w:tc>
          <w:tcPr>
            <w:tcW w:w="1890" w:type="dxa"/>
          </w:tcPr>
          <w:p w14:paraId="0F64BBFC"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499</w:t>
            </w:r>
          </w:p>
        </w:tc>
        <w:tc>
          <w:tcPr>
            <w:tcW w:w="2340" w:type="dxa"/>
          </w:tcPr>
          <w:p w14:paraId="268C6A72"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15</w:t>
            </w:r>
          </w:p>
        </w:tc>
        <w:tc>
          <w:tcPr>
            <w:tcW w:w="1523" w:type="dxa"/>
          </w:tcPr>
          <w:p w14:paraId="73DC5E38"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7</w:t>
            </w:r>
          </w:p>
        </w:tc>
        <w:tc>
          <w:tcPr>
            <w:tcW w:w="1712" w:type="dxa"/>
          </w:tcPr>
          <w:p w14:paraId="68177D22"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8</w:t>
            </w:r>
          </w:p>
        </w:tc>
      </w:tr>
      <w:tr w:rsidR="00827DC2" w:rsidRPr="00277776" w14:paraId="60F625DB" w14:textId="77777777" w:rsidTr="00EB7F20">
        <w:tc>
          <w:tcPr>
            <w:tcW w:w="1885" w:type="dxa"/>
          </w:tcPr>
          <w:p w14:paraId="70D1A65D"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77776">
              <w:rPr>
                <w:rFonts w:cs="Times New Roman"/>
                <w:color w:val="000000"/>
              </w:rPr>
              <w:t>FY 2023-2024*</w:t>
            </w:r>
          </w:p>
        </w:tc>
        <w:tc>
          <w:tcPr>
            <w:tcW w:w="1890" w:type="dxa"/>
          </w:tcPr>
          <w:p w14:paraId="35E83C0A"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471</w:t>
            </w:r>
          </w:p>
        </w:tc>
        <w:tc>
          <w:tcPr>
            <w:tcW w:w="2340" w:type="dxa"/>
          </w:tcPr>
          <w:p w14:paraId="29542805"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12</w:t>
            </w:r>
          </w:p>
        </w:tc>
        <w:tc>
          <w:tcPr>
            <w:tcW w:w="1523" w:type="dxa"/>
          </w:tcPr>
          <w:p w14:paraId="1C90203C"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6</w:t>
            </w:r>
          </w:p>
        </w:tc>
        <w:tc>
          <w:tcPr>
            <w:tcW w:w="1712" w:type="dxa"/>
          </w:tcPr>
          <w:p w14:paraId="60315E29"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6</w:t>
            </w:r>
          </w:p>
        </w:tc>
      </w:tr>
      <w:tr w:rsidR="00827DC2" w:rsidRPr="00277776" w14:paraId="3D98A0EC" w14:textId="77777777" w:rsidTr="00EB7F20">
        <w:tc>
          <w:tcPr>
            <w:tcW w:w="1885" w:type="dxa"/>
          </w:tcPr>
          <w:p w14:paraId="5E173007"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77776">
              <w:rPr>
                <w:rFonts w:cs="Times New Roman"/>
                <w:color w:val="000000"/>
              </w:rPr>
              <w:t>FY 2024-2025</w:t>
            </w:r>
          </w:p>
        </w:tc>
        <w:tc>
          <w:tcPr>
            <w:tcW w:w="1890" w:type="dxa"/>
          </w:tcPr>
          <w:p w14:paraId="3A9A64D8"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779</w:t>
            </w:r>
          </w:p>
        </w:tc>
        <w:tc>
          <w:tcPr>
            <w:tcW w:w="2340" w:type="dxa"/>
          </w:tcPr>
          <w:p w14:paraId="501B8650"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9</w:t>
            </w:r>
          </w:p>
        </w:tc>
        <w:tc>
          <w:tcPr>
            <w:tcW w:w="1523" w:type="dxa"/>
          </w:tcPr>
          <w:p w14:paraId="4AFC8EB7"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3</w:t>
            </w:r>
          </w:p>
        </w:tc>
        <w:tc>
          <w:tcPr>
            <w:tcW w:w="1712" w:type="dxa"/>
          </w:tcPr>
          <w:p w14:paraId="55FBF2A6" w14:textId="77777777" w:rsidR="00827DC2" w:rsidRPr="00277776" w:rsidRDefault="00827DC2" w:rsidP="00EB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color w:val="000000"/>
              </w:rPr>
            </w:pPr>
            <w:r w:rsidRPr="00277776">
              <w:rPr>
                <w:rFonts w:cs="Times New Roman"/>
                <w:color w:val="000000"/>
              </w:rPr>
              <w:t>6</w:t>
            </w:r>
          </w:p>
        </w:tc>
      </w:tr>
    </w:tbl>
    <w:p w14:paraId="236256AD"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77776">
        <w:rPr>
          <w:color w:val="000000"/>
        </w:rPr>
        <w:t>*</w:t>
      </w:r>
      <w:r w:rsidRPr="00277776">
        <w:t xml:space="preserve"> </w:t>
      </w:r>
      <w:r w:rsidRPr="00277776">
        <w:rPr>
          <w:color w:val="000000"/>
          <w:sz w:val="20"/>
          <w:szCs w:val="20"/>
        </w:rPr>
        <w:t>Spring 2024 data for one section is incomplete; only Economics major data is available for that section.</w:t>
      </w:r>
      <w:r w:rsidRPr="00277776">
        <w:rPr>
          <w:color w:val="000000"/>
        </w:rPr>
        <w:t xml:space="preserve"> </w:t>
      </w:r>
    </w:p>
    <w:p w14:paraId="0EA3F5A1"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59FDF92" w14:textId="77777777" w:rsidR="00EF03CD" w:rsidRDefault="00EF03CD"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5096A73" w14:textId="77777777" w:rsidR="00EF03CD" w:rsidRPr="00277776" w:rsidRDefault="00EF03CD"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619070A"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77776">
        <w:rPr>
          <w:color w:val="000000"/>
        </w:rPr>
        <w:lastRenderedPageBreak/>
        <w:t>The following criteria were used to determine if students exceeded, met, or failed to meet expectations:</w:t>
      </w:r>
    </w:p>
    <w:p w14:paraId="492FDA48"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4BD5D937" w14:textId="77777777" w:rsidR="00827DC2" w:rsidRPr="00277776" w:rsidRDefault="00827DC2" w:rsidP="00827DC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77776">
        <w:rPr>
          <w:color w:val="000000"/>
        </w:rPr>
        <w:t>Exceeded expectations</w:t>
      </w:r>
      <w:r w:rsidRPr="00277776">
        <w:rPr>
          <w:color w:val="000000"/>
        </w:rPr>
        <w:tab/>
        <w:t xml:space="preserve">= students who earned above 80 percent </w:t>
      </w:r>
    </w:p>
    <w:p w14:paraId="65FB03BF" w14:textId="77777777" w:rsidR="00827DC2" w:rsidRPr="00277776" w:rsidRDefault="00827DC2" w:rsidP="00827DC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77776">
        <w:rPr>
          <w:color w:val="000000"/>
        </w:rPr>
        <w:t xml:space="preserve">Met expectations </w:t>
      </w:r>
      <w:r w:rsidRPr="00277776">
        <w:rPr>
          <w:color w:val="000000"/>
        </w:rPr>
        <w:tab/>
        <w:t xml:space="preserve">= students who earned between 70 and 80 percent </w:t>
      </w:r>
    </w:p>
    <w:p w14:paraId="69CB9E63" w14:textId="77777777" w:rsidR="00827DC2" w:rsidRPr="00277776" w:rsidRDefault="00827DC2" w:rsidP="00827DC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77776">
        <w:rPr>
          <w:color w:val="000000"/>
        </w:rPr>
        <w:t xml:space="preserve">Below expectations </w:t>
      </w:r>
      <w:r w:rsidRPr="00277776">
        <w:rPr>
          <w:color w:val="000000"/>
        </w:rPr>
        <w:tab/>
        <w:t>= students who earned below 70 percent</w:t>
      </w:r>
    </w:p>
    <w:p w14:paraId="43881A4D"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765C9BF"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u w:val="single"/>
        </w:rPr>
      </w:pPr>
      <w:r w:rsidRPr="00277776">
        <w:rPr>
          <w:b/>
          <w:u w:val="single"/>
        </w:rPr>
        <w:t>Results</w:t>
      </w:r>
    </w:p>
    <w:p w14:paraId="76F9930E"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F8B64CA"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sidRPr="00277776">
        <w:rPr>
          <w:b/>
        </w:rPr>
        <w:t>San Marcos Campus</w:t>
      </w:r>
    </w:p>
    <w:p w14:paraId="01A67805"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392"/>
        <w:gridCol w:w="1426"/>
        <w:gridCol w:w="1394"/>
        <w:gridCol w:w="1427"/>
        <w:gridCol w:w="1394"/>
        <w:gridCol w:w="1427"/>
      </w:tblGrid>
      <w:tr w:rsidR="00827DC2" w14:paraId="6C76800E" w14:textId="77777777" w:rsidTr="00EB7F20">
        <w:trPr>
          <w:trHeight w:val="397"/>
        </w:trPr>
        <w:tc>
          <w:tcPr>
            <w:tcW w:w="1677" w:type="dxa"/>
            <w:vAlign w:val="center"/>
            <w:hideMark/>
          </w:tcPr>
          <w:p w14:paraId="6A571B1A" w14:textId="77777777" w:rsidR="00827DC2" w:rsidRDefault="00827DC2" w:rsidP="00EB7F20">
            <w:pPr>
              <w:rPr>
                <w:rFonts w:ascii="Aptos" w:hAnsi="Aptos" w:cs="Calibri"/>
                <w:color w:val="000000"/>
                <w:sz w:val="20"/>
                <w:szCs w:val="20"/>
              </w:rPr>
            </w:pPr>
            <w:r>
              <w:rPr>
                <w:rFonts w:ascii="Aptos" w:hAnsi="Aptos" w:cs="Calibri"/>
                <w:color w:val="000000"/>
                <w:sz w:val="20"/>
                <w:szCs w:val="20"/>
              </w:rPr>
              <w:t> </w:t>
            </w:r>
            <w:r w:rsidRPr="00277776">
              <w:rPr>
                <w:b/>
                <w:bCs/>
                <w:color w:val="000000"/>
              </w:rPr>
              <w:t>Critical Thinking</w:t>
            </w:r>
          </w:p>
        </w:tc>
        <w:tc>
          <w:tcPr>
            <w:tcW w:w="2818" w:type="dxa"/>
            <w:gridSpan w:val="2"/>
            <w:vAlign w:val="center"/>
            <w:hideMark/>
          </w:tcPr>
          <w:p w14:paraId="2AB792A2" w14:textId="77777777" w:rsidR="00827DC2" w:rsidRPr="00726D22" w:rsidRDefault="00827DC2" w:rsidP="00EB7F20">
            <w:pPr>
              <w:rPr>
                <w:b/>
                <w:bCs/>
                <w:color w:val="000000"/>
              </w:rPr>
            </w:pPr>
            <w:r w:rsidRPr="00726D22">
              <w:rPr>
                <w:b/>
                <w:bCs/>
                <w:color w:val="000000"/>
              </w:rPr>
              <w:t>Fall 2022-Spring 2023</w:t>
            </w:r>
          </w:p>
        </w:tc>
        <w:tc>
          <w:tcPr>
            <w:tcW w:w="2821" w:type="dxa"/>
            <w:gridSpan w:val="2"/>
            <w:vAlign w:val="center"/>
            <w:hideMark/>
          </w:tcPr>
          <w:p w14:paraId="5F811C27" w14:textId="77777777" w:rsidR="00827DC2" w:rsidRPr="00726D22" w:rsidRDefault="00827DC2" w:rsidP="00EB7F20">
            <w:pPr>
              <w:rPr>
                <w:b/>
                <w:bCs/>
                <w:color w:val="000000"/>
              </w:rPr>
            </w:pPr>
            <w:r w:rsidRPr="00726D22">
              <w:rPr>
                <w:b/>
                <w:bCs/>
                <w:color w:val="000000"/>
              </w:rPr>
              <w:t>Fall 2023 - Spring 2024</w:t>
            </w:r>
          </w:p>
        </w:tc>
        <w:tc>
          <w:tcPr>
            <w:tcW w:w="2821" w:type="dxa"/>
            <w:gridSpan w:val="2"/>
            <w:vAlign w:val="center"/>
            <w:hideMark/>
          </w:tcPr>
          <w:p w14:paraId="7721F30F" w14:textId="77777777" w:rsidR="00827DC2" w:rsidRPr="00726D22" w:rsidRDefault="00827DC2" w:rsidP="00EB7F20">
            <w:pPr>
              <w:rPr>
                <w:b/>
                <w:bCs/>
                <w:color w:val="000000"/>
              </w:rPr>
            </w:pPr>
            <w:r w:rsidRPr="00726D22">
              <w:rPr>
                <w:b/>
                <w:bCs/>
                <w:color w:val="000000"/>
              </w:rPr>
              <w:t>Fall 2024-Spring 2025</w:t>
            </w:r>
          </w:p>
        </w:tc>
      </w:tr>
      <w:tr w:rsidR="00827DC2" w14:paraId="1576CA53" w14:textId="77777777" w:rsidTr="00EB7F20">
        <w:trPr>
          <w:trHeight w:val="397"/>
        </w:trPr>
        <w:tc>
          <w:tcPr>
            <w:tcW w:w="1677" w:type="dxa"/>
            <w:vAlign w:val="center"/>
            <w:hideMark/>
          </w:tcPr>
          <w:p w14:paraId="191B91CC" w14:textId="77777777" w:rsidR="00827DC2" w:rsidRDefault="00827DC2" w:rsidP="00EB7F20">
            <w:pPr>
              <w:rPr>
                <w:rFonts w:ascii="Aptos" w:hAnsi="Aptos" w:cs="Calibri"/>
                <w:color w:val="000000"/>
                <w:sz w:val="20"/>
                <w:szCs w:val="20"/>
              </w:rPr>
            </w:pPr>
            <w:r>
              <w:rPr>
                <w:rFonts w:ascii="Aptos" w:hAnsi="Aptos" w:cs="Calibri"/>
                <w:color w:val="000000"/>
                <w:sz w:val="20"/>
                <w:szCs w:val="20"/>
              </w:rPr>
              <w:t>Modality</w:t>
            </w:r>
          </w:p>
        </w:tc>
        <w:tc>
          <w:tcPr>
            <w:tcW w:w="1392" w:type="dxa"/>
            <w:vAlign w:val="center"/>
            <w:hideMark/>
          </w:tcPr>
          <w:p w14:paraId="51B50A90"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F2F</w:t>
            </w:r>
          </w:p>
        </w:tc>
        <w:tc>
          <w:tcPr>
            <w:tcW w:w="1426" w:type="dxa"/>
            <w:vAlign w:val="center"/>
            <w:hideMark/>
          </w:tcPr>
          <w:p w14:paraId="29630CC8"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Online/ Hybrid</w:t>
            </w:r>
          </w:p>
        </w:tc>
        <w:tc>
          <w:tcPr>
            <w:tcW w:w="1394" w:type="dxa"/>
            <w:vAlign w:val="center"/>
            <w:hideMark/>
          </w:tcPr>
          <w:p w14:paraId="57EE1FA9"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F2F</w:t>
            </w:r>
          </w:p>
        </w:tc>
        <w:tc>
          <w:tcPr>
            <w:tcW w:w="1427" w:type="dxa"/>
            <w:vAlign w:val="center"/>
            <w:hideMark/>
          </w:tcPr>
          <w:p w14:paraId="6541696A"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Online/ Hybrid</w:t>
            </w:r>
          </w:p>
        </w:tc>
        <w:tc>
          <w:tcPr>
            <w:tcW w:w="1394" w:type="dxa"/>
            <w:vAlign w:val="center"/>
            <w:hideMark/>
          </w:tcPr>
          <w:p w14:paraId="1975EB3D"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F2F</w:t>
            </w:r>
          </w:p>
        </w:tc>
        <w:tc>
          <w:tcPr>
            <w:tcW w:w="1427" w:type="dxa"/>
            <w:vAlign w:val="center"/>
            <w:hideMark/>
          </w:tcPr>
          <w:p w14:paraId="5BCE53EE"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Online/ Hybrid</w:t>
            </w:r>
          </w:p>
        </w:tc>
      </w:tr>
      <w:tr w:rsidR="00827DC2" w14:paraId="627AA6D5" w14:textId="77777777" w:rsidTr="00EB7F20">
        <w:trPr>
          <w:trHeight w:val="397"/>
        </w:trPr>
        <w:tc>
          <w:tcPr>
            <w:tcW w:w="1677" w:type="dxa"/>
            <w:vAlign w:val="center"/>
            <w:hideMark/>
          </w:tcPr>
          <w:p w14:paraId="093C851B" w14:textId="77777777" w:rsidR="00827DC2" w:rsidRDefault="00827DC2" w:rsidP="00EB7F20">
            <w:pPr>
              <w:rPr>
                <w:rFonts w:ascii="Aptos" w:hAnsi="Aptos" w:cs="Calibri"/>
                <w:color w:val="000000"/>
                <w:sz w:val="20"/>
                <w:szCs w:val="20"/>
              </w:rPr>
            </w:pPr>
            <w:r>
              <w:rPr>
                <w:rFonts w:ascii="Aptos" w:hAnsi="Aptos" w:cs="Calibri"/>
                <w:color w:val="000000"/>
                <w:sz w:val="20"/>
                <w:szCs w:val="20"/>
              </w:rPr>
              <w:t>N</w:t>
            </w:r>
          </w:p>
        </w:tc>
        <w:tc>
          <w:tcPr>
            <w:tcW w:w="1392" w:type="dxa"/>
            <w:vAlign w:val="center"/>
            <w:hideMark/>
          </w:tcPr>
          <w:p w14:paraId="71CB2410"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234</w:t>
            </w:r>
          </w:p>
        </w:tc>
        <w:tc>
          <w:tcPr>
            <w:tcW w:w="1426" w:type="dxa"/>
            <w:vAlign w:val="center"/>
            <w:hideMark/>
          </w:tcPr>
          <w:p w14:paraId="1933700D"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265</w:t>
            </w:r>
          </w:p>
        </w:tc>
        <w:tc>
          <w:tcPr>
            <w:tcW w:w="1394" w:type="dxa"/>
            <w:vAlign w:val="center"/>
            <w:hideMark/>
          </w:tcPr>
          <w:p w14:paraId="655E6E79"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274</w:t>
            </w:r>
          </w:p>
        </w:tc>
        <w:tc>
          <w:tcPr>
            <w:tcW w:w="1427" w:type="dxa"/>
            <w:vAlign w:val="center"/>
            <w:hideMark/>
          </w:tcPr>
          <w:p w14:paraId="72C10A4B"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197</w:t>
            </w:r>
          </w:p>
        </w:tc>
        <w:tc>
          <w:tcPr>
            <w:tcW w:w="1394" w:type="dxa"/>
            <w:vAlign w:val="center"/>
            <w:hideMark/>
          </w:tcPr>
          <w:p w14:paraId="72B4E67D"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255</w:t>
            </w:r>
          </w:p>
        </w:tc>
        <w:tc>
          <w:tcPr>
            <w:tcW w:w="1427" w:type="dxa"/>
            <w:vAlign w:val="center"/>
            <w:hideMark/>
          </w:tcPr>
          <w:p w14:paraId="20FB445F"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524</w:t>
            </w:r>
          </w:p>
        </w:tc>
      </w:tr>
      <w:tr w:rsidR="00827DC2" w14:paraId="1B487ADC" w14:textId="77777777" w:rsidTr="00EB7F20">
        <w:trPr>
          <w:trHeight w:val="397"/>
        </w:trPr>
        <w:tc>
          <w:tcPr>
            <w:tcW w:w="1677" w:type="dxa"/>
            <w:vAlign w:val="center"/>
            <w:hideMark/>
          </w:tcPr>
          <w:p w14:paraId="165F2DAC" w14:textId="77777777" w:rsidR="00827DC2" w:rsidRDefault="00827DC2" w:rsidP="00EB7F20">
            <w:pPr>
              <w:rPr>
                <w:rFonts w:ascii="Cambria" w:hAnsi="Cambria" w:cs="Calibri"/>
                <w:color w:val="000000"/>
                <w:sz w:val="22"/>
                <w:szCs w:val="22"/>
              </w:rPr>
            </w:pPr>
            <w:r>
              <w:rPr>
                <w:rFonts w:ascii="Cambria" w:hAnsi="Cambria" w:cs="Calibri"/>
                <w:color w:val="000000"/>
                <w:sz w:val="22"/>
                <w:szCs w:val="22"/>
              </w:rPr>
              <w:t>Exceeded (80%+)</w:t>
            </w:r>
          </w:p>
        </w:tc>
        <w:tc>
          <w:tcPr>
            <w:tcW w:w="1392" w:type="dxa"/>
            <w:vAlign w:val="center"/>
            <w:hideMark/>
          </w:tcPr>
          <w:p w14:paraId="5C67CF5D"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34.11</w:t>
            </w:r>
          </w:p>
        </w:tc>
        <w:tc>
          <w:tcPr>
            <w:tcW w:w="1426" w:type="dxa"/>
            <w:vAlign w:val="center"/>
            <w:hideMark/>
          </w:tcPr>
          <w:p w14:paraId="158AFF40"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55.47</w:t>
            </w:r>
          </w:p>
        </w:tc>
        <w:tc>
          <w:tcPr>
            <w:tcW w:w="1394" w:type="dxa"/>
            <w:vAlign w:val="center"/>
            <w:hideMark/>
          </w:tcPr>
          <w:p w14:paraId="106EF346"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43.43</w:t>
            </w:r>
          </w:p>
        </w:tc>
        <w:tc>
          <w:tcPr>
            <w:tcW w:w="1427" w:type="dxa"/>
            <w:vAlign w:val="center"/>
            <w:hideMark/>
          </w:tcPr>
          <w:p w14:paraId="0B7780AD"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82.74</w:t>
            </w:r>
          </w:p>
        </w:tc>
        <w:tc>
          <w:tcPr>
            <w:tcW w:w="1394" w:type="dxa"/>
            <w:vAlign w:val="center"/>
            <w:hideMark/>
          </w:tcPr>
          <w:p w14:paraId="029021D3"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38.43</w:t>
            </w:r>
          </w:p>
        </w:tc>
        <w:tc>
          <w:tcPr>
            <w:tcW w:w="1427" w:type="dxa"/>
            <w:vAlign w:val="center"/>
            <w:hideMark/>
          </w:tcPr>
          <w:p w14:paraId="6E6E5F3C"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95.22</w:t>
            </w:r>
          </w:p>
        </w:tc>
      </w:tr>
      <w:tr w:rsidR="00827DC2" w14:paraId="5286A965" w14:textId="77777777" w:rsidTr="00EB7F20">
        <w:trPr>
          <w:trHeight w:val="397"/>
        </w:trPr>
        <w:tc>
          <w:tcPr>
            <w:tcW w:w="1677" w:type="dxa"/>
            <w:vAlign w:val="center"/>
            <w:hideMark/>
          </w:tcPr>
          <w:p w14:paraId="469E1048" w14:textId="77777777" w:rsidR="00827DC2" w:rsidRDefault="00827DC2" w:rsidP="00EB7F20">
            <w:pPr>
              <w:rPr>
                <w:rFonts w:ascii="Cambria" w:hAnsi="Cambria" w:cs="Calibri"/>
                <w:color w:val="000000"/>
                <w:sz w:val="22"/>
                <w:szCs w:val="22"/>
              </w:rPr>
            </w:pPr>
            <w:r>
              <w:rPr>
                <w:rFonts w:ascii="Cambria" w:hAnsi="Cambria" w:cs="Calibri"/>
                <w:color w:val="000000"/>
                <w:sz w:val="22"/>
                <w:szCs w:val="22"/>
              </w:rPr>
              <w:t>Met (70%+)</w:t>
            </w:r>
          </w:p>
        </w:tc>
        <w:tc>
          <w:tcPr>
            <w:tcW w:w="1392" w:type="dxa"/>
            <w:vAlign w:val="center"/>
            <w:hideMark/>
          </w:tcPr>
          <w:p w14:paraId="38E36323"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21.79</w:t>
            </w:r>
          </w:p>
        </w:tc>
        <w:tc>
          <w:tcPr>
            <w:tcW w:w="1426" w:type="dxa"/>
            <w:vAlign w:val="center"/>
            <w:hideMark/>
          </w:tcPr>
          <w:p w14:paraId="065F0C69"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22.26</w:t>
            </w:r>
          </w:p>
        </w:tc>
        <w:tc>
          <w:tcPr>
            <w:tcW w:w="1394" w:type="dxa"/>
            <w:vAlign w:val="center"/>
            <w:hideMark/>
          </w:tcPr>
          <w:p w14:paraId="076BD1B1"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23.72</w:t>
            </w:r>
          </w:p>
        </w:tc>
        <w:tc>
          <w:tcPr>
            <w:tcW w:w="1427" w:type="dxa"/>
            <w:vAlign w:val="center"/>
            <w:hideMark/>
          </w:tcPr>
          <w:p w14:paraId="4E5839F5"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13.19</w:t>
            </w:r>
          </w:p>
        </w:tc>
        <w:tc>
          <w:tcPr>
            <w:tcW w:w="1394" w:type="dxa"/>
            <w:vAlign w:val="center"/>
            <w:hideMark/>
          </w:tcPr>
          <w:p w14:paraId="29B450DC"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21.96</w:t>
            </w:r>
          </w:p>
        </w:tc>
        <w:tc>
          <w:tcPr>
            <w:tcW w:w="1427" w:type="dxa"/>
            <w:vAlign w:val="center"/>
            <w:hideMark/>
          </w:tcPr>
          <w:p w14:paraId="058ECE22"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3.81</w:t>
            </w:r>
          </w:p>
        </w:tc>
      </w:tr>
      <w:tr w:rsidR="00827DC2" w14:paraId="789C1454" w14:textId="77777777" w:rsidTr="00EB7F20">
        <w:trPr>
          <w:trHeight w:val="397"/>
        </w:trPr>
        <w:tc>
          <w:tcPr>
            <w:tcW w:w="1677" w:type="dxa"/>
            <w:vAlign w:val="center"/>
            <w:hideMark/>
          </w:tcPr>
          <w:p w14:paraId="131D66A1" w14:textId="77777777" w:rsidR="00827DC2" w:rsidRDefault="00827DC2" w:rsidP="00EB7F20">
            <w:pPr>
              <w:rPr>
                <w:rFonts w:ascii="Cambria" w:hAnsi="Cambria" w:cs="Calibri"/>
                <w:color w:val="000000"/>
                <w:sz w:val="22"/>
                <w:szCs w:val="22"/>
              </w:rPr>
            </w:pPr>
            <w:r>
              <w:rPr>
                <w:rFonts w:ascii="Cambria" w:hAnsi="Cambria" w:cs="Calibri"/>
                <w:color w:val="000000"/>
                <w:sz w:val="22"/>
                <w:szCs w:val="22"/>
              </w:rPr>
              <w:t>Below (&lt;70%)</w:t>
            </w:r>
          </w:p>
        </w:tc>
        <w:tc>
          <w:tcPr>
            <w:tcW w:w="1392" w:type="dxa"/>
            <w:vAlign w:val="center"/>
            <w:hideMark/>
          </w:tcPr>
          <w:p w14:paraId="69F6E748"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44.01</w:t>
            </w:r>
          </w:p>
        </w:tc>
        <w:tc>
          <w:tcPr>
            <w:tcW w:w="1426" w:type="dxa"/>
            <w:vAlign w:val="center"/>
            <w:hideMark/>
          </w:tcPr>
          <w:p w14:paraId="4013A938"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22.26</w:t>
            </w:r>
          </w:p>
        </w:tc>
        <w:tc>
          <w:tcPr>
            <w:tcW w:w="1394" w:type="dxa"/>
            <w:vAlign w:val="center"/>
            <w:hideMark/>
          </w:tcPr>
          <w:p w14:paraId="4D4FB10B"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32.84</w:t>
            </w:r>
          </w:p>
        </w:tc>
        <w:tc>
          <w:tcPr>
            <w:tcW w:w="1427" w:type="dxa"/>
            <w:vAlign w:val="center"/>
            <w:hideMark/>
          </w:tcPr>
          <w:p w14:paraId="0547DBD3"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4.06</w:t>
            </w:r>
          </w:p>
        </w:tc>
        <w:tc>
          <w:tcPr>
            <w:tcW w:w="1394" w:type="dxa"/>
            <w:vAlign w:val="center"/>
            <w:hideMark/>
          </w:tcPr>
          <w:p w14:paraId="30C8E58D"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39.6</w:t>
            </w:r>
          </w:p>
        </w:tc>
        <w:tc>
          <w:tcPr>
            <w:tcW w:w="1427" w:type="dxa"/>
            <w:vAlign w:val="center"/>
            <w:hideMark/>
          </w:tcPr>
          <w:p w14:paraId="261B1908" w14:textId="77777777" w:rsidR="00827DC2" w:rsidRDefault="00827DC2" w:rsidP="00EB7F20">
            <w:pPr>
              <w:jc w:val="center"/>
              <w:rPr>
                <w:rFonts w:ascii="Aptos" w:hAnsi="Aptos" w:cs="Calibri"/>
                <w:color w:val="000000"/>
                <w:sz w:val="20"/>
                <w:szCs w:val="20"/>
              </w:rPr>
            </w:pPr>
            <w:r>
              <w:rPr>
                <w:rFonts w:ascii="Aptos" w:hAnsi="Aptos" w:cs="Calibri"/>
                <w:color w:val="000000"/>
                <w:sz w:val="20"/>
                <w:szCs w:val="20"/>
              </w:rPr>
              <w:t>0.95</w:t>
            </w:r>
          </w:p>
        </w:tc>
      </w:tr>
    </w:tbl>
    <w:p w14:paraId="16C4E536"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6C04F337" w14:textId="77777777" w:rsidR="008D07FF" w:rsidRDefault="008D07FF"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u w:val="single"/>
        </w:rPr>
      </w:pPr>
    </w:p>
    <w:p w14:paraId="533C4363" w14:textId="76BA8172" w:rsidR="00827DC2" w:rsidRPr="00AA476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u w:val="single"/>
        </w:rPr>
      </w:pPr>
      <w:r w:rsidRPr="00277776">
        <w:rPr>
          <w:b/>
          <w:color w:val="000000"/>
          <w:u w:val="single"/>
        </w:rPr>
        <w:t>Instructor Observations</w:t>
      </w:r>
    </w:p>
    <w:p w14:paraId="49F20FE8"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p>
    <w:p w14:paraId="66591ED5"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E6136F">
        <w:rPr>
          <w:color w:val="000000"/>
        </w:rPr>
        <w:t>Over the past three academic years, student performance in the hybrid/online modality has shown a clear and consistent upward trend. The percentage of students who exceeded expectations (scoring above 80%) increased steadily from 55% in 2022–2023 to 95% in 2024–2025, indicating substantial growth in students’ critical thinking skills within this modality.</w:t>
      </w:r>
    </w:p>
    <w:p w14:paraId="0400AC45" w14:textId="77777777" w:rsidR="00827DC2" w:rsidRPr="00E6136F"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p>
    <w:p w14:paraId="28DD9335" w14:textId="77777777" w:rsidR="00827DC2" w:rsidRPr="00AA476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E6136F">
        <w:rPr>
          <w:color w:val="000000"/>
        </w:rPr>
        <w:t>In contrast, face-to-face (F2F) classes demonstrated moderate improvement. While the percentage of students exceeding expectations increased modestly</w:t>
      </w:r>
      <w:r w:rsidRPr="00AA4762">
        <w:rPr>
          <w:color w:val="000000"/>
        </w:rPr>
        <w:t xml:space="preserve"> from 34.11% to 38.43%,</w:t>
      </w:r>
      <w:r w:rsidRPr="00E6136F">
        <w:rPr>
          <w:color w:val="000000"/>
        </w:rPr>
        <w:t xml:space="preserve"> the proportion of students scoring below 70% declined significantly</w:t>
      </w:r>
      <w:r w:rsidRPr="00AA4762">
        <w:rPr>
          <w:color w:val="000000"/>
        </w:rPr>
        <w:t xml:space="preserve"> from 44.01% to 39.6%</w:t>
      </w:r>
      <w:r w:rsidRPr="00E6136F">
        <w:rPr>
          <w:color w:val="000000"/>
        </w:rPr>
        <w:t>, suggesting progress in overall student learning outcomes.</w:t>
      </w:r>
    </w:p>
    <w:p w14:paraId="57651E50" w14:textId="77777777" w:rsidR="00827DC2" w:rsidRPr="00E6136F"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p>
    <w:p w14:paraId="5D48B688" w14:textId="77777777" w:rsidR="00827DC2" w:rsidRPr="00AA476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E6136F">
        <w:rPr>
          <w:color w:val="000000"/>
        </w:rPr>
        <w:t>The observed variation in performance across modalities may be influenced by several factors, including</w:t>
      </w:r>
      <w:r w:rsidRPr="00AA4762">
        <w:rPr>
          <w:color w:val="000000"/>
        </w:rPr>
        <w:t xml:space="preserve"> c</w:t>
      </w:r>
      <w:r w:rsidRPr="00E6136F">
        <w:rPr>
          <w:color w:val="000000"/>
        </w:rPr>
        <w:t>hanges in textbooks and learning materials</w:t>
      </w:r>
      <w:r w:rsidRPr="00AA4762">
        <w:rPr>
          <w:color w:val="000000"/>
        </w:rPr>
        <w:t>, d</w:t>
      </w:r>
      <w:r w:rsidRPr="00E6136F">
        <w:rPr>
          <w:color w:val="000000"/>
        </w:rPr>
        <w:t>ifferences in assessment formats (e.g., online exams)</w:t>
      </w:r>
      <w:r w:rsidRPr="00AA4762">
        <w:rPr>
          <w:color w:val="000000"/>
        </w:rPr>
        <w:t xml:space="preserve"> and i</w:t>
      </w:r>
      <w:r w:rsidRPr="00E6136F">
        <w:rPr>
          <w:color w:val="000000"/>
        </w:rPr>
        <w:t>nstructor-specific approaches to course delivery</w:t>
      </w:r>
      <w:r w:rsidRPr="00AA4762">
        <w:rPr>
          <w:color w:val="000000"/>
        </w:rPr>
        <w:t xml:space="preserve">. </w:t>
      </w:r>
    </w:p>
    <w:p w14:paraId="498F6695" w14:textId="77777777" w:rsidR="00827DC2" w:rsidRPr="00214B90"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p>
    <w:p w14:paraId="1D5F408A" w14:textId="7777777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214B90">
        <w:rPr>
          <w:color w:val="000000"/>
        </w:rPr>
        <w:t xml:space="preserve">During this period, macroeconomics instructors have actively reviewed and refined their instructional strategies to ensure greater consistency and effectiveness. This included placing more emphasis on reinforcing macroeconomic foundations and helping students apply analytical thinking to real-world problems. Additionally, assessment questions were carefully reviewed for clarity, with some terminology reworded or replaced to improve student understanding. </w:t>
      </w:r>
    </w:p>
    <w:p w14:paraId="6A3BC2E0"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p>
    <w:p w14:paraId="11AFF5ED"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B885DAD"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u w:val="single"/>
        </w:rPr>
      </w:pPr>
      <w:r w:rsidRPr="00277776">
        <w:rPr>
          <w:b/>
          <w:color w:val="000000"/>
          <w:u w:val="single"/>
        </w:rPr>
        <w:lastRenderedPageBreak/>
        <w:t>Instructor Recommendations for Next Academic Year</w:t>
      </w:r>
      <w:r>
        <w:rPr>
          <w:b/>
          <w:color w:val="000000"/>
          <w:u w:val="single"/>
        </w:rPr>
        <w:t>s</w:t>
      </w:r>
    </w:p>
    <w:p w14:paraId="797E8AE3"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6A32CE4"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277776">
        <w:rPr>
          <w:color w:val="000000"/>
        </w:rPr>
        <w:t>Conclusions from these assessment results support:</w:t>
      </w:r>
    </w:p>
    <w:p w14:paraId="3CFDD536"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p>
    <w:p w14:paraId="70E93CCD" w14:textId="77777777" w:rsidR="00827DC2" w:rsidRPr="00277776" w:rsidRDefault="00827DC2" w:rsidP="00827DC2">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rPr>
      </w:pPr>
      <w:r w:rsidRPr="00277776">
        <w:rPr>
          <w:bCs/>
        </w:rPr>
        <w:t>There is a continued need to strengthen students’ ability to critically evaluate real-life macroeconomic problems and apply analytical skills to solve them</w:t>
      </w:r>
      <w:r>
        <w:rPr>
          <w:bCs/>
        </w:rPr>
        <w:t xml:space="preserve">, especially in the face to face classes. </w:t>
      </w:r>
    </w:p>
    <w:p w14:paraId="3ECE698D"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rPr>
      </w:pPr>
    </w:p>
    <w:p w14:paraId="0FB4216A"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rPr>
      </w:pPr>
      <w:r w:rsidRPr="00277776">
        <w:rPr>
          <w:bCs/>
        </w:rPr>
        <w:t>To address these conclusions the following curriculum changes are recommended:</w:t>
      </w:r>
    </w:p>
    <w:p w14:paraId="0C729529"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rPr>
      </w:pPr>
    </w:p>
    <w:p w14:paraId="22D0FB78" w14:textId="77777777" w:rsidR="00827DC2" w:rsidRPr="00277776" w:rsidRDefault="00827DC2" w:rsidP="00827DC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277776">
        <w:rPr>
          <w:color w:val="000000"/>
        </w:rPr>
        <w:t xml:space="preserve"> Recent updates to teaching methods, course content, and student support are making a</w:t>
      </w:r>
      <w:r>
        <w:rPr>
          <w:color w:val="000000"/>
        </w:rPr>
        <w:t xml:space="preserve"> </w:t>
      </w:r>
      <w:r w:rsidRPr="00277776">
        <w:rPr>
          <w:color w:val="000000"/>
        </w:rPr>
        <w:t>positive difference. Instructors will keep building on what’s working well.</w:t>
      </w:r>
    </w:p>
    <w:p w14:paraId="464BFF90" w14:textId="77777777" w:rsidR="00827DC2" w:rsidRPr="00277776" w:rsidRDefault="00827DC2" w:rsidP="00827DC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277776">
        <w:rPr>
          <w:color w:val="000000"/>
        </w:rPr>
        <w:t xml:space="preserve"> To support continued improvement, we’ll provide more supplemental materials—like practice problems, real-life case studies, and applied exercises—to give students more chances to strengthen their critical thinking and problem-solving skills.</w:t>
      </w:r>
    </w:p>
    <w:p w14:paraId="6C981066" w14:textId="77777777" w:rsidR="00827DC2" w:rsidRPr="00277776" w:rsidRDefault="00827DC2" w:rsidP="00827DC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sidRPr="00214B90">
        <w:rPr>
          <w:color w:val="000000"/>
        </w:rPr>
        <w:t>Instructors remain committed to exploring new strategies and approaches to continue enhancing student performance and engagement in the years ahead.</w:t>
      </w:r>
    </w:p>
    <w:p w14:paraId="20BA1823" w14:textId="77777777" w:rsidR="00827DC2" w:rsidRPr="00277776" w:rsidRDefault="00827DC2" w:rsidP="00827DC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14:paraId="1E3CAC97" w14:textId="77777777" w:rsidR="00827DC2" w:rsidRPr="00277776"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14:paraId="035A3579" w14:textId="776FD557" w:rsidR="00827DC2" w:rsidRDefault="00827DC2" w:rsidP="00827D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C95968">
        <w:rPr>
          <w:b/>
          <w:bCs/>
          <w:sz w:val="22"/>
          <w:szCs w:val="22"/>
          <w:u w:val="single"/>
        </w:rPr>
        <w:t>Faculty Responsible for Reporting on Progress</w:t>
      </w:r>
      <w:r w:rsidRPr="00C95968">
        <w:rPr>
          <w:b/>
          <w:bCs/>
          <w:sz w:val="22"/>
          <w:szCs w:val="22"/>
        </w:rPr>
        <w:t xml:space="preserve">:  </w:t>
      </w:r>
      <w:r>
        <w:rPr>
          <w:b/>
          <w:bCs/>
          <w:sz w:val="22"/>
          <w:szCs w:val="22"/>
        </w:rPr>
        <w:t>Dr. Quazi Fidia Farah</w:t>
      </w:r>
    </w:p>
    <w:p w14:paraId="01F7510C" w14:textId="77777777" w:rsidR="00D164C4" w:rsidRDefault="00D164C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2788BC72" w14:textId="77777777" w:rsidR="00D164C4" w:rsidRDefault="00D164C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0CC3B7DA" w14:textId="77777777" w:rsidR="006C3A5A" w:rsidRPr="000E7A79"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22"/>
          <w:szCs w:val="22"/>
          <w:u w:val="single"/>
        </w:rPr>
      </w:pPr>
      <w:r>
        <w:rPr>
          <w:b/>
          <w:color w:val="000000"/>
          <w:sz w:val="22"/>
          <w:szCs w:val="22"/>
          <w:u w:val="single"/>
        </w:rPr>
        <w:t>FIN 3312 Business Finance</w:t>
      </w:r>
    </w:p>
    <w:p w14:paraId="4B70CF68"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p>
    <w:p w14:paraId="41D19EE0" w14:textId="77777777" w:rsidR="006C3A5A" w:rsidRPr="000E7A79"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u w:val="single"/>
        </w:rPr>
      </w:pPr>
      <w:r w:rsidRPr="000E7A79">
        <w:rPr>
          <w:color w:val="000000"/>
          <w:sz w:val="22"/>
          <w:szCs w:val="22"/>
          <w:u w:val="single"/>
        </w:rPr>
        <w:t>Results and Recommendations from Previous Assessment Period</w:t>
      </w:r>
    </w:p>
    <w:p w14:paraId="21C8C5E7" w14:textId="77777777" w:rsidR="006C3A5A" w:rsidRDefault="006C3A5A" w:rsidP="006C3A5A"/>
    <w:p w14:paraId="2E5CF02F" w14:textId="77777777" w:rsidR="006C3A5A" w:rsidRPr="003F227F" w:rsidRDefault="006C3A5A" w:rsidP="006C3A5A">
      <w:pPr>
        <w:rPr>
          <w:sz w:val="22"/>
          <w:szCs w:val="22"/>
        </w:rPr>
      </w:pPr>
      <w:r w:rsidRPr="003F227F">
        <w:rPr>
          <w:sz w:val="22"/>
          <w:szCs w:val="22"/>
        </w:rPr>
        <w:t>Overall, the students in FIN 3312 did not meet the goal of 70% for the academic year.  Only In the Online courses did the students achieve a success rate above 70%.  Neither the face-to-face (F-T-F) or hybrid sections surpassed 70%.  In the spring, only the online sections achieved even a 50% success rate in meeting expectations.  For the spring semester, performance was down across all three delivery methods, but still above 70% meeting expectations for the online sections.</w:t>
      </w:r>
    </w:p>
    <w:p w14:paraId="3E76F691" w14:textId="77777777" w:rsidR="006C3A5A" w:rsidRPr="003F227F" w:rsidRDefault="006C3A5A" w:rsidP="006C3A5A">
      <w:pPr>
        <w:rPr>
          <w:color w:val="EE0000"/>
          <w:sz w:val="22"/>
          <w:szCs w:val="22"/>
        </w:rPr>
      </w:pPr>
    </w:p>
    <w:p w14:paraId="74DDFB0E" w14:textId="77777777" w:rsidR="006C3A5A" w:rsidRPr="003F227F" w:rsidRDefault="006C3A5A" w:rsidP="006C3A5A">
      <w:pPr>
        <w:rPr>
          <w:sz w:val="22"/>
          <w:szCs w:val="22"/>
        </w:rPr>
      </w:pPr>
      <w:r w:rsidRPr="003F227F">
        <w:rPr>
          <w:sz w:val="22"/>
          <w:szCs w:val="22"/>
        </w:rPr>
        <w:t xml:space="preserve">The faculty have decided to focus on increasing the emphasis on quantitative portions of the course with greater use of homework and quizzes.  The hope is that more application-based work will also help reinforce the concepts behind the problems.  </w:t>
      </w:r>
    </w:p>
    <w:p w14:paraId="02F534E3"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p>
    <w:p w14:paraId="13FA920E"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p>
    <w:p w14:paraId="0EC1CF4D" w14:textId="77777777" w:rsidR="006C3A5A" w:rsidRPr="000E7A79"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u w:val="single"/>
        </w:rPr>
      </w:pPr>
      <w:r w:rsidRPr="000E7A79">
        <w:rPr>
          <w:color w:val="000000"/>
          <w:sz w:val="22"/>
          <w:szCs w:val="22"/>
          <w:u w:val="single"/>
        </w:rPr>
        <w:t>Current Period Assessment Method</w:t>
      </w:r>
    </w:p>
    <w:p w14:paraId="3C3A6788"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u w:val="single"/>
        </w:rPr>
      </w:pPr>
    </w:p>
    <w:p w14:paraId="27A2ACD7" w14:textId="77777777" w:rsidR="006C3A5A" w:rsidRPr="00980B8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r w:rsidRPr="00980B8A">
        <w:rPr>
          <w:b/>
          <w:bCs/>
          <w:color w:val="000000"/>
          <w:sz w:val="22"/>
          <w:szCs w:val="22"/>
        </w:rPr>
        <w:t>ASSESSMENT METHOD</w:t>
      </w:r>
    </w:p>
    <w:p w14:paraId="26CD852E"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2"/>
          <w:szCs w:val="22"/>
        </w:rPr>
        <w:t>Students in FIN 3312 were assessed using 20 multiple choice questions across topics taught in the class.  The questions were given during the final exam for the course to test comprehension.  Approximately half of the questions were conceptual in nature, while the rest were quantitative.  The questions were chosen by the teaching faculty to require both conceptual knowledge as well as application.</w:t>
      </w:r>
    </w:p>
    <w:p w14:paraId="357AFDB8"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4A6444AC" w14:textId="77777777" w:rsidR="006C3A5A" w:rsidRPr="00980B8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r>
        <w:rPr>
          <w:b/>
          <w:bCs/>
          <w:color w:val="000000"/>
          <w:sz w:val="22"/>
          <w:szCs w:val="22"/>
        </w:rPr>
        <w:t>EXPECTATION CRITERIA</w:t>
      </w:r>
    </w:p>
    <w:p w14:paraId="03AB699B"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2"/>
          <w:szCs w:val="22"/>
        </w:rPr>
        <w:t>Students achieving getting 18 or more questions correct (90+ percent) are deemed to have exceeded expectations.  Those scoring between 14 and 17 are deemed to have met expectations, while those with fewer than 14 correct answers are deemed to have failed.</w:t>
      </w:r>
    </w:p>
    <w:p w14:paraId="61FF2118"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13A581FE" w14:textId="77777777" w:rsidR="006C3A5A" w:rsidRPr="00980B8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r>
        <w:rPr>
          <w:b/>
          <w:bCs/>
          <w:color w:val="000000"/>
          <w:sz w:val="22"/>
          <w:szCs w:val="22"/>
        </w:rPr>
        <w:t>EXPECTATION GOAL</w:t>
      </w:r>
    </w:p>
    <w:p w14:paraId="4F78B2CE"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2"/>
          <w:szCs w:val="22"/>
        </w:rPr>
        <w:t>The department goal has long been that 70% of students will meet or exceed expectations—or less than 30% will fail.</w:t>
      </w:r>
    </w:p>
    <w:p w14:paraId="64707841"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38A887A6" w14:textId="77777777" w:rsidR="00EF03CD" w:rsidRDefault="00EF03CD"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u w:val="single"/>
        </w:rPr>
      </w:pPr>
    </w:p>
    <w:p w14:paraId="3A35E038" w14:textId="65458FBF" w:rsidR="006C3A5A" w:rsidRPr="000E7A79"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u w:val="single"/>
        </w:rPr>
      </w:pPr>
      <w:r w:rsidRPr="000E7A79">
        <w:rPr>
          <w:bCs/>
          <w:sz w:val="22"/>
          <w:szCs w:val="22"/>
          <w:u w:val="single"/>
        </w:rPr>
        <w:t>Results from Current Assessment Period</w:t>
      </w:r>
    </w:p>
    <w:p w14:paraId="30DAC335"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537FA038" w14:textId="77777777" w:rsidR="006C3A5A" w:rsidRPr="000E7A79"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0E7A79">
        <w:rPr>
          <w:b/>
          <w:sz w:val="22"/>
          <w:szCs w:val="22"/>
        </w:rPr>
        <w:t>San Marcos Campus</w:t>
      </w:r>
    </w:p>
    <w:p w14:paraId="6232679F" w14:textId="77777777" w:rsidR="006C3A5A" w:rsidRDefault="006C3A5A" w:rsidP="006C3A5A">
      <w:pPr>
        <w:widowControl w:val="0"/>
        <w:autoSpaceDE w:val="0"/>
        <w:autoSpaceDN w:val="0"/>
        <w:adjustRightInd w:val="0"/>
        <w:rPr>
          <w:rFonts w:ascii="Arial" w:eastAsia="Calibri" w:hAnsi="Arial"/>
          <w:sz w:val="20"/>
          <w:szCs w:val="20"/>
        </w:rPr>
      </w:pPr>
    </w:p>
    <w:tbl>
      <w:tblPr>
        <w:tblW w:w="8620" w:type="dxa"/>
        <w:tblLayout w:type="fixed"/>
        <w:tblLook w:val="04A0" w:firstRow="1" w:lastRow="0" w:firstColumn="1" w:lastColumn="0" w:noHBand="0" w:noVBand="1"/>
      </w:tblPr>
      <w:tblGrid>
        <w:gridCol w:w="1840"/>
        <w:gridCol w:w="1115"/>
        <w:gridCol w:w="1170"/>
        <w:gridCol w:w="1395"/>
        <w:gridCol w:w="855"/>
        <w:gridCol w:w="1025"/>
        <w:gridCol w:w="1220"/>
      </w:tblGrid>
      <w:tr w:rsidR="006C3A5A" w:rsidRPr="009D50DC" w14:paraId="586E98BA" w14:textId="77777777" w:rsidTr="00674672">
        <w:trPr>
          <w:trHeight w:val="585"/>
        </w:trPr>
        <w:tc>
          <w:tcPr>
            <w:tcW w:w="1840" w:type="dxa"/>
            <w:tcBorders>
              <w:top w:val="single" w:sz="12" w:space="0" w:color="auto"/>
              <w:left w:val="single" w:sz="12" w:space="0" w:color="auto"/>
              <w:bottom w:val="single" w:sz="12" w:space="0" w:color="auto"/>
              <w:right w:val="single" w:sz="12" w:space="0" w:color="auto"/>
            </w:tcBorders>
            <w:vAlign w:val="center"/>
            <w:hideMark/>
          </w:tcPr>
          <w:p w14:paraId="42BE3273" w14:textId="77777777" w:rsidR="006C3A5A" w:rsidRPr="009D50DC" w:rsidRDefault="006C3A5A" w:rsidP="00674672">
            <w:pPr>
              <w:rPr>
                <w:rFonts w:ascii="Cambria" w:hAnsi="Cambria" w:cs="Calibri"/>
                <w:b/>
                <w:bCs/>
                <w:color w:val="000000"/>
                <w:sz w:val="22"/>
                <w:szCs w:val="22"/>
              </w:rPr>
            </w:pPr>
            <w:r w:rsidRPr="009D50DC">
              <w:rPr>
                <w:rFonts w:ascii="Cambria" w:hAnsi="Cambria" w:cs="Calibri"/>
                <w:b/>
                <w:bCs/>
                <w:color w:val="000000"/>
                <w:sz w:val="22"/>
                <w:szCs w:val="22"/>
              </w:rPr>
              <w:t>Performance  20</w:t>
            </w:r>
            <w:r>
              <w:rPr>
                <w:rFonts w:ascii="Cambria" w:hAnsi="Cambria" w:cs="Calibri"/>
                <w:b/>
                <w:bCs/>
                <w:color w:val="000000"/>
                <w:sz w:val="22"/>
                <w:szCs w:val="22"/>
              </w:rPr>
              <w:t>24</w:t>
            </w:r>
            <w:r w:rsidRPr="009D50DC">
              <w:rPr>
                <w:rFonts w:ascii="Cambria" w:hAnsi="Cambria" w:cs="Calibri"/>
                <w:b/>
                <w:bCs/>
                <w:color w:val="000000"/>
                <w:sz w:val="22"/>
                <w:szCs w:val="22"/>
              </w:rPr>
              <w:t>-20</w:t>
            </w:r>
            <w:r>
              <w:rPr>
                <w:rFonts w:ascii="Cambria" w:hAnsi="Cambria" w:cs="Calibri"/>
                <w:b/>
                <w:bCs/>
                <w:color w:val="000000"/>
                <w:sz w:val="22"/>
                <w:szCs w:val="22"/>
              </w:rPr>
              <w:t>25</w:t>
            </w:r>
          </w:p>
        </w:tc>
        <w:tc>
          <w:tcPr>
            <w:tcW w:w="2285" w:type="dxa"/>
            <w:gridSpan w:val="2"/>
            <w:tcBorders>
              <w:top w:val="single" w:sz="12" w:space="0" w:color="auto"/>
              <w:left w:val="nil"/>
              <w:bottom w:val="single" w:sz="12" w:space="0" w:color="auto"/>
              <w:right w:val="single" w:sz="12" w:space="0" w:color="auto"/>
            </w:tcBorders>
            <w:vAlign w:val="center"/>
          </w:tcPr>
          <w:p w14:paraId="15A25101" w14:textId="77777777" w:rsidR="006C3A5A" w:rsidRPr="009D50DC" w:rsidRDefault="006C3A5A" w:rsidP="00674672">
            <w:pPr>
              <w:jc w:val="center"/>
              <w:rPr>
                <w:rFonts w:ascii="Cambria" w:hAnsi="Cambria" w:cs="Calibri"/>
                <w:b/>
                <w:bCs/>
                <w:color w:val="000000"/>
                <w:sz w:val="22"/>
                <w:szCs w:val="22"/>
              </w:rPr>
            </w:pPr>
            <w:r>
              <w:rPr>
                <w:rFonts w:ascii="Cambria" w:hAnsi="Cambria" w:cs="Calibri"/>
                <w:b/>
                <w:bCs/>
                <w:color w:val="000000"/>
                <w:sz w:val="22"/>
                <w:szCs w:val="22"/>
              </w:rPr>
              <w:t>Face to Face</w:t>
            </w:r>
          </w:p>
        </w:tc>
        <w:tc>
          <w:tcPr>
            <w:tcW w:w="2250" w:type="dxa"/>
            <w:gridSpan w:val="2"/>
            <w:tcBorders>
              <w:top w:val="single" w:sz="12" w:space="0" w:color="auto"/>
              <w:left w:val="nil"/>
              <w:bottom w:val="single" w:sz="12" w:space="0" w:color="auto"/>
              <w:right w:val="single" w:sz="12" w:space="0" w:color="auto"/>
            </w:tcBorders>
            <w:vAlign w:val="center"/>
          </w:tcPr>
          <w:p w14:paraId="0F0A4412" w14:textId="77777777" w:rsidR="006C3A5A" w:rsidRPr="009D50DC" w:rsidRDefault="006C3A5A" w:rsidP="00674672">
            <w:pPr>
              <w:jc w:val="center"/>
              <w:rPr>
                <w:rFonts w:ascii="Cambria" w:hAnsi="Cambria" w:cs="Calibri"/>
                <w:b/>
                <w:bCs/>
                <w:color w:val="000000"/>
                <w:sz w:val="22"/>
                <w:szCs w:val="22"/>
              </w:rPr>
            </w:pPr>
            <w:r>
              <w:rPr>
                <w:rFonts w:ascii="Cambria" w:hAnsi="Cambria" w:cs="Calibri"/>
                <w:b/>
                <w:bCs/>
                <w:color w:val="000000"/>
                <w:sz w:val="22"/>
                <w:szCs w:val="22"/>
              </w:rPr>
              <w:t>Hybrid</w:t>
            </w:r>
          </w:p>
        </w:tc>
        <w:tc>
          <w:tcPr>
            <w:tcW w:w="2245" w:type="dxa"/>
            <w:gridSpan w:val="2"/>
            <w:tcBorders>
              <w:top w:val="single" w:sz="12" w:space="0" w:color="auto"/>
              <w:left w:val="nil"/>
              <w:bottom w:val="single" w:sz="12" w:space="0" w:color="auto"/>
              <w:right w:val="single" w:sz="12" w:space="0" w:color="auto"/>
            </w:tcBorders>
            <w:vAlign w:val="center"/>
          </w:tcPr>
          <w:p w14:paraId="17E21C91" w14:textId="77777777" w:rsidR="006C3A5A" w:rsidRPr="009D50DC" w:rsidRDefault="006C3A5A" w:rsidP="00674672">
            <w:pPr>
              <w:jc w:val="center"/>
              <w:rPr>
                <w:rFonts w:ascii="Cambria" w:hAnsi="Cambria" w:cs="Calibri"/>
                <w:b/>
                <w:bCs/>
                <w:color w:val="000000"/>
                <w:sz w:val="22"/>
                <w:szCs w:val="22"/>
              </w:rPr>
            </w:pPr>
            <w:r>
              <w:rPr>
                <w:rFonts w:ascii="Cambria" w:hAnsi="Cambria" w:cs="Calibri"/>
                <w:b/>
                <w:bCs/>
                <w:color w:val="000000"/>
                <w:sz w:val="22"/>
                <w:szCs w:val="22"/>
              </w:rPr>
              <w:t>Fully Online</w:t>
            </w:r>
          </w:p>
        </w:tc>
      </w:tr>
      <w:tr w:rsidR="006C3A5A" w:rsidRPr="009D50DC" w14:paraId="5F5490CB"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25E5FE4D" w14:textId="77777777" w:rsidR="006C3A5A" w:rsidRPr="009D50DC" w:rsidRDefault="006C3A5A" w:rsidP="00674672">
            <w:pPr>
              <w:rPr>
                <w:rFonts w:ascii="Cambria" w:hAnsi="Cambria" w:cs="Calibri"/>
                <w:b/>
                <w:bCs/>
                <w:color w:val="000000"/>
                <w:sz w:val="22"/>
                <w:szCs w:val="22"/>
              </w:rPr>
            </w:pPr>
            <w:r w:rsidRPr="009D50DC">
              <w:rPr>
                <w:rFonts w:ascii="Cambria" w:hAnsi="Cambria" w:cs="Calibri"/>
                <w:b/>
                <w:bCs/>
                <w:color w:val="000000"/>
                <w:sz w:val="22"/>
                <w:szCs w:val="22"/>
              </w:rPr>
              <w:t> </w:t>
            </w:r>
          </w:p>
        </w:tc>
        <w:tc>
          <w:tcPr>
            <w:tcW w:w="1115" w:type="dxa"/>
            <w:tcBorders>
              <w:top w:val="nil"/>
              <w:left w:val="nil"/>
              <w:bottom w:val="single" w:sz="12" w:space="0" w:color="auto"/>
              <w:right w:val="single" w:sz="12" w:space="0" w:color="auto"/>
            </w:tcBorders>
            <w:vAlign w:val="center"/>
            <w:hideMark/>
          </w:tcPr>
          <w:p w14:paraId="03598494"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170" w:type="dxa"/>
            <w:tcBorders>
              <w:top w:val="nil"/>
              <w:left w:val="nil"/>
              <w:bottom w:val="single" w:sz="12" w:space="0" w:color="auto"/>
              <w:right w:val="single" w:sz="12" w:space="0" w:color="auto"/>
            </w:tcBorders>
            <w:vAlign w:val="center"/>
            <w:hideMark/>
          </w:tcPr>
          <w:p w14:paraId="1C3FC283"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w:t>
            </w:r>
          </w:p>
        </w:tc>
        <w:tc>
          <w:tcPr>
            <w:tcW w:w="1395" w:type="dxa"/>
            <w:tcBorders>
              <w:top w:val="nil"/>
              <w:left w:val="nil"/>
              <w:bottom w:val="single" w:sz="12" w:space="0" w:color="auto"/>
              <w:right w:val="single" w:sz="12" w:space="0" w:color="auto"/>
            </w:tcBorders>
            <w:vAlign w:val="center"/>
            <w:hideMark/>
          </w:tcPr>
          <w:p w14:paraId="5515DD87"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855" w:type="dxa"/>
            <w:tcBorders>
              <w:top w:val="nil"/>
              <w:left w:val="nil"/>
              <w:bottom w:val="single" w:sz="12" w:space="0" w:color="auto"/>
              <w:right w:val="single" w:sz="12" w:space="0" w:color="auto"/>
            </w:tcBorders>
            <w:vAlign w:val="center"/>
            <w:hideMark/>
          </w:tcPr>
          <w:p w14:paraId="42E057E3"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w:t>
            </w:r>
          </w:p>
        </w:tc>
        <w:tc>
          <w:tcPr>
            <w:tcW w:w="1025" w:type="dxa"/>
            <w:tcBorders>
              <w:top w:val="nil"/>
              <w:left w:val="nil"/>
              <w:bottom w:val="single" w:sz="12" w:space="0" w:color="auto"/>
              <w:right w:val="single" w:sz="12" w:space="0" w:color="auto"/>
            </w:tcBorders>
            <w:vAlign w:val="center"/>
            <w:hideMark/>
          </w:tcPr>
          <w:p w14:paraId="3398831F"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220" w:type="dxa"/>
            <w:tcBorders>
              <w:top w:val="nil"/>
              <w:left w:val="nil"/>
              <w:bottom w:val="single" w:sz="12" w:space="0" w:color="auto"/>
              <w:right w:val="single" w:sz="12" w:space="0" w:color="auto"/>
            </w:tcBorders>
            <w:vAlign w:val="center"/>
            <w:hideMark/>
          </w:tcPr>
          <w:p w14:paraId="7CEB0610"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w:t>
            </w:r>
          </w:p>
        </w:tc>
      </w:tr>
      <w:tr w:rsidR="006C3A5A" w:rsidRPr="009D50DC" w14:paraId="18E8A1A3"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4A4394B0" w14:textId="77777777" w:rsidR="006C3A5A" w:rsidRPr="009D50DC" w:rsidRDefault="006C3A5A" w:rsidP="00674672">
            <w:pPr>
              <w:rPr>
                <w:rFonts w:ascii="Cambria" w:hAnsi="Cambria" w:cs="Calibri"/>
                <w:color w:val="000000"/>
                <w:sz w:val="22"/>
                <w:szCs w:val="22"/>
              </w:rPr>
            </w:pPr>
            <w:r w:rsidRPr="009D50DC">
              <w:rPr>
                <w:rFonts w:ascii="Cambria" w:hAnsi="Cambria" w:cs="Calibri"/>
                <w:color w:val="000000"/>
                <w:sz w:val="22"/>
                <w:szCs w:val="22"/>
              </w:rPr>
              <w:t>Exceeded (90%+)</w:t>
            </w:r>
          </w:p>
        </w:tc>
        <w:tc>
          <w:tcPr>
            <w:tcW w:w="1115" w:type="dxa"/>
            <w:tcBorders>
              <w:top w:val="nil"/>
              <w:left w:val="nil"/>
              <w:bottom w:val="single" w:sz="12" w:space="0" w:color="auto"/>
              <w:right w:val="single" w:sz="12" w:space="0" w:color="auto"/>
            </w:tcBorders>
            <w:vAlign w:val="center"/>
          </w:tcPr>
          <w:p w14:paraId="1DABEEB8"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42</w:t>
            </w:r>
          </w:p>
        </w:tc>
        <w:tc>
          <w:tcPr>
            <w:tcW w:w="1170" w:type="dxa"/>
            <w:tcBorders>
              <w:top w:val="nil"/>
              <w:left w:val="nil"/>
              <w:bottom w:val="single" w:sz="12" w:space="0" w:color="auto"/>
              <w:right w:val="single" w:sz="12" w:space="0" w:color="auto"/>
            </w:tcBorders>
            <w:vAlign w:val="center"/>
          </w:tcPr>
          <w:p w14:paraId="67F1C6F5"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11.7%</w:t>
            </w:r>
          </w:p>
        </w:tc>
        <w:tc>
          <w:tcPr>
            <w:tcW w:w="1395" w:type="dxa"/>
            <w:tcBorders>
              <w:top w:val="nil"/>
              <w:left w:val="nil"/>
              <w:bottom w:val="single" w:sz="12" w:space="0" w:color="auto"/>
              <w:right w:val="single" w:sz="12" w:space="0" w:color="auto"/>
            </w:tcBorders>
            <w:vAlign w:val="center"/>
          </w:tcPr>
          <w:p w14:paraId="416A9519"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124</w:t>
            </w:r>
          </w:p>
        </w:tc>
        <w:tc>
          <w:tcPr>
            <w:tcW w:w="855" w:type="dxa"/>
            <w:tcBorders>
              <w:top w:val="nil"/>
              <w:left w:val="nil"/>
              <w:bottom w:val="single" w:sz="12" w:space="0" w:color="auto"/>
              <w:right w:val="single" w:sz="12" w:space="0" w:color="auto"/>
            </w:tcBorders>
            <w:vAlign w:val="center"/>
          </w:tcPr>
          <w:p w14:paraId="30E6AFBB"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24.1%</w:t>
            </w:r>
          </w:p>
        </w:tc>
        <w:tc>
          <w:tcPr>
            <w:tcW w:w="1025" w:type="dxa"/>
            <w:tcBorders>
              <w:top w:val="nil"/>
              <w:left w:val="nil"/>
              <w:bottom w:val="single" w:sz="12" w:space="0" w:color="auto"/>
              <w:right w:val="single" w:sz="12" w:space="0" w:color="auto"/>
            </w:tcBorders>
            <w:vAlign w:val="center"/>
          </w:tcPr>
          <w:p w14:paraId="1CF075FF"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N/A</w:t>
            </w:r>
          </w:p>
        </w:tc>
        <w:tc>
          <w:tcPr>
            <w:tcW w:w="1220" w:type="dxa"/>
            <w:tcBorders>
              <w:top w:val="nil"/>
              <w:left w:val="nil"/>
              <w:bottom w:val="single" w:sz="12" w:space="0" w:color="auto"/>
              <w:right w:val="single" w:sz="12" w:space="0" w:color="auto"/>
            </w:tcBorders>
            <w:vAlign w:val="center"/>
          </w:tcPr>
          <w:p w14:paraId="4FEB820A"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N/A</w:t>
            </w:r>
          </w:p>
        </w:tc>
      </w:tr>
      <w:tr w:rsidR="006C3A5A" w:rsidRPr="009D50DC" w14:paraId="2BAAAD5B"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2F8DA230" w14:textId="77777777" w:rsidR="006C3A5A" w:rsidRPr="009D50DC" w:rsidRDefault="006C3A5A" w:rsidP="00674672">
            <w:pPr>
              <w:rPr>
                <w:rFonts w:ascii="Cambria" w:hAnsi="Cambria" w:cs="Calibri"/>
                <w:color w:val="000000"/>
                <w:sz w:val="22"/>
                <w:szCs w:val="22"/>
              </w:rPr>
            </w:pPr>
            <w:r w:rsidRPr="009D50DC">
              <w:rPr>
                <w:rFonts w:ascii="Cambria" w:hAnsi="Cambria" w:cs="Calibri"/>
                <w:color w:val="000000"/>
                <w:sz w:val="22"/>
                <w:szCs w:val="22"/>
              </w:rPr>
              <w:t>Met (</w:t>
            </w:r>
            <w:r>
              <w:rPr>
                <w:rFonts w:ascii="Cambria" w:hAnsi="Cambria" w:cs="Calibri"/>
                <w:color w:val="000000"/>
                <w:sz w:val="22"/>
                <w:szCs w:val="22"/>
              </w:rPr>
              <w:t>70</w:t>
            </w:r>
            <w:r w:rsidRPr="009D50DC">
              <w:rPr>
                <w:rFonts w:ascii="Cambria" w:hAnsi="Cambria" w:cs="Calibri"/>
                <w:color w:val="000000"/>
                <w:sz w:val="22"/>
                <w:szCs w:val="22"/>
              </w:rPr>
              <w:t>%+)</w:t>
            </w:r>
          </w:p>
        </w:tc>
        <w:tc>
          <w:tcPr>
            <w:tcW w:w="1115" w:type="dxa"/>
            <w:tcBorders>
              <w:top w:val="nil"/>
              <w:left w:val="nil"/>
              <w:bottom w:val="single" w:sz="12" w:space="0" w:color="auto"/>
              <w:right w:val="single" w:sz="12" w:space="0" w:color="auto"/>
            </w:tcBorders>
            <w:vAlign w:val="center"/>
          </w:tcPr>
          <w:p w14:paraId="6793D936"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134</w:t>
            </w:r>
          </w:p>
        </w:tc>
        <w:tc>
          <w:tcPr>
            <w:tcW w:w="1170" w:type="dxa"/>
            <w:tcBorders>
              <w:top w:val="nil"/>
              <w:left w:val="nil"/>
              <w:bottom w:val="single" w:sz="12" w:space="0" w:color="auto"/>
              <w:right w:val="single" w:sz="12" w:space="0" w:color="auto"/>
            </w:tcBorders>
            <w:vAlign w:val="center"/>
          </w:tcPr>
          <w:p w14:paraId="2E00DB4A"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37.2%</w:t>
            </w:r>
          </w:p>
        </w:tc>
        <w:tc>
          <w:tcPr>
            <w:tcW w:w="1395" w:type="dxa"/>
            <w:tcBorders>
              <w:top w:val="nil"/>
              <w:left w:val="nil"/>
              <w:bottom w:val="single" w:sz="12" w:space="0" w:color="auto"/>
              <w:right w:val="single" w:sz="12" w:space="0" w:color="auto"/>
            </w:tcBorders>
            <w:vAlign w:val="center"/>
          </w:tcPr>
          <w:p w14:paraId="71E96438"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129</w:t>
            </w:r>
          </w:p>
        </w:tc>
        <w:tc>
          <w:tcPr>
            <w:tcW w:w="855" w:type="dxa"/>
            <w:tcBorders>
              <w:top w:val="nil"/>
              <w:left w:val="nil"/>
              <w:bottom w:val="single" w:sz="12" w:space="0" w:color="auto"/>
              <w:right w:val="single" w:sz="12" w:space="0" w:color="auto"/>
            </w:tcBorders>
            <w:vAlign w:val="center"/>
          </w:tcPr>
          <w:p w14:paraId="21B6BD58"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25.1%</w:t>
            </w:r>
          </w:p>
        </w:tc>
        <w:tc>
          <w:tcPr>
            <w:tcW w:w="1025" w:type="dxa"/>
            <w:tcBorders>
              <w:top w:val="nil"/>
              <w:left w:val="nil"/>
              <w:bottom w:val="single" w:sz="12" w:space="0" w:color="auto"/>
              <w:right w:val="single" w:sz="12" w:space="0" w:color="auto"/>
            </w:tcBorders>
            <w:vAlign w:val="center"/>
          </w:tcPr>
          <w:p w14:paraId="7A8A9C53"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N/A</w:t>
            </w:r>
          </w:p>
        </w:tc>
        <w:tc>
          <w:tcPr>
            <w:tcW w:w="1220" w:type="dxa"/>
            <w:tcBorders>
              <w:top w:val="nil"/>
              <w:left w:val="nil"/>
              <w:bottom w:val="single" w:sz="12" w:space="0" w:color="auto"/>
              <w:right w:val="single" w:sz="12" w:space="0" w:color="auto"/>
            </w:tcBorders>
            <w:vAlign w:val="center"/>
          </w:tcPr>
          <w:p w14:paraId="329C27AC"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N/A</w:t>
            </w:r>
          </w:p>
        </w:tc>
      </w:tr>
      <w:tr w:rsidR="006C3A5A" w:rsidRPr="009D50DC" w14:paraId="1D495697"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4DC9348E" w14:textId="77777777" w:rsidR="006C3A5A" w:rsidRPr="009D50DC" w:rsidRDefault="006C3A5A" w:rsidP="00674672">
            <w:pPr>
              <w:rPr>
                <w:rFonts w:ascii="Cambria" w:hAnsi="Cambria" w:cs="Calibri"/>
                <w:color w:val="000000"/>
                <w:sz w:val="22"/>
                <w:szCs w:val="22"/>
              </w:rPr>
            </w:pPr>
            <w:r w:rsidRPr="009D50DC">
              <w:rPr>
                <w:rFonts w:ascii="Cambria" w:hAnsi="Cambria" w:cs="Calibri"/>
                <w:color w:val="000000"/>
                <w:sz w:val="22"/>
                <w:szCs w:val="22"/>
              </w:rPr>
              <w:t>Below (&lt;</w:t>
            </w:r>
            <w:r>
              <w:rPr>
                <w:rFonts w:ascii="Cambria" w:hAnsi="Cambria" w:cs="Calibri"/>
                <w:color w:val="000000"/>
                <w:sz w:val="22"/>
                <w:szCs w:val="22"/>
              </w:rPr>
              <w:t>70</w:t>
            </w:r>
            <w:r w:rsidRPr="009D50DC">
              <w:rPr>
                <w:rFonts w:ascii="Cambria" w:hAnsi="Cambria" w:cs="Calibri"/>
                <w:color w:val="000000"/>
                <w:sz w:val="22"/>
                <w:szCs w:val="22"/>
              </w:rPr>
              <w:t>%)</w:t>
            </w:r>
          </w:p>
        </w:tc>
        <w:tc>
          <w:tcPr>
            <w:tcW w:w="1115" w:type="dxa"/>
            <w:tcBorders>
              <w:top w:val="nil"/>
              <w:left w:val="nil"/>
              <w:bottom w:val="single" w:sz="12" w:space="0" w:color="auto"/>
              <w:right w:val="single" w:sz="12" w:space="0" w:color="auto"/>
            </w:tcBorders>
            <w:vAlign w:val="center"/>
          </w:tcPr>
          <w:p w14:paraId="3AF203C7"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184</w:t>
            </w:r>
          </w:p>
        </w:tc>
        <w:tc>
          <w:tcPr>
            <w:tcW w:w="1170" w:type="dxa"/>
            <w:tcBorders>
              <w:top w:val="nil"/>
              <w:left w:val="nil"/>
              <w:bottom w:val="single" w:sz="12" w:space="0" w:color="auto"/>
              <w:right w:val="single" w:sz="12" w:space="0" w:color="auto"/>
            </w:tcBorders>
            <w:vAlign w:val="center"/>
          </w:tcPr>
          <w:p w14:paraId="7187BB1D"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51.1%</w:t>
            </w:r>
          </w:p>
        </w:tc>
        <w:tc>
          <w:tcPr>
            <w:tcW w:w="1395" w:type="dxa"/>
            <w:tcBorders>
              <w:top w:val="nil"/>
              <w:left w:val="nil"/>
              <w:bottom w:val="single" w:sz="12" w:space="0" w:color="auto"/>
              <w:right w:val="single" w:sz="12" w:space="0" w:color="auto"/>
            </w:tcBorders>
            <w:vAlign w:val="center"/>
          </w:tcPr>
          <w:p w14:paraId="7F222EDC"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261</w:t>
            </w:r>
          </w:p>
        </w:tc>
        <w:tc>
          <w:tcPr>
            <w:tcW w:w="855" w:type="dxa"/>
            <w:tcBorders>
              <w:top w:val="nil"/>
              <w:left w:val="nil"/>
              <w:bottom w:val="single" w:sz="12" w:space="0" w:color="auto"/>
              <w:right w:val="single" w:sz="12" w:space="0" w:color="auto"/>
            </w:tcBorders>
            <w:vAlign w:val="center"/>
          </w:tcPr>
          <w:p w14:paraId="5D6C9A57"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50.8%</w:t>
            </w:r>
          </w:p>
        </w:tc>
        <w:tc>
          <w:tcPr>
            <w:tcW w:w="1025" w:type="dxa"/>
            <w:tcBorders>
              <w:top w:val="nil"/>
              <w:left w:val="nil"/>
              <w:bottom w:val="single" w:sz="12" w:space="0" w:color="auto"/>
              <w:right w:val="single" w:sz="12" w:space="0" w:color="auto"/>
            </w:tcBorders>
            <w:vAlign w:val="center"/>
          </w:tcPr>
          <w:p w14:paraId="2A69F584"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N/A</w:t>
            </w:r>
          </w:p>
        </w:tc>
        <w:tc>
          <w:tcPr>
            <w:tcW w:w="1220" w:type="dxa"/>
            <w:tcBorders>
              <w:top w:val="nil"/>
              <w:left w:val="nil"/>
              <w:bottom w:val="single" w:sz="12" w:space="0" w:color="auto"/>
              <w:right w:val="single" w:sz="12" w:space="0" w:color="auto"/>
            </w:tcBorders>
            <w:vAlign w:val="center"/>
          </w:tcPr>
          <w:p w14:paraId="3DFC90BC"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N/A</w:t>
            </w:r>
          </w:p>
        </w:tc>
      </w:tr>
      <w:tr w:rsidR="006C3A5A" w:rsidRPr="000E7A79" w14:paraId="0FC483B1" w14:textId="77777777" w:rsidTr="00674672">
        <w:trPr>
          <w:trHeight w:val="330"/>
        </w:trPr>
        <w:tc>
          <w:tcPr>
            <w:tcW w:w="1840" w:type="dxa"/>
            <w:tcBorders>
              <w:top w:val="nil"/>
              <w:left w:val="nil"/>
              <w:bottom w:val="nil"/>
              <w:right w:val="nil"/>
            </w:tcBorders>
            <w:vAlign w:val="center"/>
            <w:hideMark/>
          </w:tcPr>
          <w:p w14:paraId="218B8D9D" w14:textId="77777777" w:rsidR="006C3A5A" w:rsidRPr="000E7A79" w:rsidRDefault="006C3A5A" w:rsidP="00674672">
            <w:pPr>
              <w:jc w:val="center"/>
              <w:rPr>
                <w:rFonts w:ascii="Cambria" w:hAnsi="Cambria" w:cs="Calibri"/>
                <w:color w:val="000000"/>
                <w:sz w:val="6"/>
                <w:szCs w:val="6"/>
              </w:rPr>
            </w:pPr>
          </w:p>
        </w:tc>
        <w:tc>
          <w:tcPr>
            <w:tcW w:w="1115" w:type="dxa"/>
            <w:tcBorders>
              <w:top w:val="nil"/>
              <w:left w:val="nil"/>
              <w:bottom w:val="nil"/>
              <w:right w:val="nil"/>
            </w:tcBorders>
            <w:vAlign w:val="center"/>
            <w:hideMark/>
          </w:tcPr>
          <w:p w14:paraId="01C480B4" w14:textId="77777777" w:rsidR="006C3A5A" w:rsidRPr="000E7A79" w:rsidRDefault="006C3A5A" w:rsidP="00674672">
            <w:pPr>
              <w:rPr>
                <w:sz w:val="6"/>
                <w:szCs w:val="6"/>
              </w:rPr>
            </w:pPr>
          </w:p>
        </w:tc>
        <w:tc>
          <w:tcPr>
            <w:tcW w:w="1170" w:type="dxa"/>
            <w:tcBorders>
              <w:top w:val="nil"/>
              <w:left w:val="nil"/>
              <w:bottom w:val="nil"/>
              <w:right w:val="nil"/>
            </w:tcBorders>
            <w:vAlign w:val="center"/>
            <w:hideMark/>
          </w:tcPr>
          <w:p w14:paraId="6A8A2380" w14:textId="77777777" w:rsidR="006C3A5A" w:rsidRPr="000E7A79" w:rsidRDefault="006C3A5A" w:rsidP="00674672">
            <w:pPr>
              <w:rPr>
                <w:sz w:val="6"/>
                <w:szCs w:val="6"/>
              </w:rPr>
            </w:pPr>
          </w:p>
        </w:tc>
        <w:tc>
          <w:tcPr>
            <w:tcW w:w="1395" w:type="dxa"/>
            <w:tcBorders>
              <w:top w:val="nil"/>
              <w:left w:val="nil"/>
              <w:bottom w:val="nil"/>
              <w:right w:val="nil"/>
            </w:tcBorders>
            <w:vAlign w:val="center"/>
            <w:hideMark/>
          </w:tcPr>
          <w:p w14:paraId="5080C27D" w14:textId="77777777" w:rsidR="006C3A5A" w:rsidRPr="000E7A79" w:rsidRDefault="006C3A5A" w:rsidP="00674672">
            <w:pPr>
              <w:rPr>
                <w:sz w:val="6"/>
                <w:szCs w:val="6"/>
              </w:rPr>
            </w:pPr>
          </w:p>
        </w:tc>
        <w:tc>
          <w:tcPr>
            <w:tcW w:w="855" w:type="dxa"/>
            <w:tcBorders>
              <w:top w:val="nil"/>
              <w:left w:val="nil"/>
              <w:bottom w:val="nil"/>
              <w:right w:val="nil"/>
            </w:tcBorders>
            <w:vAlign w:val="center"/>
            <w:hideMark/>
          </w:tcPr>
          <w:p w14:paraId="76B20FD8" w14:textId="77777777" w:rsidR="006C3A5A" w:rsidRDefault="006C3A5A" w:rsidP="00674672">
            <w:pPr>
              <w:rPr>
                <w:sz w:val="6"/>
                <w:szCs w:val="6"/>
              </w:rPr>
            </w:pPr>
          </w:p>
          <w:p w14:paraId="2816DAE4" w14:textId="77777777" w:rsidR="006C3A5A" w:rsidRDefault="006C3A5A" w:rsidP="00674672">
            <w:pPr>
              <w:rPr>
                <w:sz w:val="6"/>
                <w:szCs w:val="6"/>
              </w:rPr>
            </w:pPr>
          </w:p>
          <w:p w14:paraId="0FD81567" w14:textId="77777777" w:rsidR="006C3A5A" w:rsidRDefault="006C3A5A" w:rsidP="00674672">
            <w:pPr>
              <w:rPr>
                <w:sz w:val="6"/>
                <w:szCs w:val="6"/>
              </w:rPr>
            </w:pPr>
          </w:p>
          <w:p w14:paraId="6FB9C936" w14:textId="77777777" w:rsidR="006C3A5A" w:rsidRDefault="006C3A5A" w:rsidP="00674672">
            <w:pPr>
              <w:rPr>
                <w:sz w:val="6"/>
                <w:szCs w:val="6"/>
              </w:rPr>
            </w:pPr>
          </w:p>
          <w:p w14:paraId="456910AE" w14:textId="77777777" w:rsidR="006C3A5A" w:rsidRDefault="006C3A5A" w:rsidP="00674672">
            <w:pPr>
              <w:rPr>
                <w:sz w:val="6"/>
                <w:szCs w:val="6"/>
              </w:rPr>
            </w:pPr>
          </w:p>
          <w:p w14:paraId="6AB1CAFC" w14:textId="77777777" w:rsidR="006C3A5A" w:rsidRDefault="006C3A5A" w:rsidP="00674672">
            <w:pPr>
              <w:rPr>
                <w:sz w:val="6"/>
                <w:szCs w:val="6"/>
              </w:rPr>
            </w:pPr>
          </w:p>
          <w:p w14:paraId="41C51557" w14:textId="77777777" w:rsidR="006C3A5A" w:rsidRDefault="006C3A5A" w:rsidP="00674672">
            <w:pPr>
              <w:rPr>
                <w:sz w:val="6"/>
                <w:szCs w:val="6"/>
              </w:rPr>
            </w:pPr>
          </w:p>
          <w:p w14:paraId="40D084BF" w14:textId="77777777" w:rsidR="006C3A5A" w:rsidRDefault="006C3A5A" w:rsidP="00674672">
            <w:pPr>
              <w:rPr>
                <w:sz w:val="6"/>
                <w:szCs w:val="6"/>
              </w:rPr>
            </w:pPr>
          </w:p>
          <w:p w14:paraId="1A815A92" w14:textId="77777777" w:rsidR="006C3A5A" w:rsidRDefault="006C3A5A" w:rsidP="00674672">
            <w:pPr>
              <w:rPr>
                <w:sz w:val="6"/>
                <w:szCs w:val="6"/>
              </w:rPr>
            </w:pPr>
          </w:p>
          <w:p w14:paraId="6F7C5BF1" w14:textId="77777777" w:rsidR="006C3A5A" w:rsidRPr="000E7A79" w:rsidRDefault="006C3A5A" w:rsidP="00674672">
            <w:pPr>
              <w:rPr>
                <w:sz w:val="6"/>
                <w:szCs w:val="6"/>
              </w:rPr>
            </w:pPr>
          </w:p>
        </w:tc>
        <w:tc>
          <w:tcPr>
            <w:tcW w:w="1025" w:type="dxa"/>
            <w:tcBorders>
              <w:top w:val="nil"/>
              <w:left w:val="nil"/>
              <w:bottom w:val="nil"/>
              <w:right w:val="nil"/>
            </w:tcBorders>
            <w:vAlign w:val="center"/>
            <w:hideMark/>
          </w:tcPr>
          <w:p w14:paraId="10E022A4" w14:textId="77777777" w:rsidR="006C3A5A" w:rsidRDefault="006C3A5A" w:rsidP="00674672">
            <w:pPr>
              <w:rPr>
                <w:sz w:val="6"/>
                <w:szCs w:val="6"/>
              </w:rPr>
            </w:pPr>
          </w:p>
          <w:p w14:paraId="019DAB40" w14:textId="77777777" w:rsidR="006C3A5A" w:rsidRDefault="006C3A5A" w:rsidP="00674672">
            <w:pPr>
              <w:rPr>
                <w:sz w:val="6"/>
                <w:szCs w:val="6"/>
              </w:rPr>
            </w:pPr>
          </w:p>
          <w:p w14:paraId="18BF562C" w14:textId="77777777" w:rsidR="006C3A5A" w:rsidRDefault="006C3A5A" w:rsidP="00674672">
            <w:pPr>
              <w:rPr>
                <w:sz w:val="6"/>
                <w:szCs w:val="6"/>
              </w:rPr>
            </w:pPr>
          </w:p>
          <w:p w14:paraId="7F5997FE" w14:textId="77777777" w:rsidR="006C3A5A" w:rsidRDefault="006C3A5A" w:rsidP="00674672">
            <w:pPr>
              <w:rPr>
                <w:sz w:val="6"/>
                <w:szCs w:val="6"/>
              </w:rPr>
            </w:pPr>
          </w:p>
          <w:p w14:paraId="2B28F7F4" w14:textId="77777777" w:rsidR="006C3A5A" w:rsidRDefault="006C3A5A" w:rsidP="00674672">
            <w:pPr>
              <w:rPr>
                <w:sz w:val="6"/>
                <w:szCs w:val="6"/>
              </w:rPr>
            </w:pPr>
          </w:p>
          <w:p w14:paraId="5DBD137F" w14:textId="77777777" w:rsidR="006C3A5A" w:rsidRPr="000E7A79" w:rsidRDefault="006C3A5A" w:rsidP="00674672">
            <w:pPr>
              <w:rPr>
                <w:sz w:val="6"/>
                <w:szCs w:val="6"/>
              </w:rPr>
            </w:pPr>
          </w:p>
        </w:tc>
        <w:tc>
          <w:tcPr>
            <w:tcW w:w="1220" w:type="dxa"/>
            <w:tcBorders>
              <w:top w:val="nil"/>
              <w:left w:val="nil"/>
              <w:bottom w:val="nil"/>
              <w:right w:val="nil"/>
            </w:tcBorders>
            <w:vAlign w:val="center"/>
            <w:hideMark/>
          </w:tcPr>
          <w:p w14:paraId="39A1D065" w14:textId="77777777" w:rsidR="006C3A5A" w:rsidRPr="000E7A79" w:rsidRDefault="006C3A5A" w:rsidP="00674672">
            <w:pPr>
              <w:rPr>
                <w:sz w:val="6"/>
                <w:szCs w:val="6"/>
              </w:rPr>
            </w:pPr>
          </w:p>
        </w:tc>
      </w:tr>
      <w:tr w:rsidR="006C3A5A" w:rsidRPr="009D50DC" w14:paraId="65A66276" w14:textId="77777777" w:rsidTr="00674672">
        <w:trPr>
          <w:trHeight w:val="600"/>
        </w:trPr>
        <w:tc>
          <w:tcPr>
            <w:tcW w:w="1840" w:type="dxa"/>
            <w:tcBorders>
              <w:top w:val="single" w:sz="12" w:space="0" w:color="auto"/>
              <w:left w:val="single" w:sz="12" w:space="0" w:color="auto"/>
              <w:bottom w:val="single" w:sz="12" w:space="0" w:color="auto"/>
              <w:right w:val="single" w:sz="12" w:space="0" w:color="auto"/>
            </w:tcBorders>
            <w:vAlign w:val="center"/>
            <w:hideMark/>
          </w:tcPr>
          <w:p w14:paraId="00FCDE58" w14:textId="77777777" w:rsidR="006C3A5A" w:rsidRPr="009D50DC" w:rsidRDefault="006C3A5A" w:rsidP="00674672">
            <w:pPr>
              <w:rPr>
                <w:rFonts w:ascii="Cambria" w:hAnsi="Cambria" w:cs="Calibri"/>
                <w:b/>
                <w:bCs/>
                <w:color w:val="000000"/>
                <w:sz w:val="22"/>
                <w:szCs w:val="22"/>
              </w:rPr>
            </w:pPr>
            <w:r w:rsidRPr="009D50DC">
              <w:rPr>
                <w:rFonts w:ascii="Cambria" w:hAnsi="Cambria" w:cs="Calibri"/>
                <w:b/>
                <w:bCs/>
                <w:color w:val="000000"/>
                <w:sz w:val="22"/>
                <w:szCs w:val="22"/>
              </w:rPr>
              <w:t>Performance  20</w:t>
            </w:r>
            <w:r>
              <w:rPr>
                <w:rFonts w:ascii="Cambria" w:hAnsi="Cambria" w:cs="Calibri"/>
                <w:b/>
                <w:bCs/>
                <w:color w:val="000000"/>
                <w:sz w:val="22"/>
                <w:szCs w:val="22"/>
              </w:rPr>
              <w:t>23</w:t>
            </w:r>
            <w:r w:rsidRPr="009D50DC">
              <w:rPr>
                <w:rFonts w:ascii="Cambria" w:hAnsi="Cambria" w:cs="Calibri"/>
                <w:b/>
                <w:bCs/>
                <w:color w:val="000000"/>
                <w:sz w:val="22"/>
                <w:szCs w:val="22"/>
              </w:rPr>
              <w:t>-20</w:t>
            </w:r>
            <w:r>
              <w:rPr>
                <w:rFonts w:ascii="Cambria" w:hAnsi="Cambria" w:cs="Calibri"/>
                <w:b/>
                <w:bCs/>
                <w:color w:val="000000"/>
                <w:sz w:val="22"/>
                <w:szCs w:val="22"/>
              </w:rPr>
              <w:t>24</w:t>
            </w:r>
          </w:p>
        </w:tc>
        <w:tc>
          <w:tcPr>
            <w:tcW w:w="2285" w:type="dxa"/>
            <w:gridSpan w:val="2"/>
            <w:tcBorders>
              <w:top w:val="single" w:sz="12" w:space="0" w:color="auto"/>
              <w:left w:val="nil"/>
              <w:bottom w:val="single" w:sz="12" w:space="0" w:color="auto"/>
              <w:right w:val="single" w:sz="12" w:space="0" w:color="auto"/>
            </w:tcBorders>
            <w:hideMark/>
          </w:tcPr>
          <w:p w14:paraId="7FEA7C8E" w14:textId="77777777" w:rsidR="006C3A5A" w:rsidRDefault="006C3A5A" w:rsidP="00674672">
            <w:pPr>
              <w:jc w:val="center"/>
            </w:pPr>
            <w:r>
              <w:t>Face to Face</w:t>
            </w:r>
          </w:p>
          <w:p w14:paraId="61B94254" w14:textId="77777777" w:rsidR="006C3A5A" w:rsidRPr="009D50DC" w:rsidRDefault="006C3A5A" w:rsidP="00674672">
            <w:pPr>
              <w:jc w:val="center"/>
              <w:rPr>
                <w:rFonts w:ascii="Cambria" w:hAnsi="Cambria" w:cs="Calibri"/>
                <w:b/>
                <w:bCs/>
                <w:color w:val="000000"/>
                <w:sz w:val="22"/>
                <w:szCs w:val="22"/>
              </w:rPr>
            </w:pPr>
          </w:p>
        </w:tc>
        <w:tc>
          <w:tcPr>
            <w:tcW w:w="2250" w:type="dxa"/>
            <w:gridSpan w:val="2"/>
            <w:tcBorders>
              <w:top w:val="single" w:sz="12" w:space="0" w:color="auto"/>
              <w:left w:val="nil"/>
              <w:bottom w:val="single" w:sz="12" w:space="0" w:color="auto"/>
              <w:right w:val="single" w:sz="12" w:space="0" w:color="auto"/>
            </w:tcBorders>
            <w:hideMark/>
          </w:tcPr>
          <w:p w14:paraId="1B3287BB" w14:textId="77777777" w:rsidR="006C3A5A" w:rsidRPr="009D50DC" w:rsidRDefault="006C3A5A" w:rsidP="00674672">
            <w:pPr>
              <w:jc w:val="center"/>
              <w:rPr>
                <w:rFonts w:ascii="Cambria" w:hAnsi="Cambria" w:cs="Calibri"/>
                <w:b/>
                <w:bCs/>
                <w:color w:val="000000"/>
                <w:sz w:val="22"/>
                <w:szCs w:val="22"/>
              </w:rPr>
            </w:pPr>
            <w:r>
              <w:t>Hybrid</w:t>
            </w:r>
          </w:p>
        </w:tc>
        <w:tc>
          <w:tcPr>
            <w:tcW w:w="2245" w:type="dxa"/>
            <w:gridSpan w:val="2"/>
            <w:tcBorders>
              <w:top w:val="single" w:sz="12" w:space="0" w:color="auto"/>
              <w:left w:val="nil"/>
              <w:bottom w:val="single" w:sz="12" w:space="0" w:color="auto"/>
              <w:right w:val="single" w:sz="12" w:space="0" w:color="auto"/>
            </w:tcBorders>
            <w:hideMark/>
          </w:tcPr>
          <w:p w14:paraId="7C8DC408" w14:textId="77777777" w:rsidR="006C3A5A" w:rsidRPr="009D50DC" w:rsidRDefault="006C3A5A" w:rsidP="00674672">
            <w:pPr>
              <w:jc w:val="center"/>
              <w:rPr>
                <w:rFonts w:ascii="Cambria" w:hAnsi="Cambria" w:cs="Calibri"/>
                <w:b/>
                <w:bCs/>
                <w:color w:val="000000"/>
                <w:sz w:val="22"/>
                <w:szCs w:val="22"/>
              </w:rPr>
            </w:pPr>
            <w:r>
              <w:t>Fully Online</w:t>
            </w:r>
          </w:p>
        </w:tc>
      </w:tr>
      <w:tr w:rsidR="006C3A5A" w:rsidRPr="009D50DC" w14:paraId="63FD427D"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3B1C36F0" w14:textId="77777777" w:rsidR="006C3A5A" w:rsidRPr="009D50DC" w:rsidRDefault="006C3A5A" w:rsidP="00674672">
            <w:pPr>
              <w:rPr>
                <w:rFonts w:ascii="Cambria" w:hAnsi="Cambria" w:cs="Calibri"/>
                <w:b/>
                <w:bCs/>
                <w:color w:val="000000"/>
                <w:sz w:val="22"/>
                <w:szCs w:val="22"/>
              </w:rPr>
            </w:pPr>
            <w:r w:rsidRPr="009D50DC">
              <w:rPr>
                <w:rFonts w:ascii="Cambria" w:hAnsi="Cambria" w:cs="Calibri"/>
                <w:b/>
                <w:bCs/>
                <w:color w:val="000000"/>
                <w:sz w:val="22"/>
                <w:szCs w:val="22"/>
              </w:rPr>
              <w:t> </w:t>
            </w:r>
          </w:p>
        </w:tc>
        <w:tc>
          <w:tcPr>
            <w:tcW w:w="1115" w:type="dxa"/>
            <w:tcBorders>
              <w:top w:val="nil"/>
              <w:left w:val="nil"/>
              <w:bottom w:val="single" w:sz="12" w:space="0" w:color="auto"/>
              <w:right w:val="single" w:sz="12" w:space="0" w:color="auto"/>
            </w:tcBorders>
            <w:vAlign w:val="center"/>
            <w:hideMark/>
          </w:tcPr>
          <w:p w14:paraId="44746882"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170" w:type="dxa"/>
            <w:tcBorders>
              <w:top w:val="nil"/>
              <w:left w:val="nil"/>
              <w:bottom w:val="single" w:sz="12" w:space="0" w:color="auto"/>
              <w:right w:val="single" w:sz="12" w:space="0" w:color="auto"/>
            </w:tcBorders>
            <w:vAlign w:val="center"/>
            <w:hideMark/>
          </w:tcPr>
          <w:p w14:paraId="40DA1C77"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w:t>
            </w:r>
          </w:p>
        </w:tc>
        <w:tc>
          <w:tcPr>
            <w:tcW w:w="1395" w:type="dxa"/>
            <w:tcBorders>
              <w:top w:val="nil"/>
              <w:left w:val="nil"/>
              <w:bottom w:val="single" w:sz="12" w:space="0" w:color="auto"/>
              <w:right w:val="single" w:sz="12" w:space="0" w:color="auto"/>
            </w:tcBorders>
            <w:vAlign w:val="center"/>
            <w:hideMark/>
          </w:tcPr>
          <w:p w14:paraId="0A82E7E3"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855" w:type="dxa"/>
            <w:tcBorders>
              <w:top w:val="nil"/>
              <w:left w:val="nil"/>
              <w:bottom w:val="single" w:sz="12" w:space="0" w:color="auto"/>
              <w:right w:val="single" w:sz="12" w:space="0" w:color="auto"/>
            </w:tcBorders>
            <w:vAlign w:val="center"/>
            <w:hideMark/>
          </w:tcPr>
          <w:p w14:paraId="5B069D18"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w:t>
            </w:r>
          </w:p>
        </w:tc>
        <w:tc>
          <w:tcPr>
            <w:tcW w:w="1025" w:type="dxa"/>
            <w:tcBorders>
              <w:top w:val="nil"/>
              <w:left w:val="nil"/>
              <w:bottom w:val="single" w:sz="12" w:space="0" w:color="auto"/>
              <w:right w:val="single" w:sz="12" w:space="0" w:color="auto"/>
            </w:tcBorders>
            <w:vAlign w:val="center"/>
            <w:hideMark/>
          </w:tcPr>
          <w:p w14:paraId="27C59350"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220" w:type="dxa"/>
            <w:tcBorders>
              <w:top w:val="nil"/>
              <w:left w:val="nil"/>
              <w:bottom w:val="single" w:sz="12" w:space="0" w:color="auto"/>
              <w:right w:val="single" w:sz="12" w:space="0" w:color="auto"/>
            </w:tcBorders>
            <w:vAlign w:val="center"/>
            <w:hideMark/>
          </w:tcPr>
          <w:p w14:paraId="61B1259F"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w:t>
            </w:r>
          </w:p>
        </w:tc>
      </w:tr>
      <w:tr w:rsidR="006C3A5A" w:rsidRPr="009D50DC" w14:paraId="4168EC70"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05ECADAD" w14:textId="77777777" w:rsidR="006C3A5A" w:rsidRPr="009D50DC" w:rsidRDefault="006C3A5A" w:rsidP="00674672">
            <w:pPr>
              <w:rPr>
                <w:rFonts w:ascii="Cambria" w:hAnsi="Cambria" w:cs="Calibri"/>
                <w:color w:val="000000"/>
                <w:sz w:val="22"/>
                <w:szCs w:val="22"/>
              </w:rPr>
            </w:pPr>
            <w:r w:rsidRPr="009D50DC">
              <w:rPr>
                <w:rFonts w:ascii="Cambria" w:hAnsi="Cambria" w:cs="Calibri"/>
                <w:color w:val="000000"/>
                <w:sz w:val="22"/>
                <w:szCs w:val="22"/>
              </w:rPr>
              <w:t>Exceeded (90%+)</w:t>
            </w:r>
          </w:p>
        </w:tc>
        <w:tc>
          <w:tcPr>
            <w:tcW w:w="1115" w:type="dxa"/>
            <w:tcBorders>
              <w:top w:val="nil"/>
              <w:left w:val="nil"/>
              <w:bottom w:val="single" w:sz="12" w:space="0" w:color="auto"/>
              <w:right w:val="single" w:sz="12" w:space="0" w:color="auto"/>
            </w:tcBorders>
            <w:vAlign w:val="center"/>
            <w:hideMark/>
          </w:tcPr>
          <w:p w14:paraId="63CF676A" w14:textId="77777777" w:rsidR="006C3A5A" w:rsidRPr="009D50DC" w:rsidRDefault="006C3A5A" w:rsidP="00674672">
            <w:pPr>
              <w:jc w:val="center"/>
              <w:rPr>
                <w:rFonts w:ascii="Cambria" w:hAnsi="Cambria" w:cs="Calibri"/>
                <w:color w:val="000000"/>
                <w:sz w:val="22"/>
                <w:szCs w:val="22"/>
              </w:rPr>
            </w:pPr>
            <w:r w:rsidRPr="009D50DC">
              <w:rPr>
                <w:rFonts w:ascii="Cambria" w:hAnsi="Cambria" w:cs="Calibri"/>
                <w:color w:val="000000"/>
                <w:sz w:val="22"/>
                <w:szCs w:val="22"/>
              </w:rPr>
              <w:t> </w:t>
            </w:r>
            <w:r>
              <w:rPr>
                <w:rFonts w:ascii="Cambria" w:hAnsi="Cambria" w:cs="Calibri"/>
                <w:color w:val="000000"/>
                <w:sz w:val="22"/>
                <w:szCs w:val="22"/>
              </w:rPr>
              <w:t>34</w:t>
            </w:r>
          </w:p>
        </w:tc>
        <w:tc>
          <w:tcPr>
            <w:tcW w:w="1170" w:type="dxa"/>
            <w:tcBorders>
              <w:top w:val="nil"/>
              <w:left w:val="nil"/>
              <w:bottom w:val="single" w:sz="12" w:space="0" w:color="auto"/>
              <w:right w:val="single" w:sz="12" w:space="0" w:color="auto"/>
            </w:tcBorders>
            <w:vAlign w:val="center"/>
            <w:hideMark/>
          </w:tcPr>
          <w:p w14:paraId="26BF35BC"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15.4%</w:t>
            </w:r>
          </w:p>
        </w:tc>
        <w:tc>
          <w:tcPr>
            <w:tcW w:w="1395" w:type="dxa"/>
            <w:tcBorders>
              <w:top w:val="nil"/>
              <w:left w:val="nil"/>
              <w:bottom w:val="single" w:sz="12" w:space="0" w:color="auto"/>
              <w:right w:val="single" w:sz="12" w:space="0" w:color="auto"/>
            </w:tcBorders>
            <w:vAlign w:val="center"/>
            <w:hideMark/>
          </w:tcPr>
          <w:p w14:paraId="107D3A2D"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75</w:t>
            </w:r>
          </w:p>
        </w:tc>
        <w:tc>
          <w:tcPr>
            <w:tcW w:w="855" w:type="dxa"/>
            <w:tcBorders>
              <w:top w:val="nil"/>
              <w:left w:val="nil"/>
              <w:bottom w:val="single" w:sz="12" w:space="0" w:color="auto"/>
              <w:right w:val="single" w:sz="12" w:space="0" w:color="auto"/>
            </w:tcBorders>
            <w:vAlign w:val="center"/>
            <w:hideMark/>
          </w:tcPr>
          <w:p w14:paraId="2F2D91C3"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12.4%</w:t>
            </w:r>
          </w:p>
        </w:tc>
        <w:tc>
          <w:tcPr>
            <w:tcW w:w="1025" w:type="dxa"/>
            <w:tcBorders>
              <w:top w:val="nil"/>
              <w:left w:val="nil"/>
              <w:bottom w:val="single" w:sz="12" w:space="0" w:color="auto"/>
              <w:right w:val="single" w:sz="12" w:space="0" w:color="auto"/>
            </w:tcBorders>
            <w:vAlign w:val="center"/>
            <w:hideMark/>
          </w:tcPr>
          <w:p w14:paraId="023DAF46"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37</w:t>
            </w:r>
          </w:p>
        </w:tc>
        <w:tc>
          <w:tcPr>
            <w:tcW w:w="1220" w:type="dxa"/>
            <w:tcBorders>
              <w:top w:val="nil"/>
              <w:left w:val="nil"/>
              <w:bottom w:val="single" w:sz="12" w:space="0" w:color="auto"/>
              <w:right w:val="single" w:sz="12" w:space="0" w:color="auto"/>
            </w:tcBorders>
            <w:vAlign w:val="center"/>
            <w:hideMark/>
          </w:tcPr>
          <w:p w14:paraId="1379C435"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19.4%</w:t>
            </w:r>
          </w:p>
        </w:tc>
      </w:tr>
      <w:tr w:rsidR="006C3A5A" w:rsidRPr="009D50DC" w14:paraId="47C7DAEB"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71436498" w14:textId="77777777" w:rsidR="006C3A5A" w:rsidRPr="009D50DC" w:rsidRDefault="006C3A5A" w:rsidP="00674672">
            <w:pPr>
              <w:rPr>
                <w:rFonts w:ascii="Cambria" w:hAnsi="Cambria" w:cs="Calibri"/>
                <w:color w:val="000000"/>
                <w:sz w:val="22"/>
                <w:szCs w:val="22"/>
              </w:rPr>
            </w:pPr>
            <w:r w:rsidRPr="009D50DC">
              <w:rPr>
                <w:rFonts w:ascii="Cambria" w:hAnsi="Cambria" w:cs="Calibri"/>
                <w:color w:val="000000"/>
                <w:sz w:val="22"/>
                <w:szCs w:val="22"/>
              </w:rPr>
              <w:t>Met (</w:t>
            </w:r>
            <w:r>
              <w:rPr>
                <w:rFonts w:ascii="Cambria" w:hAnsi="Cambria" w:cs="Calibri"/>
                <w:color w:val="000000"/>
                <w:sz w:val="22"/>
                <w:szCs w:val="22"/>
              </w:rPr>
              <w:t>70</w:t>
            </w:r>
            <w:r w:rsidRPr="009D50DC">
              <w:rPr>
                <w:rFonts w:ascii="Cambria" w:hAnsi="Cambria" w:cs="Calibri"/>
                <w:color w:val="000000"/>
                <w:sz w:val="22"/>
                <w:szCs w:val="22"/>
              </w:rPr>
              <w:t>%+)</w:t>
            </w:r>
          </w:p>
        </w:tc>
        <w:tc>
          <w:tcPr>
            <w:tcW w:w="1115" w:type="dxa"/>
            <w:tcBorders>
              <w:top w:val="nil"/>
              <w:left w:val="nil"/>
              <w:bottom w:val="single" w:sz="12" w:space="0" w:color="auto"/>
              <w:right w:val="single" w:sz="12" w:space="0" w:color="auto"/>
            </w:tcBorders>
            <w:vAlign w:val="center"/>
            <w:hideMark/>
          </w:tcPr>
          <w:p w14:paraId="4177083D"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93</w:t>
            </w:r>
            <w:r w:rsidRPr="009D50DC">
              <w:rPr>
                <w:rFonts w:ascii="Cambria" w:hAnsi="Cambria" w:cs="Calibri"/>
                <w:color w:val="000000"/>
                <w:sz w:val="22"/>
                <w:szCs w:val="22"/>
              </w:rPr>
              <w:t> </w:t>
            </w:r>
          </w:p>
        </w:tc>
        <w:tc>
          <w:tcPr>
            <w:tcW w:w="1170" w:type="dxa"/>
            <w:tcBorders>
              <w:top w:val="nil"/>
              <w:left w:val="nil"/>
              <w:bottom w:val="single" w:sz="12" w:space="0" w:color="auto"/>
              <w:right w:val="single" w:sz="12" w:space="0" w:color="auto"/>
            </w:tcBorders>
            <w:vAlign w:val="center"/>
            <w:hideMark/>
          </w:tcPr>
          <w:p w14:paraId="0E83F118"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42.1%</w:t>
            </w:r>
          </w:p>
        </w:tc>
        <w:tc>
          <w:tcPr>
            <w:tcW w:w="1395" w:type="dxa"/>
            <w:tcBorders>
              <w:top w:val="nil"/>
              <w:left w:val="nil"/>
              <w:bottom w:val="single" w:sz="12" w:space="0" w:color="auto"/>
              <w:right w:val="single" w:sz="12" w:space="0" w:color="auto"/>
            </w:tcBorders>
            <w:vAlign w:val="center"/>
            <w:hideMark/>
          </w:tcPr>
          <w:p w14:paraId="76C4CC87"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203</w:t>
            </w:r>
          </w:p>
        </w:tc>
        <w:tc>
          <w:tcPr>
            <w:tcW w:w="855" w:type="dxa"/>
            <w:tcBorders>
              <w:top w:val="nil"/>
              <w:left w:val="nil"/>
              <w:bottom w:val="single" w:sz="12" w:space="0" w:color="auto"/>
              <w:right w:val="single" w:sz="12" w:space="0" w:color="auto"/>
            </w:tcBorders>
            <w:vAlign w:val="center"/>
            <w:hideMark/>
          </w:tcPr>
          <w:p w14:paraId="76E75AB0"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33.6%</w:t>
            </w:r>
          </w:p>
        </w:tc>
        <w:tc>
          <w:tcPr>
            <w:tcW w:w="1025" w:type="dxa"/>
            <w:tcBorders>
              <w:top w:val="nil"/>
              <w:left w:val="nil"/>
              <w:bottom w:val="single" w:sz="12" w:space="0" w:color="auto"/>
              <w:right w:val="single" w:sz="12" w:space="0" w:color="auto"/>
            </w:tcBorders>
            <w:vAlign w:val="center"/>
            <w:hideMark/>
          </w:tcPr>
          <w:p w14:paraId="248F17B0"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93</w:t>
            </w:r>
          </w:p>
        </w:tc>
        <w:tc>
          <w:tcPr>
            <w:tcW w:w="1220" w:type="dxa"/>
            <w:tcBorders>
              <w:top w:val="nil"/>
              <w:left w:val="nil"/>
              <w:bottom w:val="single" w:sz="12" w:space="0" w:color="auto"/>
              <w:right w:val="single" w:sz="12" w:space="0" w:color="auto"/>
            </w:tcBorders>
            <w:vAlign w:val="center"/>
            <w:hideMark/>
          </w:tcPr>
          <w:p w14:paraId="208C7742"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48.7%</w:t>
            </w:r>
          </w:p>
        </w:tc>
      </w:tr>
      <w:tr w:rsidR="006C3A5A" w:rsidRPr="009D50DC" w14:paraId="11E3D86D"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59264F33" w14:textId="77777777" w:rsidR="006C3A5A" w:rsidRPr="009D50DC" w:rsidRDefault="006C3A5A" w:rsidP="00674672">
            <w:pPr>
              <w:rPr>
                <w:rFonts w:ascii="Cambria" w:hAnsi="Cambria" w:cs="Calibri"/>
                <w:color w:val="000000"/>
                <w:sz w:val="22"/>
                <w:szCs w:val="22"/>
              </w:rPr>
            </w:pPr>
            <w:r w:rsidRPr="009D50DC">
              <w:rPr>
                <w:rFonts w:ascii="Cambria" w:hAnsi="Cambria" w:cs="Calibri"/>
                <w:color w:val="000000"/>
                <w:sz w:val="22"/>
                <w:szCs w:val="22"/>
              </w:rPr>
              <w:t>Below (&lt;</w:t>
            </w:r>
            <w:r>
              <w:rPr>
                <w:rFonts w:ascii="Cambria" w:hAnsi="Cambria" w:cs="Calibri"/>
                <w:color w:val="000000"/>
                <w:sz w:val="22"/>
                <w:szCs w:val="22"/>
              </w:rPr>
              <w:t>70</w:t>
            </w:r>
            <w:r w:rsidRPr="009D50DC">
              <w:rPr>
                <w:rFonts w:ascii="Cambria" w:hAnsi="Cambria" w:cs="Calibri"/>
                <w:color w:val="000000"/>
                <w:sz w:val="22"/>
                <w:szCs w:val="22"/>
              </w:rPr>
              <w:t>%)</w:t>
            </w:r>
          </w:p>
        </w:tc>
        <w:tc>
          <w:tcPr>
            <w:tcW w:w="1115" w:type="dxa"/>
            <w:tcBorders>
              <w:top w:val="nil"/>
              <w:left w:val="nil"/>
              <w:bottom w:val="single" w:sz="12" w:space="0" w:color="auto"/>
              <w:right w:val="single" w:sz="12" w:space="0" w:color="auto"/>
            </w:tcBorders>
            <w:vAlign w:val="center"/>
            <w:hideMark/>
          </w:tcPr>
          <w:p w14:paraId="2DB92B99"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94</w:t>
            </w:r>
            <w:r w:rsidRPr="009D50DC">
              <w:rPr>
                <w:rFonts w:ascii="Cambria" w:hAnsi="Cambria" w:cs="Calibri"/>
                <w:color w:val="000000"/>
                <w:sz w:val="22"/>
                <w:szCs w:val="22"/>
              </w:rPr>
              <w:t> </w:t>
            </w:r>
          </w:p>
        </w:tc>
        <w:tc>
          <w:tcPr>
            <w:tcW w:w="1170" w:type="dxa"/>
            <w:tcBorders>
              <w:top w:val="nil"/>
              <w:left w:val="nil"/>
              <w:bottom w:val="single" w:sz="12" w:space="0" w:color="auto"/>
              <w:right w:val="single" w:sz="12" w:space="0" w:color="auto"/>
            </w:tcBorders>
            <w:vAlign w:val="center"/>
            <w:hideMark/>
          </w:tcPr>
          <w:p w14:paraId="33CA5EC8"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42.5%</w:t>
            </w:r>
          </w:p>
        </w:tc>
        <w:tc>
          <w:tcPr>
            <w:tcW w:w="1395" w:type="dxa"/>
            <w:tcBorders>
              <w:top w:val="nil"/>
              <w:left w:val="nil"/>
              <w:bottom w:val="single" w:sz="12" w:space="0" w:color="auto"/>
              <w:right w:val="single" w:sz="12" w:space="0" w:color="auto"/>
            </w:tcBorders>
            <w:vAlign w:val="center"/>
            <w:hideMark/>
          </w:tcPr>
          <w:p w14:paraId="75A2DC18"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327</w:t>
            </w:r>
          </w:p>
        </w:tc>
        <w:tc>
          <w:tcPr>
            <w:tcW w:w="855" w:type="dxa"/>
            <w:tcBorders>
              <w:top w:val="nil"/>
              <w:left w:val="nil"/>
              <w:bottom w:val="single" w:sz="12" w:space="0" w:color="auto"/>
              <w:right w:val="single" w:sz="12" w:space="0" w:color="auto"/>
            </w:tcBorders>
            <w:vAlign w:val="center"/>
            <w:hideMark/>
          </w:tcPr>
          <w:p w14:paraId="03E282D4"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54.1%</w:t>
            </w:r>
          </w:p>
        </w:tc>
        <w:tc>
          <w:tcPr>
            <w:tcW w:w="1025" w:type="dxa"/>
            <w:tcBorders>
              <w:top w:val="nil"/>
              <w:left w:val="nil"/>
              <w:bottom w:val="single" w:sz="12" w:space="0" w:color="auto"/>
              <w:right w:val="single" w:sz="12" w:space="0" w:color="auto"/>
            </w:tcBorders>
            <w:vAlign w:val="center"/>
            <w:hideMark/>
          </w:tcPr>
          <w:p w14:paraId="23C1A71B"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61</w:t>
            </w:r>
          </w:p>
        </w:tc>
        <w:tc>
          <w:tcPr>
            <w:tcW w:w="1220" w:type="dxa"/>
            <w:tcBorders>
              <w:top w:val="nil"/>
              <w:left w:val="nil"/>
              <w:bottom w:val="single" w:sz="12" w:space="0" w:color="auto"/>
              <w:right w:val="single" w:sz="12" w:space="0" w:color="auto"/>
            </w:tcBorders>
            <w:vAlign w:val="center"/>
            <w:hideMark/>
          </w:tcPr>
          <w:p w14:paraId="5734711A"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32.0%</w:t>
            </w:r>
          </w:p>
        </w:tc>
      </w:tr>
      <w:tr w:rsidR="006C3A5A" w:rsidRPr="000E7A79" w14:paraId="16B391A5" w14:textId="77777777" w:rsidTr="00674672">
        <w:trPr>
          <w:trHeight w:val="330"/>
        </w:trPr>
        <w:tc>
          <w:tcPr>
            <w:tcW w:w="1840" w:type="dxa"/>
            <w:tcBorders>
              <w:top w:val="nil"/>
              <w:left w:val="nil"/>
              <w:bottom w:val="nil"/>
              <w:right w:val="nil"/>
            </w:tcBorders>
            <w:vAlign w:val="center"/>
          </w:tcPr>
          <w:p w14:paraId="6CF2893D" w14:textId="77777777" w:rsidR="006C3A5A" w:rsidRPr="000E7A79" w:rsidRDefault="006C3A5A" w:rsidP="00674672">
            <w:pPr>
              <w:jc w:val="center"/>
              <w:rPr>
                <w:rFonts w:ascii="Cambria" w:hAnsi="Cambria" w:cs="Calibri"/>
                <w:color w:val="000000"/>
                <w:sz w:val="4"/>
                <w:szCs w:val="4"/>
              </w:rPr>
            </w:pPr>
          </w:p>
          <w:p w14:paraId="2F87D97B" w14:textId="77777777" w:rsidR="006C3A5A" w:rsidRPr="000E7A79" w:rsidRDefault="006C3A5A" w:rsidP="00674672">
            <w:pPr>
              <w:rPr>
                <w:rFonts w:ascii="Cambria" w:hAnsi="Cambria" w:cs="Calibri"/>
                <w:color w:val="000000"/>
                <w:sz w:val="4"/>
                <w:szCs w:val="4"/>
              </w:rPr>
            </w:pPr>
          </w:p>
        </w:tc>
        <w:tc>
          <w:tcPr>
            <w:tcW w:w="1115" w:type="dxa"/>
            <w:tcBorders>
              <w:top w:val="nil"/>
              <w:left w:val="nil"/>
              <w:bottom w:val="nil"/>
              <w:right w:val="nil"/>
            </w:tcBorders>
            <w:vAlign w:val="center"/>
          </w:tcPr>
          <w:p w14:paraId="09AF01F4" w14:textId="77777777" w:rsidR="006C3A5A" w:rsidRPr="000E7A79" w:rsidRDefault="006C3A5A" w:rsidP="00674672">
            <w:pPr>
              <w:rPr>
                <w:sz w:val="4"/>
                <w:szCs w:val="4"/>
              </w:rPr>
            </w:pPr>
          </w:p>
        </w:tc>
        <w:tc>
          <w:tcPr>
            <w:tcW w:w="1170" w:type="dxa"/>
            <w:tcBorders>
              <w:top w:val="nil"/>
              <w:left w:val="nil"/>
              <w:bottom w:val="nil"/>
              <w:right w:val="nil"/>
            </w:tcBorders>
            <w:vAlign w:val="center"/>
          </w:tcPr>
          <w:p w14:paraId="19EA9EF2" w14:textId="77777777" w:rsidR="006C3A5A" w:rsidRPr="000E7A79" w:rsidRDefault="006C3A5A" w:rsidP="00674672">
            <w:pPr>
              <w:rPr>
                <w:sz w:val="4"/>
                <w:szCs w:val="4"/>
              </w:rPr>
            </w:pPr>
          </w:p>
        </w:tc>
        <w:tc>
          <w:tcPr>
            <w:tcW w:w="1395" w:type="dxa"/>
            <w:tcBorders>
              <w:top w:val="nil"/>
              <w:left w:val="nil"/>
              <w:bottom w:val="nil"/>
              <w:right w:val="nil"/>
            </w:tcBorders>
            <w:vAlign w:val="center"/>
          </w:tcPr>
          <w:p w14:paraId="58E07152" w14:textId="77777777" w:rsidR="006C3A5A" w:rsidRPr="000E7A79" w:rsidRDefault="006C3A5A" w:rsidP="00674672">
            <w:pPr>
              <w:rPr>
                <w:sz w:val="4"/>
                <w:szCs w:val="4"/>
              </w:rPr>
            </w:pPr>
          </w:p>
        </w:tc>
        <w:tc>
          <w:tcPr>
            <w:tcW w:w="855" w:type="dxa"/>
            <w:tcBorders>
              <w:top w:val="nil"/>
              <w:left w:val="nil"/>
              <w:bottom w:val="nil"/>
              <w:right w:val="nil"/>
            </w:tcBorders>
            <w:vAlign w:val="center"/>
          </w:tcPr>
          <w:p w14:paraId="3568349A" w14:textId="77777777" w:rsidR="006C3A5A" w:rsidRPr="000E7A79" w:rsidRDefault="006C3A5A" w:rsidP="00674672">
            <w:pPr>
              <w:rPr>
                <w:sz w:val="4"/>
                <w:szCs w:val="4"/>
              </w:rPr>
            </w:pPr>
          </w:p>
        </w:tc>
        <w:tc>
          <w:tcPr>
            <w:tcW w:w="1025" w:type="dxa"/>
            <w:tcBorders>
              <w:top w:val="nil"/>
              <w:left w:val="nil"/>
              <w:bottom w:val="nil"/>
              <w:right w:val="nil"/>
            </w:tcBorders>
            <w:vAlign w:val="center"/>
          </w:tcPr>
          <w:p w14:paraId="79B6BB4D" w14:textId="77777777" w:rsidR="006C3A5A" w:rsidRPr="000E7A79" w:rsidRDefault="006C3A5A" w:rsidP="00674672">
            <w:pPr>
              <w:rPr>
                <w:sz w:val="4"/>
                <w:szCs w:val="4"/>
              </w:rPr>
            </w:pPr>
          </w:p>
        </w:tc>
        <w:tc>
          <w:tcPr>
            <w:tcW w:w="1220" w:type="dxa"/>
            <w:tcBorders>
              <w:top w:val="nil"/>
              <w:left w:val="nil"/>
              <w:bottom w:val="nil"/>
              <w:right w:val="nil"/>
            </w:tcBorders>
            <w:vAlign w:val="center"/>
          </w:tcPr>
          <w:p w14:paraId="723C847D" w14:textId="77777777" w:rsidR="006C3A5A" w:rsidRPr="000E7A79" w:rsidRDefault="006C3A5A" w:rsidP="00674672">
            <w:pPr>
              <w:rPr>
                <w:sz w:val="4"/>
                <w:szCs w:val="4"/>
              </w:rPr>
            </w:pPr>
          </w:p>
        </w:tc>
      </w:tr>
      <w:tr w:rsidR="006C3A5A" w:rsidRPr="009D50DC" w14:paraId="7AAD9A70" w14:textId="77777777" w:rsidTr="00674672">
        <w:trPr>
          <w:trHeight w:val="600"/>
        </w:trPr>
        <w:tc>
          <w:tcPr>
            <w:tcW w:w="1840" w:type="dxa"/>
            <w:tcBorders>
              <w:top w:val="single" w:sz="12" w:space="0" w:color="auto"/>
              <w:left w:val="single" w:sz="12" w:space="0" w:color="auto"/>
              <w:bottom w:val="single" w:sz="12" w:space="0" w:color="auto"/>
              <w:right w:val="single" w:sz="12" w:space="0" w:color="auto"/>
            </w:tcBorders>
            <w:vAlign w:val="center"/>
            <w:hideMark/>
          </w:tcPr>
          <w:p w14:paraId="01E71F84" w14:textId="77777777" w:rsidR="006C3A5A" w:rsidRPr="009D50DC" w:rsidRDefault="006C3A5A" w:rsidP="00674672">
            <w:pPr>
              <w:rPr>
                <w:rFonts w:ascii="Cambria" w:hAnsi="Cambria" w:cs="Calibri"/>
                <w:b/>
                <w:bCs/>
                <w:color w:val="000000"/>
                <w:sz w:val="22"/>
                <w:szCs w:val="22"/>
              </w:rPr>
            </w:pPr>
            <w:bookmarkStart w:id="2" w:name="_Hlk69371886"/>
            <w:r w:rsidRPr="009D50DC">
              <w:rPr>
                <w:rFonts w:ascii="Cambria" w:hAnsi="Cambria" w:cs="Calibri"/>
                <w:b/>
                <w:bCs/>
                <w:color w:val="000000"/>
                <w:sz w:val="22"/>
                <w:szCs w:val="22"/>
              </w:rPr>
              <w:t>Performance  20</w:t>
            </w:r>
            <w:r>
              <w:rPr>
                <w:rFonts w:ascii="Cambria" w:hAnsi="Cambria" w:cs="Calibri"/>
                <w:b/>
                <w:bCs/>
                <w:color w:val="000000"/>
                <w:sz w:val="22"/>
                <w:szCs w:val="22"/>
              </w:rPr>
              <w:t>22</w:t>
            </w:r>
            <w:r w:rsidRPr="009D50DC">
              <w:rPr>
                <w:rFonts w:ascii="Cambria" w:hAnsi="Cambria" w:cs="Calibri"/>
                <w:b/>
                <w:bCs/>
                <w:color w:val="000000"/>
                <w:sz w:val="22"/>
                <w:szCs w:val="22"/>
              </w:rPr>
              <w:t>-20</w:t>
            </w:r>
            <w:r>
              <w:rPr>
                <w:rFonts w:ascii="Cambria" w:hAnsi="Cambria" w:cs="Calibri"/>
                <w:b/>
                <w:bCs/>
                <w:color w:val="000000"/>
                <w:sz w:val="22"/>
                <w:szCs w:val="22"/>
              </w:rPr>
              <w:t>23</w:t>
            </w:r>
          </w:p>
        </w:tc>
        <w:tc>
          <w:tcPr>
            <w:tcW w:w="2285" w:type="dxa"/>
            <w:gridSpan w:val="2"/>
            <w:tcBorders>
              <w:top w:val="single" w:sz="12" w:space="0" w:color="auto"/>
              <w:left w:val="nil"/>
              <w:bottom w:val="single" w:sz="12" w:space="0" w:color="auto"/>
              <w:right w:val="single" w:sz="12" w:space="0" w:color="auto"/>
            </w:tcBorders>
            <w:hideMark/>
          </w:tcPr>
          <w:p w14:paraId="1AB0C3C0" w14:textId="77777777" w:rsidR="006C3A5A" w:rsidRPr="009D50DC" w:rsidRDefault="006C3A5A" w:rsidP="00674672">
            <w:pPr>
              <w:jc w:val="center"/>
              <w:rPr>
                <w:rFonts w:ascii="Cambria" w:hAnsi="Cambria" w:cs="Calibri"/>
                <w:b/>
                <w:bCs/>
                <w:color w:val="000000"/>
                <w:sz w:val="22"/>
                <w:szCs w:val="22"/>
              </w:rPr>
            </w:pPr>
            <w:r>
              <w:t>Face to Face</w:t>
            </w:r>
          </w:p>
        </w:tc>
        <w:tc>
          <w:tcPr>
            <w:tcW w:w="2250" w:type="dxa"/>
            <w:gridSpan w:val="2"/>
            <w:tcBorders>
              <w:top w:val="single" w:sz="12" w:space="0" w:color="auto"/>
              <w:left w:val="nil"/>
              <w:bottom w:val="single" w:sz="12" w:space="0" w:color="auto"/>
              <w:right w:val="single" w:sz="12" w:space="0" w:color="auto"/>
            </w:tcBorders>
            <w:hideMark/>
          </w:tcPr>
          <w:p w14:paraId="0A526A75" w14:textId="77777777" w:rsidR="006C3A5A" w:rsidRPr="009D50DC" w:rsidRDefault="006C3A5A" w:rsidP="00674672">
            <w:pPr>
              <w:jc w:val="center"/>
              <w:rPr>
                <w:rFonts w:ascii="Cambria" w:hAnsi="Cambria" w:cs="Calibri"/>
                <w:b/>
                <w:bCs/>
                <w:color w:val="000000"/>
                <w:sz w:val="22"/>
                <w:szCs w:val="22"/>
              </w:rPr>
            </w:pPr>
            <w:r>
              <w:t>Hybrid</w:t>
            </w:r>
          </w:p>
        </w:tc>
        <w:tc>
          <w:tcPr>
            <w:tcW w:w="2245" w:type="dxa"/>
            <w:gridSpan w:val="2"/>
            <w:tcBorders>
              <w:top w:val="single" w:sz="12" w:space="0" w:color="auto"/>
              <w:left w:val="nil"/>
              <w:bottom w:val="single" w:sz="12" w:space="0" w:color="auto"/>
              <w:right w:val="single" w:sz="12" w:space="0" w:color="auto"/>
            </w:tcBorders>
            <w:hideMark/>
          </w:tcPr>
          <w:p w14:paraId="16CABC7C" w14:textId="77777777" w:rsidR="006C3A5A" w:rsidRPr="009D50DC" w:rsidRDefault="006C3A5A" w:rsidP="00674672">
            <w:pPr>
              <w:jc w:val="center"/>
              <w:rPr>
                <w:rFonts w:ascii="Cambria" w:hAnsi="Cambria" w:cs="Calibri"/>
                <w:b/>
                <w:bCs/>
                <w:color w:val="000000"/>
                <w:sz w:val="22"/>
                <w:szCs w:val="22"/>
              </w:rPr>
            </w:pPr>
            <w:r>
              <w:t>Fully Online</w:t>
            </w:r>
          </w:p>
        </w:tc>
      </w:tr>
      <w:tr w:rsidR="006C3A5A" w:rsidRPr="009D50DC" w14:paraId="1D8893AE"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710AC022" w14:textId="77777777" w:rsidR="006C3A5A" w:rsidRPr="009D50DC" w:rsidRDefault="006C3A5A" w:rsidP="00674672">
            <w:pPr>
              <w:rPr>
                <w:rFonts w:ascii="Cambria" w:hAnsi="Cambria" w:cs="Calibri"/>
                <w:b/>
                <w:bCs/>
                <w:color w:val="000000"/>
                <w:sz w:val="22"/>
                <w:szCs w:val="22"/>
              </w:rPr>
            </w:pPr>
            <w:r w:rsidRPr="009D50DC">
              <w:rPr>
                <w:rFonts w:ascii="Cambria" w:hAnsi="Cambria" w:cs="Calibri"/>
                <w:b/>
                <w:bCs/>
                <w:color w:val="000000"/>
                <w:sz w:val="22"/>
                <w:szCs w:val="22"/>
              </w:rPr>
              <w:t> </w:t>
            </w:r>
          </w:p>
        </w:tc>
        <w:tc>
          <w:tcPr>
            <w:tcW w:w="1115" w:type="dxa"/>
            <w:tcBorders>
              <w:top w:val="nil"/>
              <w:left w:val="nil"/>
              <w:bottom w:val="single" w:sz="12" w:space="0" w:color="auto"/>
              <w:right w:val="single" w:sz="12" w:space="0" w:color="auto"/>
            </w:tcBorders>
            <w:vAlign w:val="center"/>
            <w:hideMark/>
          </w:tcPr>
          <w:p w14:paraId="4479C586"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170" w:type="dxa"/>
            <w:tcBorders>
              <w:top w:val="nil"/>
              <w:left w:val="nil"/>
              <w:bottom w:val="single" w:sz="12" w:space="0" w:color="auto"/>
              <w:right w:val="single" w:sz="12" w:space="0" w:color="auto"/>
            </w:tcBorders>
            <w:vAlign w:val="center"/>
            <w:hideMark/>
          </w:tcPr>
          <w:p w14:paraId="0E9B722F"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w:t>
            </w:r>
          </w:p>
        </w:tc>
        <w:tc>
          <w:tcPr>
            <w:tcW w:w="1395" w:type="dxa"/>
            <w:tcBorders>
              <w:top w:val="nil"/>
              <w:left w:val="nil"/>
              <w:bottom w:val="single" w:sz="12" w:space="0" w:color="auto"/>
              <w:right w:val="single" w:sz="12" w:space="0" w:color="auto"/>
            </w:tcBorders>
            <w:vAlign w:val="center"/>
            <w:hideMark/>
          </w:tcPr>
          <w:p w14:paraId="7C783A01"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855" w:type="dxa"/>
            <w:tcBorders>
              <w:top w:val="nil"/>
              <w:left w:val="nil"/>
              <w:bottom w:val="single" w:sz="12" w:space="0" w:color="auto"/>
              <w:right w:val="single" w:sz="12" w:space="0" w:color="auto"/>
            </w:tcBorders>
            <w:vAlign w:val="center"/>
            <w:hideMark/>
          </w:tcPr>
          <w:p w14:paraId="2B563CC3"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w:t>
            </w:r>
          </w:p>
        </w:tc>
        <w:tc>
          <w:tcPr>
            <w:tcW w:w="1025" w:type="dxa"/>
            <w:tcBorders>
              <w:top w:val="nil"/>
              <w:left w:val="nil"/>
              <w:bottom w:val="single" w:sz="12" w:space="0" w:color="auto"/>
              <w:right w:val="single" w:sz="12" w:space="0" w:color="auto"/>
            </w:tcBorders>
            <w:vAlign w:val="center"/>
            <w:hideMark/>
          </w:tcPr>
          <w:p w14:paraId="2665DD2F"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220" w:type="dxa"/>
            <w:tcBorders>
              <w:top w:val="nil"/>
              <w:left w:val="nil"/>
              <w:bottom w:val="single" w:sz="12" w:space="0" w:color="auto"/>
              <w:right w:val="single" w:sz="12" w:space="0" w:color="auto"/>
            </w:tcBorders>
            <w:vAlign w:val="center"/>
            <w:hideMark/>
          </w:tcPr>
          <w:p w14:paraId="2CE30D79" w14:textId="77777777" w:rsidR="006C3A5A" w:rsidRPr="009D50DC" w:rsidRDefault="006C3A5A" w:rsidP="00674672">
            <w:pPr>
              <w:jc w:val="center"/>
              <w:rPr>
                <w:rFonts w:ascii="Cambria" w:hAnsi="Cambria" w:cs="Calibri"/>
                <w:b/>
                <w:bCs/>
                <w:color w:val="000000"/>
                <w:sz w:val="22"/>
                <w:szCs w:val="22"/>
              </w:rPr>
            </w:pPr>
            <w:r w:rsidRPr="009D50DC">
              <w:rPr>
                <w:rFonts w:ascii="Cambria" w:hAnsi="Cambria" w:cs="Calibri"/>
                <w:b/>
                <w:bCs/>
                <w:color w:val="000000"/>
                <w:sz w:val="22"/>
                <w:szCs w:val="22"/>
              </w:rPr>
              <w:t>%</w:t>
            </w:r>
          </w:p>
        </w:tc>
      </w:tr>
      <w:tr w:rsidR="006C3A5A" w:rsidRPr="009D50DC" w14:paraId="41E658C0"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1B9640F2" w14:textId="77777777" w:rsidR="006C3A5A" w:rsidRPr="009D50DC" w:rsidRDefault="006C3A5A" w:rsidP="00674672">
            <w:pPr>
              <w:rPr>
                <w:rFonts w:ascii="Cambria" w:hAnsi="Cambria" w:cs="Calibri"/>
                <w:color w:val="000000"/>
                <w:sz w:val="22"/>
                <w:szCs w:val="22"/>
              </w:rPr>
            </w:pPr>
            <w:r w:rsidRPr="009D50DC">
              <w:rPr>
                <w:rFonts w:ascii="Cambria" w:hAnsi="Cambria" w:cs="Calibri"/>
                <w:color w:val="000000"/>
                <w:sz w:val="22"/>
                <w:szCs w:val="22"/>
              </w:rPr>
              <w:t>Exceeded (90%+)</w:t>
            </w:r>
          </w:p>
        </w:tc>
        <w:tc>
          <w:tcPr>
            <w:tcW w:w="1115" w:type="dxa"/>
            <w:tcBorders>
              <w:top w:val="nil"/>
              <w:left w:val="nil"/>
              <w:bottom w:val="single" w:sz="12" w:space="0" w:color="auto"/>
              <w:right w:val="single" w:sz="12" w:space="0" w:color="auto"/>
            </w:tcBorders>
            <w:vAlign w:val="center"/>
            <w:hideMark/>
          </w:tcPr>
          <w:p w14:paraId="6E46495F"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24</w:t>
            </w:r>
            <w:r w:rsidRPr="009D50DC">
              <w:rPr>
                <w:rFonts w:ascii="Cambria" w:hAnsi="Cambria" w:cs="Calibri"/>
                <w:color w:val="000000"/>
                <w:sz w:val="22"/>
                <w:szCs w:val="22"/>
              </w:rPr>
              <w:t> </w:t>
            </w:r>
          </w:p>
        </w:tc>
        <w:tc>
          <w:tcPr>
            <w:tcW w:w="1170" w:type="dxa"/>
            <w:tcBorders>
              <w:top w:val="nil"/>
              <w:left w:val="nil"/>
              <w:bottom w:val="single" w:sz="12" w:space="0" w:color="auto"/>
              <w:right w:val="single" w:sz="12" w:space="0" w:color="auto"/>
            </w:tcBorders>
            <w:vAlign w:val="center"/>
            <w:hideMark/>
          </w:tcPr>
          <w:p w14:paraId="1979A9F7"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16.6%</w:t>
            </w:r>
          </w:p>
        </w:tc>
        <w:tc>
          <w:tcPr>
            <w:tcW w:w="1395" w:type="dxa"/>
            <w:tcBorders>
              <w:top w:val="nil"/>
              <w:left w:val="nil"/>
              <w:bottom w:val="single" w:sz="12" w:space="0" w:color="auto"/>
              <w:right w:val="single" w:sz="12" w:space="0" w:color="auto"/>
            </w:tcBorders>
            <w:vAlign w:val="center"/>
            <w:hideMark/>
          </w:tcPr>
          <w:p w14:paraId="6B7A244C"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92</w:t>
            </w:r>
          </w:p>
        </w:tc>
        <w:tc>
          <w:tcPr>
            <w:tcW w:w="855" w:type="dxa"/>
            <w:tcBorders>
              <w:top w:val="nil"/>
              <w:left w:val="nil"/>
              <w:bottom w:val="single" w:sz="12" w:space="0" w:color="auto"/>
              <w:right w:val="single" w:sz="12" w:space="0" w:color="auto"/>
            </w:tcBorders>
            <w:vAlign w:val="center"/>
            <w:hideMark/>
          </w:tcPr>
          <w:p w14:paraId="47CF60F5"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9.4%</w:t>
            </w:r>
          </w:p>
        </w:tc>
        <w:tc>
          <w:tcPr>
            <w:tcW w:w="1025" w:type="dxa"/>
            <w:tcBorders>
              <w:top w:val="nil"/>
              <w:left w:val="nil"/>
              <w:bottom w:val="single" w:sz="12" w:space="0" w:color="auto"/>
              <w:right w:val="single" w:sz="12" w:space="0" w:color="auto"/>
            </w:tcBorders>
            <w:vAlign w:val="center"/>
            <w:hideMark/>
          </w:tcPr>
          <w:p w14:paraId="79C77FD3"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66</w:t>
            </w:r>
          </w:p>
        </w:tc>
        <w:tc>
          <w:tcPr>
            <w:tcW w:w="1220" w:type="dxa"/>
            <w:tcBorders>
              <w:top w:val="nil"/>
              <w:left w:val="nil"/>
              <w:bottom w:val="single" w:sz="12" w:space="0" w:color="auto"/>
              <w:right w:val="single" w:sz="12" w:space="0" w:color="auto"/>
            </w:tcBorders>
            <w:vAlign w:val="center"/>
            <w:hideMark/>
          </w:tcPr>
          <w:p w14:paraId="757FC646"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19.9%</w:t>
            </w:r>
          </w:p>
        </w:tc>
      </w:tr>
      <w:tr w:rsidR="006C3A5A" w:rsidRPr="009D50DC" w14:paraId="23B49D41"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3CE79830" w14:textId="77777777" w:rsidR="006C3A5A" w:rsidRPr="009D50DC" w:rsidRDefault="006C3A5A" w:rsidP="00674672">
            <w:pPr>
              <w:rPr>
                <w:rFonts w:ascii="Cambria" w:hAnsi="Cambria" w:cs="Calibri"/>
                <w:color w:val="000000"/>
                <w:sz w:val="22"/>
                <w:szCs w:val="22"/>
              </w:rPr>
            </w:pPr>
            <w:r w:rsidRPr="009D50DC">
              <w:rPr>
                <w:rFonts w:ascii="Cambria" w:hAnsi="Cambria" w:cs="Calibri"/>
                <w:color w:val="000000"/>
                <w:sz w:val="22"/>
                <w:szCs w:val="22"/>
              </w:rPr>
              <w:t>Met (</w:t>
            </w:r>
            <w:r>
              <w:rPr>
                <w:rFonts w:ascii="Cambria" w:hAnsi="Cambria" w:cs="Calibri"/>
                <w:color w:val="000000"/>
                <w:sz w:val="22"/>
                <w:szCs w:val="22"/>
              </w:rPr>
              <w:t>70</w:t>
            </w:r>
            <w:r w:rsidRPr="009D50DC">
              <w:rPr>
                <w:rFonts w:ascii="Cambria" w:hAnsi="Cambria" w:cs="Calibri"/>
                <w:color w:val="000000"/>
                <w:sz w:val="22"/>
                <w:szCs w:val="22"/>
              </w:rPr>
              <w:t>%+)</w:t>
            </w:r>
          </w:p>
        </w:tc>
        <w:tc>
          <w:tcPr>
            <w:tcW w:w="1115" w:type="dxa"/>
            <w:tcBorders>
              <w:top w:val="nil"/>
              <w:left w:val="nil"/>
              <w:bottom w:val="single" w:sz="12" w:space="0" w:color="auto"/>
              <w:right w:val="single" w:sz="12" w:space="0" w:color="auto"/>
            </w:tcBorders>
            <w:vAlign w:val="center"/>
            <w:hideMark/>
          </w:tcPr>
          <w:p w14:paraId="1BC64C7F"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58</w:t>
            </w:r>
            <w:r w:rsidRPr="009D50DC">
              <w:rPr>
                <w:rFonts w:ascii="Cambria" w:hAnsi="Cambria" w:cs="Calibri"/>
                <w:color w:val="000000"/>
                <w:sz w:val="22"/>
                <w:szCs w:val="22"/>
              </w:rPr>
              <w:t> </w:t>
            </w:r>
          </w:p>
        </w:tc>
        <w:tc>
          <w:tcPr>
            <w:tcW w:w="1170" w:type="dxa"/>
            <w:tcBorders>
              <w:top w:val="nil"/>
              <w:left w:val="nil"/>
              <w:bottom w:val="single" w:sz="12" w:space="0" w:color="auto"/>
              <w:right w:val="single" w:sz="12" w:space="0" w:color="auto"/>
            </w:tcBorders>
            <w:vAlign w:val="center"/>
            <w:hideMark/>
          </w:tcPr>
          <w:p w14:paraId="21715C8F"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40.0%</w:t>
            </w:r>
          </w:p>
        </w:tc>
        <w:tc>
          <w:tcPr>
            <w:tcW w:w="1395" w:type="dxa"/>
            <w:tcBorders>
              <w:top w:val="nil"/>
              <w:left w:val="nil"/>
              <w:bottom w:val="single" w:sz="12" w:space="0" w:color="auto"/>
              <w:right w:val="single" w:sz="12" w:space="0" w:color="auto"/>
            </w:tcBorders>
            <w:vAlign w:val="center"/>
            <w:hideMark/>
          </w:tcPr>
          <w:p w14:paraId="14F8AB2D"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304</w:t>
            </w:r>
          </w:p>
        </w:tc>
        <w:tc>
          <w:tcPr>
            <w:tcW w:w="855" w:type="dxa"/>
            <w:tcBorders>
              <w:top w:val="nil"/>
              <w:left w:val="nil"/>
              <w:bottom w:val="single" w:sz="12" w:space="0" w:color="auto"/>
              <w:right w:val="single" w:sz="12" w:space="0" w:color="auto"/>
            </w:tcBorders>
            <w:vAlign w:val="center"/>
            <w:hideMark/>
          </w:tcPr>
          <w:p w14:paraId="22CB8CEE"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31.2%</w:t>
            </w:r>
          </w:p>
        </w:tc>
        <w:tc>
          <w:tcPr>
            <w:tcW w:w="1025" w:type="dxa"/>
            <w:tcBorders>
              <w:top w:val="nil"/>
              <w:left w:val="nil"/>
              <w:bottom w:val="single" w:sz="12" w:space="0" w:color="auto"/>
              <w:right w:val="single" w:sz="12" w:space="0" w:color="auto"/>
            </w:tcBorders>
            <w:vAlign w:val="center"/>
            <w:hideMark/>
          </w:tcPr>
          <w:p w14:paraId="75EA470C"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146</w:t>
            </w:r>
          </w:p>
        </w:tc>
        <w:tc>
          <w:tcPr>
            <w:tcW w:w="1220" w:type="dxa"/>
            <w:tcBorders>
              <w:top w:val="nil"/>
              <w:left w:val="nil"/>
              <w:bottom w:val="single" w:sz="12" w:space="0" w:color="auto"/>
              <w:right w:val="single" w:sz="12" w:space="0" w:color="auto"/>
            </w:tcBorders>
            <w:vAlign w:val="center"/>
            <w:hideMark/>
          </w:tcPr>
          <w:p w14:paraId="37B4873A" w14:textId="77777777" w:rsidR="006C3A5A" w:rsidRPr="009D50DC" w:rsidRDefault="006C3A5A" w:rsidP="00674672">
            <w:pPr>
              <w:jc w:val="center"/>
              <w:rPr>
                <w:rFonts w:ascii="Cambria" w:hAnsi="Cambria" w:cs="Calibri"/>
                <w:color w:val="000000"/>
                <w:sz w:val="22"/>
                <w:szCs w:val="22"/>
              </w:rPr>
            </w:pPr>
            <w:r>
              <w:rPr>
                <w:rFonts w:ascii="Cambria" w:hAnsi="Cambria" w:cs="Calibri"/>
                <w:color w:val="000000"/>
                <w:sz w:val="22"/>
                <w:szCs w:val="22"/>
              </w:rPr>
              <w:t>44.1%</w:t>
            </w:r>
          </w:p>
        </w:tc>
      </w:tr>
      <w:tr w:rsidR="006C3A5A" w:rsidRPr="005D1BC6" w14:paraId="6D1D1471" w14:textId="77777777" w:rsidTr="00674672">
        <w:trPr>
          <w:trHeight w:val="330"/>
        </w:trPr>
        <w:tc>
          <w:tcPr>
            <w:tcW w:w="1840" w:type="dxa"/>
            <w:tcBorders>
              <w:top w:val="nil"/>
              <w:left w:val="single" w:sz="12" w:space="0" w:color="auto"/>
              <w:bottom w:val="single" w:sz="12" w:space="0" w:color="auto"/>
              <w:right w:val="single" w:sz="12" w:space="0" w:color="auto"/>
            </w:tcBorders>
            <w:vAlign w:val="center"/>
            <w:hideMark/>
          </w:tcPr>
          <w:p w14:paraId="630190A4" w14:textId="77777777" w:rsidR="006C3A5A" w:rsidRPr="009D50DC" w:rsidRDefault="006C3A5A" w:rsidP="00674672">
            <w:pPr>
              <w:rPr>
                <w:rFonts w:ascii="Cambria" w:hAnsi="Cambria" w:cs="Calibri"/>
                <w:color w:val="FFFFFF" w:themeColor="background1"/>
                <w:sz w:val="22"/>
                <w:szCs w:val="22"/>
              </w:rPr>
            </w:pPr>
            <w:r w:rsidRPr="009D50DC">
              <w:rPr>
                <w:rFonts w:ascii="Cambria" w:hAnsi="Cambria" w:cs="Calibri"/>
                <w:color w:val="000000"/>
                <w:sz w:val="22"/>
                <w:szCs w:val="22"/>
              </w:rPr>
              <w:t>Below (&lt;</w:t>
            </w:r>
            <w:r>
              <w:rPr>
                <w:rFonts w:ascii="Cambria" w:hAnsi="Cambria" w:cs="Calibri"/>
                <w:color w:val="000000"/>
                <w:sz w:val="22"/>
                <w:szCs w:val="22"/>
              </w:rPr>
              <w:t>70</w:t>
            </w:r>
            <w:r w:rsidRPr="009D50DC">
              <w:rPr>
                <w:rFonts w:ascii="Cambria" w:hAnsi="Cambria" w:cs="Calibri"/>
                <w:color w:val="000000"/>
                <w:sz w:val="22"/>
                <w:szCs w:val="22"/>
              </w:rPr>
              <w:t>%)</w:t>
            </w:r>
          </w:p>
        </w:tc>
        <w:tc>
          <w:tcPr>
            <w:tcW w:w="1115" w:type="dxa"/>
            <w:tcBorders>
              <w:top w:val="nil"/>
              <w:left w:val="nil"/>
              <w:bottom w:val="single" w:sz="12" w:space="0" w:color="auto"/>
              <w:right w:val="single" w:sz="12" w:space="0" w:color="auto"/>
            </w:tcBorders>
            <w:vAlign w:val="center"/>
            <w:hideMark/>
          </w:tcPr>
          <w:p w14:paraId="4E16CF1A" w14:textId="77777777" w:rsidR="006C3A5A" w:rsidRPr="005D1BC6" w:rsidRDefault="006C3A5A" w:rsidP="00674672">
            <w:pPr>
              <w:jc w:val="center"/>
              <w:rPr>
                <w:rFonts w:ascii="Cambria" w:hAnsi="Cambria" w:cs="Calibri"/>
                <w:color w:val="000000"/>
                <w:sz w:val="22"/>
                <w:szCs w:val="22"/>
              </w:rPr>
            </w:pPr>
            <w:r w:rsidRPr="005D1BC6">
              <w:rPr>
                <w:rFonts w:ascii="Cambria" w:hAnsi="Cambria" w:cs="Calibri"/>
                <w:color w:val="000000"/>
                <w:sz w:val="22"/>
                <w:szCs w:val="22"/>
              </w:rPr>
              <w:t> </w:t>
            </w:r>
            <w:r>
              <w:rPr>
                <w:rFonts w:ascii="Cambria" w:hAnsi="Cambria" w:cs="Calibri"/>
                <w:color w:val="000000"/>
                <w:sz w:val="22"/>
                <w:szCs w:val="22"/>
              </w:rPr>
              <w:t>63</w:t>
            </w:r>
          </w:p>
        </w:tc>
        <w:tc>
          <w:tcPr>
            <w:tcW w:w="1170" w:type="dxa"/>
            <w:tcBorders>
              <w:top w:val="nil"/>
              <w:left w:val="nil"/>
              <w:bottom w:val="single" w:sz="12" w:space="0" w:color="auto"/>
              <w:right w:val="single" w:sz="12" w:space="0" w:color="auto"/>
            </w:tcBorders>
            <w:vAlign w:val="center"/>
          </w:tcPr>
          <w:p w14:paraId="5C13E505" w14:textId="77777777" w:rsidR="006C3A5A" w:rsidRPr="005D1BC6" w:rsidRDefault="006C3A5A" w:rsidP="00674672">
            <w:pPr>
              <w:jc w:val="center"/>
              <w:rPr>
                <w:rFonts w:ascii="Cambria" w:hAnsi="Cambria" w:cs="Calibri"/>
                <w:color w:val="000000"/>
                <w:sz w:val="22"/>
                <w:szCs w:val="22"/>
              </w:rPr>
            </w:pPr>
            <w:r>
              <w:rPr>
                <w:rFonts w:ascii="Cambria" w:hAnsi="Cambria" w:cs="Calibri"/>
                <w:color w:val="000000"/>
                <w:sz w:val="22"/>
                <w:szCs w:val="22"/>
              </w:rPr>
              <w:t>43.5%</w:t>
            </w:r>
          </w:p>
        </w:tc>
        <w:tc>
          <w:tcPr>
            <w:tcW w:w="1395" w:type="dxa"/>
            <w:tcBorders>
              <w:top w:val="nil"/>
              <w:left w:val="nil"/>
              <w:bottom w:val="single" w:sz="12" w:space="0" w:color="auto"/>
              <w:right w:val="single" w:sz="12" w:space="0" w:color="auto"/>
            </w:tcBorders>
            <w:vAlign w:val="center"/>
          </w:tcPr>
          <w:p w14:paraId="0245E316" w14:textId="77777777" w:rsidR="006C3A5A" w:rsidRPr="005D1BC6" w:rsidRDefault="006C3A5A" w:rsidP="00674672">
            <w:pPr>
              <w:jc w:val="center"/>
              <w:rPr>
                <w:rFonts w:ascii="Cambria" w:hAnsi="Cambria" w:cs="Calibri"/>
                <w:color w:val="000000"/>
                <w:sz w:val="22"/>
                <w:szCs w:val="22"/>
              </w:rPr>
            </w:pPr>
            <w:r>
              <w:rPr>
                <w:rFonts w:ascii="Cambria" w:hAnsi="Cambria" w:cs="Calibri"/>
                <w:color w:val="000000"/>
                <w:sz w:val="22"/>
                <w:szCs w:val="22"/>
              </w:rPr>
              <w:t>580</w:t>
            </w:r>
          </w:p>
        </w:tc>
        <w:tc>
          <w:tcPr>
            <w:tcW w:w="855" w:type="dxa"/>
            <w:tcBorders>
              <w:top w:val="nil"/>
              <w:left w:val="nil"/>
              <w:bottom w:val="single" w:sz="12" w:space="0" w:color="auto"/>
              <w:right w:val="single" w:sz="12" w:space="0" w:color="auto"/>
            </w:tcBorders>
            <w:vAlign w:val="center"/>
          </w:tcPr>
          <w:p w14:paraId="4E25768B" w14:textId="77777777" w:rsidR="006C3A5A" w:rsidRPr="005D1BC6" w:rsidRDefault="006C3A5A" w:rsidP="00674672">
            <w:pPr>
              <w:jc w:val="center"/>
              <w:rPr>
                <w:rFonts w:ascii="Cambria" w:hAnsi="Cambria" w:cs="Calibri"/>
                <w:color w:val="000000"/>
                <w:sz w:val="22"/>
                <w:szCs w:val="22"/>
              </w:rPr>
            </w:pPr>
            <w:r>
              <w:rPr>
                <w:rFonts w:ascii="Cambria" w:hAnsi="Cambria" w:cs="Calibri"/>
                <w:color w:val="000000"/>
                <w:sz w:val="22"/>
                <w:szCs w:val="22"/>
              </w:rPr>
              <w:t>59.4%</w:t>
            </w:r>
          </w:p>
        </w:tc>
        <w:tc>
          <w:tcPr>
            <w:tcW w:w="1025" w:type="dxa"/>
            <w:tcBorders>
              <w:top w:val="nil"/>
              <w:left w:val="nil"/>
              <w:bottom w:val="single" w:sz="12" w:space="0" w:color="auto"/>
              <w:right w:val="single" w:sz="12" w:space="0" w:color="auto"/>
            </w:tcBorders>
            <w:vAlign w:val="center"/>
          </w:tcPr>
          <w:p w14:paraId="0E418B24" w14:textId="77777777" w:rsidR="006C3A5A" w:rsidRPr="005D1BC6" w:rsidRDefault="006C3A5A" w:rsidP="00674672">
            <w:pPr>
              <w:jc w:val="center"/>
              <w:rPr>
                <w:rFonts w:ascii="Cambria" w:hAnsi="Cambria" w:cs="Calibri"/>
                <w:color w:val="000000"/>
                <w:sz w:val="22"/>
                <w:szCs w:val="22"/>
              </w:rPr>
            </w:pPr>
            <w:r>
              <w:rPr>
                <w:rFonts w:ascii="Cambria" w:hAnsi="Cambria" w:cs="Calibri"/>
                <w:color w:val="000000"/>
                <w:sz w:val="22"/>
                <w:szCs w:val="22"/>
              </w:rPr>
              <w:t>119</w:t>
            </w:r>
          </w:p>
        </w:tc>
        <w:tc>
          <w:tcPr>
            <w:tcW w:w="1220" w:type="dxa"/>
            <w:tcBorders>
              <w:top w:val="nil"/>
              <w:left w:val="nil"/>
              <w:bottom w:val="single" w:sz="12" w:space="0" w:color="auto"/>
              <w:right w:val="single" w:sz="12" w:space="0" w:color="auto"/>
            </w:tcBorders>
            <w:vAlign w:val="center"/>
          </w:tcPr>
          <w:p w14:paraId="0383A9FE" w14:textId="77777777" w:rsidR="006C3A5A" w:rsidRPr="005D1BC6" w:rsidRDefault="006C3A5A" w:rsidP="00674672">
            <w:pPr>
              <w:jc w:val="center"/>
              <w:rPr>
                <w:rFonts w:ascii="Cambria" w:hAnsi="Cambria" w:cs="Calibri"/>
                <w:color w:val="000000"/>
                <w:sz w:val="22"/>
                <w:szCs w:val="22"/>
              </w:rPr>
            </w:pPr>
            <w:r>
              <w:rPr>
                <w:rFonts w:ascii="Cambria" w:hAnsi="Cambria" w:cs="Calibri"/>
                <w:color w:val="000000"/>
                <w:sz w:val="22"/>
                <w:szCs w:val="22"/>
              </w:rPr>
              <w:t>35.0%</w:t>
            </w:r>
          </w:p>
        </w:tc>
      </w:tr>
      <w:bookmarkEnd w:id="2"/>
    </w:tbl>
    <w:p w14:paraId="0FA62279"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u w:val="single"/>
        </w:rPr>
      </w:pPr>
    </w:p>
    <w:p w14:paraId="73853354"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sz w:val="22"/>
          <w:szCs w:val="22"/>
          <w:u w:val="single"/>
        </w:rPr>
      </w:pPr>
      <w:r w:rsidRPr="00DE791B">
        <w:rPr>
          <w:rFonts w:asciiTheme="majorHAnsi" w:hAnsiTheme="majorHAnsi"/>
          <w:b/>
          <w:color w:val="000000"/>
          <w:sz w:val="22"/>
          <w:szCs w:val="22"/>
          <w:u w:val="single"/>
        </w:rPr>
        <w:t>Instructor Observations</w:t>
      </w:r>
    </w:p>
    <w:p w14:paraId="580F0045"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color w:val="000000"/>
          <w:sz w:val="22"/>
          <w:szCs w:val="22"/>
          <w:u w:val="single"/>
        </w:rPr>
      </w:pPr>
      <w:r w:rsidRPr="00DE791B">
        <w:rPr>
          <w:rFonts w:asciiTheme="majorHAnsi" w:hAnsiTheme="majorHAnsi"/>
          <w:bCs/>
          <w:color w:val="000000"/>
          <w:sz w:val="22"/>
          <w:szCs w:val="22"/>
          <w:u w:val="single"/>
        </w:rPr>
        <w:t>Current Assessment Period</w:t>
      </w:r>
    </w:p>
    <w:p w14:paraId="528A407D"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color w:val="000000"/>
          <w:sz w:val="22"/>
          <w:szCs w:val="22"/>
          <w:u w:val="single"/>
        </w:rPr>
      </w:pPr>
    </w:p>
    <w:p w14:paraId="1CD8EB0E"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2"/>
          <w:szCs w:val="22"/>
        </w:rPr>
        <w:t>Unfortunately, once again the goal of 70% meeting or exceeding expectations was not met.  It was not met under any class format.  One positive is that the results show improvement year over year, with the proportion of students not meeting expectations decreasing each year.  While the fully online sections still show the strongest performance, the face-to-face sections strongly exceed the performance of the hybrid sections, except for the most recent year.  However, even for the face-to-face sections over 40% fail to meet expectations.</w:t>
      </w:r>
    </w:p>
    <w:p w14:paraId="508290DB"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 w:val="22"/>
          <w:szCs w:val="22"/>
          <w:u w:val="single"/>
        </w:rPr>
      </w:pPr>
      <w:r w:rsidRPr="00DE791B">
        <w:rPr>
          <w:color w:val="000000"/>
          <w:sz w:val="22"/>
          <w:szCs w:val="22"/>
          <w:u w:val="single"/>
        </w:rPr>
        <w:lastRenderedPageBreak/>
        <w:t>Compared to Previous</w:t>
      </w:r>
      <w:r w:rsidRPr="00DE791B">
        <w:rPr>
          <w:rFonts w:asciiTheme="majorHAnsi" w:hAnsiTheme="majorHAnsi"/>
          <w:color w:val="000000"/>
          <w:sz w:val="22"/>
          <w:szCs w:val="22"/>
          <w:u w:val="single"/>
        </w:rPr>
        <w:t xml:space="preserve"> Assessment Period</w:t>
      </w:r>
    </w:p>
    <w:p w14:paraId="3BFBF853"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4C726F07"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2"/>
          <w:szCs w:val="22"/>
        </w:rPr>
        <w:t>The results for hybrid classes improved somewhat over the previous period, while those for fully online actually got worse.  In the previous period online students did achieve the goal of 70% meeting or exceeding expectations, which did not happen this time.</w:t>
      </w:r>
    </w:p>
    <w:p w14:paraId="5D1A4871"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2"/>
          <w:szCs w:val="22"/>
        </w:rPr>
        <w:t>The results for face-to-face sections improved over the previous period, excluding the most recent year.  The slight improvement makes it difficult to discern whether focusing on more applications was a determining factor.</w:t>
      </w:r>
    </w:p>
    <w:p w14:paraId="5459FC47"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1B3018D8"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highlight w:val="cyan"/>
        </w:rPr>
      </w:pPr>
    </w:p>
    <w:p w14:paraId="1F35E346"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color w:val="000000"/>
          <w:sz w:val="22"/>
          <w:szCs w:val="22"/>
          <w:u w:val="single"/>
        </w:rPr>
      </w:pPr>
      <w:r w:rsidRPr="00DE791B">
        <w:rPr>
          <w:rFonts w:asciiTheme="majorHAnsi" w:hAnsiTheme="majorHAnsi"/>
          <w:bCs/>
          <w:color w:val="000000"/>
          <w:sz w:val="22"/>
          <w:szCs w:val="22"/>
          <w:u w:val="single"/>
        </w:rPr>
        <w:t>Instructor Recommendations for Next Academic Year</w:t>
      </w:r>
    </w:p>
    <w:p w14:paraId="715CAEDF" w14:textId="77777777" w:rsidR="006C3A5A" w:rsidRPr="00DE791B"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sz w:val="22"/>
          <w:szCs w:val="22"/>
          <w:u w:val="single"/>
        </w:rPr>
      </w:pPr>
    </w:p>
    <w:p w14:paraId="0BAD94EE"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Pr>
          <w:bCs/>
          <w:sz w:val="22"/>
          <w:szCs w:val="22"/>
        </w:rPr>
        <w:t xml:space="preserve">One major change will be a move away from hybrid to more face-to-face sections.  For the fall, eight sections will be face to face with only two sections using the hybrid structure.  During the previous fall that ratio was five hybrid sections and two face-to-face sections.  The increased number of sections has also resulted in smaller class sizes.  Although the assessment performance between the two delivery modes is not grossly different, the faculty overall feel that the students are not as engaged using the hybrid structure and do not seem to retain the material as well.  That same rationale applies to larger sections.  The spring semester will have a similar arrangement.  </w:t>
      </w:r>
    </w:p>
    <w:p w14:paraId="1D3721F0"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671DC5DB"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Pr>
          <w:bCs/>
          <w:sz w:val="22"/>
          <w:szCs w:val="22"/>
        </w:rPr>
        <w:t>Although the assessment performance of the face-to-face sections was lower during the most recent year than in the previous two, part of that may be due to the fact that only new faculty taught face-to-face this past year.  As it was the first time those faculty members had taught the course and their first exposure to our students, the faculty expect their comfort with the course to improve by teaching it again.  In addition two of the more seasoned faculty that have been teaching hybrid will be switching back to the face-to-face structure.</w:t>
      </w:r>
    </w:p>
    <w:p w14:paraId="7C3C624F"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3394654A"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Pr>
          <w:bCs/>
          <w:sz w:val="22"/>
          <w:szCs w:val="22"/>
        </w:rPr>
        <w:t>Several of the faculty teaching 3312 will be incorporating an excel simulator available from McGraw-Hill to provide more opportunities for application of financial concepts.  While it won’t be an integral part of the class it will be done for credit.  In addition to simply exposing the students to greater use of excel, it is hoped that by utilizing financial functions in more “realistic” settings the relevance of financial concepts to other projects students will be more interested in the topics.</w:t>
      </w:r>
    </w:p>
    <w:p w14:paraId="5EFE93A2"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6772A031"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Pr>
          <w:bCs/>
          <w:sz w:val="22"/>
          <w:szCs w:val="22"/>
        </w:rPr>
        <w:t>Finally, the course will provide greater emphasis early in the semester on the time value of money, which is a core concept in finance and a vital tool for later topics.</w:t>
      </w:r>
    </w:p>
    <w:p w14:paraId="337858AF" w14:textId="77777777" w:rsidR="006C3A5A" w:rsidRDefault="006C3A5A" w:rsidP="006C3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58EDE521" w14:textId="77777777" w:rsidR="00D164C4" w:rsidRDefault="00D164C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63DE8B5A" w14:textId="72C00A08" w:rsidR="00D164C4" w:rsidRDefault="00D164C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C95968">
        <w:rPr>
          <w:b/>
          <w:bCs/>
          <w:sz w:val="22"/>
          <w:szCs w:val="22"/>
          <w:u w:val="single"/>
        </w:rPr>
        <w:t>Faculty Responsible for Reporting on Progress</w:t>
      </w:r>
      <w:r w:rsidRPr="00C95968">
        <w:rPr>
          <w:b/>
          <w:bCs/>
          <w:sz w:val="22"/>
          <w:szCs w:val="22"/>
        </w:rPr>
        <w:t xml:space="preserve">:  </w:t>
      </w:r>
      <w:r w:rsidR="006C3A5A">
        <w:rPr>
          <w:b/>
          <w:bCs/>
          <w:sz w:val="22"/>
          <w:szCs w:val="22"/>
        </w:rPr>
        <w:t>Dr. Vance Lessig</w:t>
      </w:r>
    </w:p>
    <w:p w14:paraId="70ACFF86" w14:textId="77777777" w:rsidR="004E0D14" w:rsidRDefault="004E0D1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2461C684" w14:textId="77777777" w:rsidR="006C3A5A" w:rsidRDefault="006C3A5A"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4C70D6D2" w14:textId="77777777" w:rsidR="004E0D14" w:rsidRDefault="004E0D1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3617A2F3" w14:textId="77777777" w:rsidR="004E0D14" w:rsidRPr="00C95968" w:rsidRDefault="004E0D14" w:rsidP="004E0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C95968">
        <w:rPr>
          <w:b/>
          <w:bCs/>
          <w:sz w:val="22"/>
          <w:szCs w:val="22"/>
        </w:rPr>
        <w:t>Joint Assurance of Learning and Undergraduate Curriculum Committee Review</w:t>
      </w:r>
    </w:p>
    <w:p w14:paraId="43D32469" w14:textId="77777777" w:rsidR="004E0D14" w:rsidRPr="00C95968" w:rsidRDefault="004E0D14" w:rsidP="004E0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1628ABB6" w14:textId="0A7E0375" w:rsidR="004E0D14" w:rsidRDefault="004E0D14" w:rsidP="004E0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bookmarkStart w:id="3" w:name="_Hlk208227710"/>
      <w:r w:rsidRPr="00C95968">
        <w:rPr>
          <w:bCs/>
          <w:sz w:val="22"/>
          <w:szCs w:val="22"/>
        </w:rPr>
        <w:t xml:space="preserve">On August </w:t>
      </w:r>
      <w:r w:rsidR="00AC4C89">
        <w:rPr>
          <w:bCs/>
          <w:sz w:val="22"/>
          <w:szCs w:val="22"/>
        </w:rPr>
        <w:t>29</w:t>
      </w:r>
      <w:r w:rsidRPr="00C95968">
        <w:rPr>
          <w:bCs/>
          <w:sz w:val="22"/>
          <w:szCs w:val="22"/>
          <w:vertAlign w:val="superscript"/>
        </w:rPr>
        <w:t>th</w:t>
      </w:r>
      <w:r w:rsidRPr="00C95968">
        <w:rPr>
          <w:bCs/>
          <w:sz w:val="22"/>
          <w:szCs w:val="22"/>
        </w:rPr>
        <w:t xml:space="preserve">, the Assurance of Learning Committee and the Undergraduate Curriculum committee held a joint meeting to review the assurance of learning results for the Core Competency on </w:t>
      </w:r>
      <w:r w:rsidR="009D32C3">
        <w:rPr>
          <w:bCs/>
          <w:sz w:val="22"/>
          <w:szCs w:val="22"/>
        </w:rPr>
        <w:t>Analytical Thinking</w:t>
      </w:r>
      <w:r w:rsidRPr="00C95968">
        <w:rPr>
          <w:bCs/>
          <w:sz w:val="22"/>
          <w:szCs w:val="22"/>
        </w:rPr>
        <w:t xml:space="preserve">.  The assessment results were reported to the joint committee members along with recommended curriculum changes from </w:t>
      </w:r>
      <w:r w:rsidR="009D32C3">
        <w:rPr>
          <w:bCs/>
          <w:sz w:val="22"/>
          <w:szCs w:val="22"/>
        </w:rPr>
        <w:t xml:space="preserve">the </w:t>
      </w:r>
      <w:r w:rsidRPr="00C95968">
        <w:rPr>
          <w:bCs/>
          <w:sz w:val="22"/>
          <w:szCs w:val="22"/>
        </w:rPr>
        <w:t xml:space="preserve">associated core course coordinators to improve student success.  </w:t>
      </w:r>
      <w:r>
        <w:rPr>
          <w:bCs/>
          <w:sz w:val="22"/>
          <w:szCs w:val="22"/>
        </w:rPr>
        <w:t>T</w:t>
      </w:r>
      <w:r w:rsidRPr="00C95968">
        <w:rPr>
          <w:bCs/>
          <w:sz w:val="22"/>
          <w:szCs w:val="22"/>
        </w:rPr>
        <w:t xml:space="preserve">he joint committee </w:t>
      </w:r>
      <w:r>
        <w:rPr>
          <w:bCs/>
          <w:sz w:val="22"/>
          <w:szCs w:val="22"/>
        </w:rPr>
        <w:t>then discusse</w:t>
      </w:r>
      <w:r w:rsidR="009D32C3">
        <w:rPr>
          <w:bCs/>
          <w:sz w:val="22"/>
          <w:szCs w:val="22"/>
        </w:rPr>
        <w:t>d</w:t>
      </w:r>
      <w:r>
        <w:rPr>
          <w:bCs/>
          <w:sz w:val="22"/>
          <w:szCs w:val="22"/>
        </w:rPr>
        <w:t xml:space="preserve"> the recommended changes </w:t>
      </w:r>
      <w:r w:rsidR="009D32C3">
        <w:rPr>
          <w:bCs/>
          <w:sz w:val="22"/>
          <w:szCs w:val="22"/>
        </w:rPr>
        <w:t xml:space="preserve">proposed by </w:t>
      </w:r>
      <w:r>
        <w:rPr>
          <w:bCs/>
          <w:sz w:val="22"/>
          <w:szCs w:val="22"/>
        </w:rPr>
        <w:t>the course coordinators and then discusse</w:t>
      </w:r>
      <w:r w:rsidR="009D32C3">
        <w:rPr>
          <w:bCs/>
          <w:sz w:val="22"/>
          <w:szCs w:val="22"/>
        </w:rPr>
        <w:t>d</w:t>
      </w:r>
      <w:r>
        <w:rPr>
          <w:bCs/>
          <w:sz w:val="22"/>
          <w:szCs w:val="22"/>
        </w:rPr>
        <w:t xml:space="preserve"> potential programmatic changes.</w:t>
      </w:r>
      <w:r w:rsidR="009D32C3">
        <w:rPr>
          <w:bCs/>
          <w:sz w:val="22"/>
          <w:szCs w:val="22"/>
        </w:rPr>
        <w:t xml:space="preserve">  </w:t>
      </w:r>
    </w:p>
    <w:p w14:paraId="4F6C9158" w14:textId="77777777" w:rsidR="009D32C3" w:rsidRDefault="009D32C3" w:rsidP="004E0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0495259D" w14:textId="5158C380" w:rsidR="009D32C3" w:rsidRDefault="009D32C3" w:rsidP="004E0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Pr>
          <w:bCs/>
          <w:sz w:val="22"/>
          <w:szCs w:val="22"/>
        </w:rPr>
        <w:t xml:space="preserve">It was identified that the Undergraduate Curriculum Committee will be undertaking a comprehensive </w:t>
      </w:r>
      <w:r>
        <w:rPr>
          <w:bCs/>
          <w:sz w:val="22"/>
          <w:szCs w:val="22"/>
        </w:rPr>
        <w:lastRenderedPageBreak/>
        <w:t>review of the BBA core curriculum including the integration of Artificial Intelligence, Supply Chain Management, and other potential changes to the composition and content coverage of the core.   Additionally it was stated that depending on the implemented changes evolving from the review, the core competencies may change.</w:t>
      </w:r>
    </w:p>
    <w:p w14:paraId="09C36D22" w14:textId="77777777" w:rsidR="009D32C3" w:rsidRDefault="009D32C3" w:rsidP="004E0D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092A47F8" w14:textId="61A01217" w:rsidR="004E0D14" w:rsidRDefault="004E0D14"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Pr>
          <w:bCs/>
          <w:sz w:val="22"/>
          <w:szCs w:val="22"/>
        </w:rPr>
        <w:t>Results:</w:t>
      </w:r>
      <w:r w:rsidR="009D32C3">
        <w:rPr>
          <w:bCs/>
          <w:sz w:val="22"/>
          <w:szCs w:val="22"/>
        </w:rPr>
        <w:t xml:space="preserve">  Based on a discussion of the course coordinator proposals in conjunction with the proposed core curriculum review, it was decided that it would be best to maintain the status quo of the program structure and integrate any potential programmatic changes into he curriculum review process.</w:t>
      </w:r>
    </w:p>
    <w:bookmarkEnd w:id="3"/>
    <w:p w14:paraId="0B8DCB51" w14:textId="77777777" w:rsidR="009D32C3" w:rsidRDefault="009D32C3"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sectPr w:rsidR="009D32C3" w:rsidSect="000E1F10">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C576" w14:textId="77777777" w:rsidR="003F48C4" w:rsidRDefault="003F48C4" w:rsidP="001011AE">
      <w:r>
        <w:separator/>
      </w:r>
    </w:p>
  </w:endnote>
  <w:endnote w:type="continuationSeparator" w:id="0">
    <w:p w14:paraId="18DD8F2B" w14:textId="77777777" w:rsidR="003F48C4" w:rsidRDefault="003F48C4" w:rsidP="0010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ĝ蔀ᔹ怀"/>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764B" w14:textId="77777777" w:rsidR="00AC4C89" w:rsidRDefault="00AC4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799980"/>
      <w:docPartObj>
        <w:docPartGallery w:val="Page Numbers (Bottom of Page)"/>
        <w:docPartUnique/>
      </w:docPartObj>
    </w:sdtPr>
    <w:sdtEndPr>
      <w:rPr>
        <w:noProof/>
      </w:rPr>
    </w:sdtEndPr>
    <w:sdtContent>
      <w:p w14:paraId="5A3B263A" w14:textId="77777777" w:rsidR="00425087" w:rsidRDefault="00425087">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A36711D" w14:textId="77777777" w:rsidR="00425087" w:rsidRDefault="00425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523B" w14:textId="77777777" w:rsidR="00AC4C89" w:rsidRDefault="00AC4C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631026"/>
      <w:docPartObj>
        <w:docPartGallery w:val="Page Numbers (Bottom of Page)"/>
        <w:docPartUnique/>
      </w:docPartObj>
    </w:sdtPr>
    <w:sdtEndPr>
      <w:rPr>
        <w:noProof/>
      </w:rPr>
    </w:sdtEndPr>
    <w:sdtContent>
      <w:p w14:paraId="466764CB" w14:textId="12F9FBDA" w:rsidR="00AC4C89" w:rsidRDefault="00AC4C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58923B" w14:textId="77777777" w:rsidR="004E42A8" w:rsidRDefault="004E4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96B5" w14:textId="77777777" w:rsidR="003F48C4" w:rsidRDefault="003F48C4" w:rsidP="001011AE">
      <w:r>
        <w:separator/>
      </w:r>
    </w:p>
  </w:footnote>
  <w:footnote w:type="continuationSeparator" w:id="0">
    <w:p w14:paraId="68409CFF" w14:textId="77777777" w:rsidR="003F48C4" w:rsidRDefault="003F48C4" w:rsidP="00101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C04D" w14:textId="77777777" w:rsidR="00AC4C89" w:rsidRDefault="00AC4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30AB" w14:textId="77777777" w:rsidR="00AC4C89" w:rsidRDefault="00AC4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0C0B" w14:textId="77777777" w:rsidR="00AC4C89" w:rsidRDefault="00AC4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5A5"/>
    <w:multiLevelType w:val="hybridMultilevel"/>
    <w:tmpl w:val="16F06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433D3"/>
    <w:multiLevelType w:val="hybridMultilevel"/>
    <w:tmpl w:val="16F06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F767A"/>
    <w:multiLevelType w:val="hybridMultilevel"/>
    <w:tmpl w:val="3262317A"/>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 w15:restartNumberingAfterBreak="0">
    <w:nsid w:val="15B90A4B"/>
    <w:multiLevelType w:val="hybridMultilevel"/>
    <w:tmpl w:val="03985810"/>
    <w:lvl w:ilvl="0" w:tplc="9CD4F4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52A9"/>
    <w:multiLevelType w:val="hybridMultilevel"/>
    <w:tmpl w:val="DFDC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25DF"/>
    <w:multiLevelType w:val="hybridMultilevel"/>
    <w:tmpl w:val="3262317A"/>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6" w15:restartNumberingAfterBreak="0">
    <w:nsid w:val="1EB8407F"/>
    <w:multiLevelType w:val="hybridMultilevel"/>
    <w:tmpl w:val="B0C053A6"/>
    <w:lvl w:ilvl="0" w:tplc="8D86DAD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C26F4"/>
    <w:multiLevelType w:val="hybridMultilevel"/>
    <w:tmpl w:val="37CE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A2DD9"/>
    <w:multiLevelType w:val="hybridMultilevel"/>
    <w:tmpl w:val="5C64FD94"/>
    <w:lvl w:ilvl="0" w:tplc="6F14C806">
      <w:start w:val="1"/>
      <w:numFmt w:val="decimal"/>
      <w:lvlText w:val="%1."/>
      <w:lvlJc w:val="left"/>
      <w:pPr>
        <w:ind w:left="771" w:hanging="360"/>
      </w:pPr>
      <w:rPr>
        <w:rFonts w:hint="default"/>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9" w15:restartNumberingAfterBreak="0">
    <w:nsid w:val="4BC1795C"/>
    <w:multiLevelType w:val="hybridMultilevel"/>
    <w:tmpl w:val="331C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72F79"/>
    <w:multiLevelType w:val="hybridMultilevel"/>
    <w:tmpl w:val="DD34C16C"/>
    <w:lvl w:ilvl="0" w:tplc="70B66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8A64CC"/>
    <w:multiLevelType w:val="hybridMultilevel"/>
    <w:tmpl w:val="10FE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000887"/>
    <w:multiLevelType w:val="hybridMultilevel"/>
    <w:tmpl w:val="BD5C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B7805"/>
    <w:multiLevelType w:val="hybridMultilevel"/>
    <w:tmpl w:val="6D889738"/>
    <w:lvl w:ilvl="0" w:tplc="9C68DE0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B454DCA"/>
    <w:multiLevelType w:val="hybridMultilevel"/>
    <w:tmpl w:val="B5DE7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326256">
    <w:abstractNumId w:val="7"/>
  </w:num>
  <w:num w:numId="2" w16cid:durableId="70587182">
    <w:abstractNumId w:val="3"/>
  </w:num>
  <w:num w:numId="3" w16cid:durableId="1750809533">
    <w:abstractNumId w:val="2"/>
  </w:num>
  <w:num w:numId="4" w16cid:durableId="665300">
    <w:abstractNumId w:val="12"/>
  </w:num>
  <w:num w:numId="5" w16cid:durableId="2059084012">
    <w:abstractNumId w:val="8"/>
  </w:num>
  <w:num w:numId="6" w16cid:durableId="1202980178">
    <w:abstractNumId w:val="4"/>
  </w:num>
  <w:num w:numId="7" w16cid:durableId="657733830">
    <w:abstractNumId w:val="0"/>
  </w:num>
  <w:num w:numId="8" w16cid:durableId="1872107854">
    <w:abstractNumId w:val="13"/>
  </w:num>
  <w:num w:numId="9" w16cid:durableId="1200362821">
    <w:abstractNumId w:val="5"/>
  </w:num>
  <w:num w:numId="10" w16cid:durableId="496193688">
    <w:abstractNumId w:val="10"/>
  </w:num>
  <w:num w:numId="11" w16cid:durableId="1148668219">
    <w:abstractNumId w:val="1"/>
  </w:num>
  <w:num w:numId="12" w16cid:durableId="1546063694">
    <w:abstractNumId w:val="6"/>
  </w:num>
  <w:num w:numId="13" w16cid:durableId="335422242">
    <w:abstractNumId w:val="9"/>
  </w:num>
  <w:num w:numId="14" w16cid:durableId="1931040609">
    <w:abstractNumId w:val="14"/>
  </w:num>
  <w:num w:numId="15" w16cid:durableId="1227255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6D2BF6"/>
    <w:rsid w:val="000011AF"/>
    <w:rsid w:val="00034CFB"/>
    <w:rsid w:val="0005227E"/>
    <w:rsid w:val="00054264"/>
    <w:rsid w:val="000551DC"/>
    <w:rsid w:val="00075A6B"/>
    <w:rsid w:val="00083F5E"/>
    <w:rsid w:val="000844F5"/>
    <w:rsid w:val="00087C46"/>
    <w:rsid w:val="00091AFE"/>
    <w:rsid w:val="000927D9"/>
    <w:rsid w:val="000A15B4"/>
    <w:rsid w:val="000A63FB"/>
    <w:rsid w:val="000B4FD0"/>
    <w:rsid w:val="000C2849"/>
    <w:rsid w:val="000C28E5"/>
    <w:rsid w:val="000C3923"/>
    <w:rsid w:val="000C3AF4"/>
    <w:rsid w:val="000C58BD"/>
    <w:rsid w:val="000C67C5"/>
    <w:rsid w:val="000D1A63"/>
    <w:rsid w:val="000D28B9"/>
    <w:rsid w:val="000E1F10"/>
    <w:rsid w:val="000E2458"/>
    <w:rsid w:val="000E5888"/>
    <w:rsid w:val="000E7A79"/>
    <w:rsid w:val="000F1732"/>
    <w:rsid w:val="000F5514"/>
    <w:rsid w:val="000F574C"/>
    <w:rsid w:val="001011AE"/>
    <w:rsid w:val="00106E03"/>
    <w:rsid w:val="00107208"/>
    <w:rsid w:val="001074AC"/>
    <w:rsid w:val="001157EF"/>
    <w:rsid w:val="00125B1A"/>
    <w:rsid w:val="00127375"/>
    <w:rsid w:val="001404F6"/>
    <w:rsid w:val="00142ADB"/>
    <w:rsid w:val="00154659"/>
    <w:rsid w:val="00155DEF"/>
    <w:rsid w:val="00160C97"/>
    <w:rsid w:val="00175D07"/>
    <w:rsid w:val="001A1348"/>
    <w:rsid w:val="001A3C96"/>
    <w:rsid w:val="001C4E5A"/>
    <w:rsid w:val="001C59BB"/>
    <w:rsid w:val="001D419C"/>
    <w:rsid w:val="001D419F"/>
    <w:rsid w:val="001D5338"/>
    <w:rsid w:val="001F5221"/>
    <w:rsid w:val="001F60F0"/>
    <w:rsid w:val="00220F0A"/>
    <w:rsid w:val="002366A7"/>
    <w:rsid w:val="00251438"/>
    <w:rsid w:val="00265E32"/>
    <w:rsid w:val="00267A1A"/>
    <w:rsid w:val="00284232"/>
    <w:rsid w:val="002A6270"/>
    <w:rsid w:val="002C2302"/>
    <w:rsid w:val="002E2753"/>
    <w:rsid w:val="002E2FD5"/>
    <w:rsid w:val="002E476F"/>
    <w:rsid w:val="002E6AE1"/>
    <w:rsid w:val="0030013A"/>
    <w:rsid w:val="00311D61"/>
    <w:rsid w:val="00311E43"/>
    <w:rsid w:val="00321032"/>
    <w:rsid w:val="00341AF4"/>
    <w:rsid w:val="00346273"/>
    <w:rsid w:val="003939F2"/>
    <w:rsid w:val="003A03E7"/>
    <w:rsid w:val="003A1047"/>
    <w:rsid w:val="003A3A31"/>
    <w:rsid w:val="003B1B07"/>
    <w:rsid w:val="003C0B52"/>
    <w:rsid w:val="003C342D"/>
    <w:rsid w:val="003D04E3"/>
    <w:rsid w:val="003D6BD6"/>
    <w:rsid w:val="003F1E99"/>
    <w:rsid w:val="003F2EB1"/>
    <w:rsid w:val="003F48C4"/>
    <w:rsid w:val="00400C29"/>
    <w:rsid w:val="00421AC8"/>
    <w:rsid w:val="00425087"/>
    <w:rsid w:val="0044233A"/>
    <w:rsid w:val="0044749C"/>
    <w:rsid w:val="004535E7"/>
    <w:rsid w:val="00464CDB"/>
    <w:rsid w:val="004706DE"/>
    <w:rsid w:val="00472B91"/>
    <w:rsid w:val="004757DF"/>
    <w:rsid w:val="00484CAB"/>
    <w:rsid w:val="004B590F"/>
    <w:rsid w:val="004C4452"/>
    <w:rsid w:val="004D07EC"/>
    <w:rsid w:val="004E0D14"/>
    <w:rsid w:val="004E42A8"/>
    <w:rsid w:val="004E72D1"/>
    <w:rsid w:val="004E7A89"/>
    <w:rsid w:val="004F1FA5"/>
    <w:rsid w:val="005024EC"/>
    <w:rsid w:val="005164D0"/>
    <w:rsid w:val="00517E7A"/>
    <w:rsid w:val="00536086"/>
    <w:rsid w:val="0053737C"/>
    <w:rsid w:val="00544F50"/>
    <w:rsid w:val="005544A2"/>
    <w:rsid w:val="0056031A"/>
    <w:rsid w:val="00562C7D"/>
    <w:rsid w:val="00564AA0"/>
    <w:rsid w:val="00565EF7"/>
    <w:rsid w:val="00567F2C"/>
    <w:rsid w:val="005727A5"/>
    <w:rsid w:val="005803B5"/>
    <w:rsid w:val="005A0EC2"/>
    <w:rsid w:val="005A5751"/>
    <w:rsid w:val="005A5A1D"/>
    <w:rsid w:val="005A6FA4"/>
    <w:rsid w:val="005C092F"/>
    <w:rsid w:val="005C651C"/>
    <w:rsid w:val="005D0224"/>
    <w:rsid w:val="005D0FC7"/>
    <w:rsid w:val="005D1043"/>
    <w:rsid w:val="005D1BC6"/>
    <w:rsid w:val="005D3E78"/>
    <w:rsid w:val="005E678D"/>
    <w:rsid w:val="005F499A"/>
    <w:rsid w:val="00602F67"/>
    <w:rsid w:val="0060325E"/>
    <w:rsid w:val="006109E2"/>
    <w:rsid w:val="00616D3B"/>
    <w:rsid w:val="00617430"/>
    <w:rsid w:val="00626D22"/>
    <w:rsid w:val="00632930"/>
    <w:rsid w:val="00637D11"/>
    <w:rsid w:val="006428B2"/>
    <w:rsid w:val="0064744E"/>
    <w:rsid w:val="0065331C"/>
    <w:rsid w:val="0065722A"/>
    <w:rsid w:val="00664303"/>
    <w:rsid w:val="00677888"/>
    <w:rsid w:val="0069363F"/>
    <w:rsid w:val="006969E1"/>
    <w:rsid w:val="006A0F1A"/>
    <w:rsid w:val="006B3594"/>
    <w:rsid w:val="006B7A92"/>
    <w:rsid w:val="006C3A5A"/>
    <w:rsid w:val="006C41E6"/>
    <w:rsid w:val="006C5FD6"/>
    <w:rsid w:val="006D29FE"/>
    <w:rsid w:val="006D2BF6"/>
    <w:rsid w:val="006E4FE2"/>
    <w:rsid w:val="006F76CA"/>
    <w:rsid w:val="0070100C"/>
    <w:rsid w:val="007046D9"/>
    <w:rsid w:val="007129F0"/>
    <w:rsid w:val="00717048"/>
    <w:rsid w:val="0072167B"/>
    <w:rsid w:val="00725A13"/>
    <w:rsid w:val="00725F40"/>
    <w:rsid w:val="00734933"/>
    <w:rsid w:val="00737AE1"/>
    <w:rsid w:val="00740346"/>
    <w:rsid w:val="007537BB"/>
    <w:rsid w:val="0075688A"/>
    <w:rsid w:val="00770CBD"/>
    <w:rsid w:val="0077588C"/>
    <w:rsid w:val="00776EE5"/>
    <w:rsid w:val="00782C9F"/>
    <w:rsid w:val="00786BA8"/>
    <w:rsid w:val="007A37B6"/>
    <w:rsid w:val="007B47E3"/>
    <w:rsid w:val="007B54BD"/>
    <w:rsid w:val="007B68B9"/>
    <w:rsid w:val="007D0AD3"/>
    <w:rsid w:val="007D414A"/>
    <w:rsid w:val="008002BA"/>
    <w:rsid w:val="00801B87"/>
    <w:rsid w:val="008073E9"/>
    <w:rsid w:val="008112A5"/>
    <w:rsid w:val="00817051"/>
    <w:rsid w:val="00817AEF"/>
    <w:rsid w:val="00820394"/>
    <w:rsid w:val="00822430"/>
    <w:rsid w:val="00827DC2"/>
    <w:rsid w:val="00830DDE"/>
    <w:rsid w:val="00832F69"/>
    <w:rsid w:val="00845E6C"/>
    <w:rsid w:val="008526D5"/>
    <w:rsid w:val="0085485E"/>
    <w:rsid w:val="00865ECB"/>
    <w:rsid w:val="00866F67"/>
    <w:rsid w:val="00867350"/>
    <w:rsid w:val="008724EC"/>
    <w:rsid w:val="00873935"/>
    <w:rsid w:val="008801B4"/>
    <w:rsid w:val="00886255"/>
    <w:rsid w:val="008A594E"/>
    <w:rsid w:val="008B0743"/>
    <w:rsid w:val="008B705B"/>
    <w:rsid w:val="008B75F6"/>
    <w:rsid w:val="008C59F8"/>
    <w:rsid w:val="008D07FF"/>
    <w:rsid w:val="009028F9"/>
    <w:rsid w:val="00921F55"/>
    <w:rsid w:val="00924208"/>
    <w:rsid w:val="00924606"/>
    <w:rsid w:val="009265FD"/>
    <w:rsid w:val="00926FC7"/>
    <w:rsid w:val="0093098B"/>
    <w:rsid w:val="00932532"/>
    <w:rsid w:val="00945773"/>
    <w:rsid w:val="009546A5"/>
    <w:rsid w:val="0097165C"/>
    <w:rsid w:val="00972A4E"/>
    <w:rsid w:val="00985943"/>
    <w:rsid w:val="00985BB6"/>
    <w:rsid w:val="00994DCB"/>
    <w:rsid w:val="00994FF4"/>
    <w:rsid w:val="00996782"/>
    <w:rsid w:val="009A680A"/>
    <w:rsid w:val="009B5888"/>
    <w:rsid w:val="009C1D1B"/>
    <w:rsid w:val="009C3221"/>
    <w:rsid w:val="009D32C3"/>
    <w:rsid w:val="009D50DC"/>
    <w:rsid w:val="009E41D7"/>
    <w:rsid w:val="009E4BB5"/>
    <w:rsid w:val="009F07C4"/>
    <w:rsid w:val="009F6FFF"/>
    <w:rsid w:val="00A16E76"/>
    <w:rsid w:val="00A200D6"/>
    <w:rsid w:val="00A23B31"/>
    <w:rsid w:val="00A2674C"/>
    <w:rsid w:val="00A36160"/>
    <w:rsid w:val="00A45131"/>
    <w:rsid w:val="00A50894"/>
    <w:rsid w:val="00A52339"/>
    <w:rsid w:val="00A53423"/>
    <w:rsid w:val="00A65EF0"/>
    <w:rsid w:val="00A67201"/>
    <w:rsid w:val="00A6767C"/>
    <w:rsid w:val="00A7477F"/>
    <w:rsid w:val="00AA0222"/>
    <w:rsid w:val="00AA7E71"/>
    <w:rsid w:val="00AB5CD2"/>
    <w:rsid w:val="00AC3B8C"/>
    <w:rsid w:val="00AC4C89"/>
    <w:rsid w:val="00AC5D97"/>
    <w:rsid w:val="00AC6FFE"/>
    <w:rsid w:val="00AD1AC2"/>
    <w:rsid w:val="00AD2BA6"/>
    <w:rsid w:val="00AD45B5"/>
    <w:rsid w:val="00AD7F8C"/>
    <w:rsid w:val="00AE21DC"/>
    <w:rsid w:val="00AE5F29"/>
    <w:rsid w:val="00AE6A0E"/>
    <w:rsid w:val="00AE7E76"/>
    <w:rsid w:val="00AF0E40"/>
    <w:rsid w:val="00AF76D2"/>
    <w:rsid w:val="00AF7C53"/>
    <w:rsid w:val="00B06D37"/>
    <w:rsid w:val="00B13A0D"/>
    <w:rsid w:val="00B15D1B"/>
    <w:rsid w:val="00B201AA"/>
    <w:rsid w:val="00B20ECD"/>
    <w:rsid w:val="00B2173E"/>
    <w:rsid w:val="00B33AB0"/>
    <w:rsid w:val="00B3689D"/>
    <w:rsid w:val="00B4364C"/>
    <w:rsid w:val="00B5545B"/>
    <w:rsid w:val="00B61E34"/>
    <w:rsid w:val="00B64594"/>
    <w:rsid w:val="00B6494C"/>
    <w:rsid w:val="00B81DF7"/>
    <w:rsid w:val="00B83FAB"/>
    <w:rsid w:val="00B94645"/>
    <w:rsid w:val="00B97048"/>
    <w:rsid w:val="00BA4267"/>
    <w:rsid w:val="00BB1129"/>
    <w:rsid w:val="00BE54AE"/>
    <w:rsid w:val="00BE7629"/>
    <w:rsid w:val="00BF05EF"/>
    <w:rsid w:val="00BF2682"/>
    <w:rsid w:val="00C113F7"/>
    <w:rsid w:val="00C12C92"/>
    <w:rsid w:val="00C25FB7"/>
    <w:rsid w:val="00C30640"/>
    <w:rsid w:val="00C4534C"/>
    <w:rsid w:val="00C45F8E"/>
    <w:rsid w:val="00C55962"/>
    <w:rsid w:val="00C607D9"/>
    <w:rsid w:val="00C613AA"/>
    <w:rsid w:val="00C71E20"/>
    <w:rsid w:val="00C75E47"/>
    <w:rsid w:val="00C83A12"/>
    <w:rsid w:val="00C95765"/>
    <w:rsid w:val="00C959CF"/>
    <w:rsid w:val="00C9794E"/>
    <w:rsid w:val="00CB61EC"/>
    <w:rsid w:val="00CB620F"/>
    <w:rsid w:val="00CC1705"/>
    <w:rsid w:val="00CC4C21"/>
    <w:rsid w:val="00CD6EF2"/>
    <w:rsid w:val="00CE5E42"/>
    <w:rsid w:val="00CF3EF3"/>
    <w:rsid w:val="00D019C4"/>
    <w:rsid w:val="00D164C4"/>
    <w:rsid w:val="00D2012E"/>
    <w:rsid w:val="00D267B7"/>
    <w:rsid w:val="00D27CBD"/>
    <w:rsid w:val="00D32FBC"/>
    <w:rsid w:val="00D35684"/>
    <w:rsid w:val="00D35969"/>
    <w:rsid w:val="00D520DA"/>
    <w:rsid w:val="00D62C4C"/>
    <w:rsid w:val="00D64855"/>
    <w:rsid w:val="00D66C6C"/>
    <w:rsid w:val="00D77ADE"/>
    <w:rsid w:val="00D80F93"/>
    <w:rsid w:val="00D840D5"/>
    <w:rsid w:val="00D85ADA"/>
    <w:rsid w:val="00D87D41"/>
    <w:rsid w:val="00D9479E"/>
    <w:rsid w:val="00DA611A"/>
    <w:rsid w:val="00DB5443"/>
    <w:rsid w:val="00DC4F6D"/>
    <w:rsid w:val="00DC582A"/>
    <w:rsid w:val="00DC6DEC"/>
    <w:rsid w:val="00DD2000"/>
    <w:rsid w:val="00DD4A23"/>
    <w:rsid w:val="00DE2699"/>
    <w:rsid w:val="00DE39EC"/>
    <w:rsid w:val="00DE791B"/>
    <w:rsid w:val="00DF29B3"/>
    <w:rsid w:val="00E00418"/>
    <w:rsid w:val="00E167DA"/>
    <w:rsid w:val="00E207AE"/>
    <w:rsid w:val="00E222F0"/>
    <w:rsid w:val="00E225AA"/>
    <w:rsid w:val="00E340B4"/>
    <w:rsid w:val="00E630A5"/>
    <w:rsid w:val="00E74342"/>
    <w:rsid w:val="00E85681"/>
    <w:rsid w:val="00EA6559"/>
    <w:rsid w:val="00EB0A6C"/>
    <w:rsid w:val="00EB2008"/>
    <w:rsid w:val="00EC2CA3"/>
    <w:rsid w:val="00ED0675"/>
    <w:rsid w:val="00ED1D76"/>
    <w:rsid w:val="00EF03CD"/>
    <w:rsid w:val="00EF0AAE"/>
    <w:rsid w:val="00EF37D4"/>
    <w:rsid w:val="00F01F6F"/>
    <w:rsid w:val="00F0328C"/>
    <w:rsid w:val="00F07906"/>
    <w:rsid w:val="00F123EA"/>
    <w:rsid w:val="00F17703"/>
    <w:rsid w:val="00F3601B"/>
    <w:rsid w:val="00F47981"/>
    <w:rsid w:val="00F60A2A"/>
    <w:rsid w:val="00F614B5"/>
    <w:rsid w:val="00F64B38"/>
    <w:rsid w:val="00F67F98"/>
    <w:rsid w:val="00F74245"/>
    <w:rsid w:val="00F772A2"/>
    <w:rsid w:val="00FA2021"/>
    <w:rsid w:val="00FA3708"/>
    <w:rsid w:val="00FA437B"/>
    <w:rsid w:val="00FA5718"/>
    <w:rsid w:val="00FA7F81"/>
    <w:rsid w:val="00FC2475"/>
    <w:rsid w:val="00FC42A8"/>
    <w:rsid w:val="00FC5C4E"/>
    <w:rsid w:val="00FC697A"/>
    <w:rsid w:val="00FF2C23"/>
    <w:rsid w:val="00FF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B835"/>
  <w15:docId w15:val="{9E0248E9-CDF8-4D95-B15E-D25709A3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F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BF6"/>
    <w:rPr>
      <w:rFonts w:ascii="Tahoma" w:hAnsi="Tahoma" w:cs="Tahoma"/>
      <w:sz w:val="16"/>
      <w:szCs w:val="16"/>
    </w:rPr>
  </w:style>
  <w:style w:type="character" w:customStyle="1" w:styleId="BalloonTextChar">
    <w:name w:val="Balloon Text Char"/>
    <w:basedOn w:val="DefaultParagraphFont"/>
    <w:link w:val="BalloonText"/>
    <w:uiPriority w:val="99"/>
    <w:semiHidden/>
    <w:rsid w:val="006D2BF6"/>
    <w:rPr>
      <w:rFonts w:ascii="Tahoma" w:eastAsia="Times New Roman" w:hAnsi="Tahoma" w:cs="Tahoma"/>
      <w:sz w:val="16"/>
      <w:szCs w:val="16"/>
    </w:rPr>
  </w:style>
  <w:style w:type="paragraph" w:styleId="ListParagraph">
    <w:name w:val="List Paragraph"/>
    <w:basedOn w:val="Normal"/>
    <w:uiPriority w:val="34"/>
    <w:qFormat/>
    <w:rsid w:val="00DE39EC"/>
    <w:pPr>
      <w:ind w:left="720"/>
      <w:contextualSpacing/>
    </w:pPr>
  </w:style>
  <w:style w:type="table" w:styleId="TableGrid">
    <w:name w:val="Table Grid"/>
    <w:basedOn w:val="TableNormal"/>
    <w:uiPriority w:val="59"/>
    <w:rsid w:val="009F6FF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67C"/>
    <w:pPr>
      <w:spacing w:before="100" w:beforeAutospacing="1" w:after="100" w:afterAutospacing="1"/>
    </w:pPr>
    <w:rPr>
      <w:rFonts w:ascii="Times" w:eastAsiaTheme="minorHAnsi" w:hAnsi="Times"/>
      <w:sz w:val="20"/>
      <w:szCs w:val="20"/>
    </w:rPr>
  </w:style>
  <w:style w:type="paragraph" w:styleId="Header">
    <w:name w:val="header"/>
    <w:basedOn w:val="Normal"/>
    <w:link w:val="HeaderChar"/>
    <w:uiPriority w:val="99"/>
    <w:unhideWhenUsed/>
    <w:rsid w:val="001011AE"/>
    <w:pPr>
      <w:tabs>
        <w:tab w:val="center" w:pos="4680"/>
        <w:tab w:val="right" w:pos="9360"/>
      </w:tabs>
    </w:pPr>
  </w:style>
  <w:style w:type="character" w:customStyle="1" w:styleId="HeaderChar">
    <w:name w:val="Header Char"/>
    <w:basedOn w:val="DefaultParagraphFont"/>
    <w:link w:val="Header"/>
    <w:uiPriority w:val="99"/>
    <w:rsid w:val="001011AE"/>
    <w:rPr>
      <w:rFonts w:ascii="Times New Roman" w:eastAsia="Times New Roman" w:hAnsi="Times New Roman"/>
      <w:sz w:val="24"/>
      <w:szCs w:val="24"/>
    </w:rPr>
  </w:style>
  <w:style w:type="paragraph" w:styleId="Footer">
    <w:name w:val="footer"/>
    <w:basedOn w:val="Normal"/>
    <w:link w:val="FooterChar"/>
    <w:uiPriority w:val="99"/>
    <w:unhideWhenUsed/>
    <w:rsid w:val="001011AE"/>
    <w:pPr>
      <w:tabs>
        <w:tab w:val="center" w:pos="4680"/>
        <w:tab w:val="right" w:pos="9360"/>
      </w:tabs>
    </w:pPr>
  </w:style>
  <w:style w:type="character" w:customStyle="1" w:styleId="FooterChar">
    <w:name w:val="Footer Char"/>
    <w:basedOn w:val="DefaultParagraphFont"/>
    <w:link w:val="Footer"/>
    <w:uiPriority w:val="99"/>
    <w:rsid w:val="001011A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160">
      <w:bodyDiv w:val="1"/>
      <w:marLeft w:val="0"/>
      <w:marRight w:val="0"/>
      <w:marTop w:val="0"/>
      <w:marBottom w:val="0"/>
      <w:divBdr>
        <w:top w:val="none" w:sz="0" w:space="0" w:color="auto"/>
        <w:left w:val="none" w:sz="0" w:space="0" w:color="auto"/>
        <w:bottom w:val="none" w:sz="0" w:space="0" w:color="auto"/>
        <w:right w:val="none" w:sz="0" w:space="0" w:color="auto"/>
      </w:divBdr>
    </w:div>
    <w:div w:id="119418806">
      <w:bodyDiv w:val="1"/>
      <w:marLeft w:val="0"/>
      <w:marRight w:val="0"/>
      <w:marTop w:val="0"/>
      <w:marBottom w:val="0"/>
      <w:divBdr>
        <w:top w:val="none" w:sz="0" w:space="0" w:color="auto"/>
        <w:left w:val="none" w:sz="0" w:space="0" w:color="auto"/>
        <w:bottom w:val="none" w:sz="0" w:space="0" w:color="auto"/>
        <w:right w:val="none" w:sz="0" w:space="0" w:color="auto"/>
      </w:divBdr>
    </w:div>
    <w:div w:id="428239008">
      <w:bodyDiv w:val="1"/>
      <w:marLeft w:val="0"/>
      <w:marRight w:val="0"/>
      <w:marTop w:val="0"/>
      <w:marBottom w:val="0"/>
      <w:divBdr>
        <w:top w:val="none" w:sz="0" w:space="0" w:color="auto"/>
        <w:left w:val="none" w:sz="0" w:space="0" w:color="auto"/>
        <w:bottom w:val="none" w:sz="0" w:space="0" w:color="auto"/>
        <w:right w:val="none" w:sz="0" w:space="0" w:color="auto"/>
      </w:divBdr>
    </w:div>
    <w:div w:id="492061940">
      <w:bodyDiv w:val="1"/>
      <w:marLeft w:val="0"/>
      <w:marRight w:val="0"/>
      <w:marTop w:val="0"/>
      <w:marBottom w:val="0"/>
      <w:divBdr>
        <w:top w:val="none" w:sz="0" w:space="0" w:color="auto"/>
        <w:left w:val="none" w:sz="0" w:space="0" w:color="auto"/>
        <w:bottom w:val="none" w:sz="0" w:space="0" w:color="auto"/>
        <w:right w:val="none" w:sz="0" w:space="0" w:color="auto"/>
      </w:divBdr>
    </w:div>
    <w:div w:id="604994480">
      <w:bodyDiv w:val="1"/>
      <w:marLeft w:val="0"/>
      <w:marRight w:val="0"/>
      <w:marTop w:val="0"/>
      <w:marBottom w:val="0"/>
      <w:divBdr>
        <w:top w:val="none" w:sz="0" w:space="0" w:color="auto"/>
        <w:left w:val="none" w:sz="0" w:space="0" w:color="auto"/>
        <w:bottom w:val="none" w:sz="0" w:space="0" w:color="auto"/>
        <w:right w:val="none" w:sz="0" w:space="0" w:color="auto"/>
      </w:divBdr>
    </w:div>
    <w:div w:id="609894435">
      <w:bodyDiv w:val="1"/>
      <w:marLeft w:val="0"/>
      <w:marRight w:val="0"/>
      <w:marTop w:val="0"/>
      <w:marBottom w:val="0"/>
      <w:divBdr>
        <w:top w:val="none" w:sz="0" w:space="0" w:color="auto"/>
        <w:left w:val="none" w:sz="0" w:space="0" w:color="auto"/>
        <w:bottom w:val="none" w:sz="0" w:space="0" w:color="auto"/>
        <w:right w:val="none" w:sz="0" w:space="0" w:color="auto"/>
      </w:divBdr>
    </w:div>
    <w:div w:id="682821841">
      <w:bodyDiv w:val="1"/>
      <w:marLeft w:val="0"/>
      <w:marRight w:val="0"/>
      <w:marTop w:val="0"/>
      <w:marBottom w:val="0"/>
      <w:divBdr>
        <w:top w:val="none" w:sz="0" w:space="0" w:color="auto"/>
        <w:left w:val="none" w:sz="0" w:space="0" w:color="auto"/>
        <w:bottom w:val="none" w:sz="0" w:space="0" w:color="auto"/>
        <w:right w:val="none" w:sz="0" w:space="0" w:color="auto"/>
      </w:divBdr>
    </w:div>
    <w:div w:id="832066704">
      <w:bodyDiv w:val="1"/>
      <w:marLeft w:val="0"/>
      <w:marRight w:val="0"/>
      <w:marTop w:val="0"/>
      <w:marBottom w:val="0"/>
      <w:divBdr>
        <w:top w:val="none" w:sz="0" w:space="0" w:color="auto"/>
        <w:left w:val="none" w:sz="0" w:space="0" w:color="auto"/>
        <w:bottom w:val="none" w:sz="0" w:space="0" w:color="auto"/>
        <w:right w:val="none" w:sz="0" w:space="0" w:color="auto"/>
      </w:divBdr>
    </w:div>
    <w:div w:id="840779056">
      <w:bodyDiv w:val="1"/>
      <w:marLeft w:val="0"/>
      <w:marRight w:val="0"/>
      <w:marTop w:val="0"/>
      <w:marBottom w:val="0"/>
      <w:divBdr>
        <w:top w:val="none" w:sz="0" w:space="0" w:color="auto"/>
        <w:left w:val="none" w:sz="0" w:space="0" w:color="auto"/>
        <w:bottom w:val="none" w:sz="0" w:space="0" w:color="auto"/>
        <w:right w:val="none" w:sz="0" w:space="0" w:color="auto"/>
      </w:divBdr>
    </w:div>
    <w:div w:id="955450546">
      <w:bodyDiv w:val="1"/>
      <w:marLeft w:val="0"/>
      <w:marRight w:val="0"/>
      <w:marTop w:val="0"/>
      <w:marBottom w:val="0"/>
      <w:divBdr>
        <w:top w:val="none" w:sz="0" w:space="0" w:color="auto"/>
        <w:left w:val="none" w:sz="0" w:space="0" w:color="auto"/>
        <w:bottom w:val="none" w:sz="0" w:space="0" w:color="auto"/>
        <w:right w:val="none" w:sz="0" w:space="0" w:color="auto"/>
      </w:divBdr>
    </w:div>
    <w:div w:id="1240939740">
      <w:bodyDiv w:val="1"/>
      <w:marLeft w:val="0"/>
      <w:marRight w:val="0"/>
      <w:marTop w:val="0"/>
      <w:marBottom w:val="0"/>
      <w:divBdr>
        <w:top w:val="none" w:sz="0" w:space="0" w:color="auto"/>
        <w:left w:val="none" w:sz="0" w:space="0" w:color="auto"/>
        <w:bottom w:val="none" w:sz="0" w:space="0" w:color="auto"/>
        <w:right w:val="none" w:sz="0" w:space="0" w:color="auto"/>
      </w:divBdr>
    </w:div>
    <w:div w:id="1326518021">
      <w:bodyDiv w:val="1"/>
      <w:marLeft w:val="0"/>
      <w:marRight w:val="0"/>
      <w:marTop w:val="0"/>
      <w:marBottom w:val="0"/>
      <w:divBdr>
        <w:top w:val="none" w:sz="0" w:space="0" w:color="auto"/>
        <w:left w:val="none" w:sz="0" w:space="0" w:color="auto"/>
        <w:bottom w:val="none" w:sz="0" w:space="0" w:color="auto"/>
        <w:right w:val="none" w:sz="0" w:space="0" w:color="auto"/>
      </w:divBdr>
    </w:div>
    <w:div w:id="1332368448">
      <w:bodyDiv w:val="1"/>
      <w:marLeft w:val="0"/>
      <w:marRight w:val="0"/>
      <w:marTop w:val="0"/>
      <w:marBottom w:val="0"/>
      <w:divBdr>
        <w:top w:val="none" w:sz="0" w:space="0" w:color="auto"/>
        <w:left w:val="none" w:sz="0" w:space="0" w:color="auto"/>
        <w:bottom w:val="none" w:sz="0" w:space="0" w:color="auto"/>
        <w:right w:val="none" w:sz="0" w:space="0" w:color="auto"/>
      </w:divBdr>
    </w:div>
    <w:div w:id="1558055290">
      <w:bodyDiv w:val="1"/>
      <w:marLeft w:val="0"/>
      <w:marRight w:val="0"/>
      <w:marTop w:val="0"/>
      <w:marBottom w:val="0"/>
      <w:divBdr>
        <w:top w:val="none" w:sz="0" w:space="0" w:color="auto"/>
        <w:left w:val="none" w:sz="0" w:space="0" w:color="auto"/>
        <w:bottom w:val="none" w:sz="0" w:space="0" w:color="auto"/>
        <w:right w:val="none" w:sz="0" w:space="0" w:color="auto"/>
      </w:divBdr>
    </w:div>
    <w:div w:id="1651516398">
      <w:bodyDiv w:val="1"/>
      <w:marLeft w:val="0"/>
      <w:marRight w:val="0"/>
      <w:marTop w:val="0"/>
      <w:marBottom w:val="0"/>
      <w:divBdr>
        <w:top w:val="none" w:sz="0" w:space="0" w:color="auto"/>
        <w:left w:val="none" w:sz="0" w:space="0" w:color="auto"/>
        <w:bottom w:val="none" w:sz="0" w:space="0" w:color="auto"/>
        <w:right w:val="none" w:sz="0" w:space="0" w:color="auto"/>
      </w:divBdr>
    </w:div>
    <w:div w:id="1656907171">
      <w:bodyDiv w:val="1"/>
      <w:marLeft w:val="0"/>
      <w:marRight w:val="0"/>
      <w:marTop w:val="0"/>
      <w:marBottom w:val="0"/>
      <w:divBdr>
        <w:top w:val="none" w:sz="0" w:space="0" w:color="auto"/>
        <w:left w:val="none" w:sz="0" w:space="0" w:color="auto"/>
        <w:bottom w:val="none" w:sz="0" w:space="0" w:color="auto"/>
        <w:right w:val="none" w:sz="0" w:space="0" w:color="auto"/>
      </w:divBdr>
    </w:div>
    <w:div w:id="1680933188">
      <w:bodyDiv w:val="1"/>
      <w:marLeft w:val="0"/>
      <w:marRight w:val="0"/>
      <w:marTop w:val="0"/>
      <w:marBottom w:val="0"/>
      <w:divBdr>
        <w:top w:val="none" w:sz="0" w:space="0" w:color="auto"/>
        <w:left w:val="none" w:sz="0" w:space="0" w:color="auto"/>
        <w:bottom w:val="none" w:sz="0" w:space="0" w:color="auto"/>
        <w:right w:val="none" w:sz="0" w:space="0" w:color="auto"/>
      </w:divBdr>
    </w:div>
    <w:div w:id="1732919062">
      <w:bodyDiv w:val="1"/>
      <w:marLeft w:val="0"/>
      <w:marRight w:val="0"/>
      <w:marTop w:val="0"/>
      <w:marBottom w:val="0"/>
      <w:divBdr>
        <w:top w:val="none" w:sz="0" w:space="0" w:color="auto"/>
        <w:left w:val="none" w:sz="0" w:space="0" w:color="auto"/>
        <w:bottom w:val="none" w:sz="0" w:space="0" w:color="auto"/>
        <w:right w:val="none" w:sz="0" w:space="0" w:color="auto"/>
      </w:divBdr>
    </w:div>
    <w:div w:id="1741364910">
      <w:bodyDiv w:val="1"/>
      <w:marLeft w:val="0"/>
      <w:marRight w:val="0"/>
      <w:marTop w:val="0"/>
      <w:marBottom w:val="0"/>
      <w:divBdr>
        <w:top w:val="none" w:sz="0" w:space="0" w:color="auto"/>
        <w:left w:val="none" w:sz="0" w:space="0" w:color="auto"/>
        <w:bottom w:val="none" w:sz="0" w:space="0" w:color="auto"/>
        <w:right w:val="none" w:sz="0" w:space="0" w:color="auto"/>
      </w:divBdr>
    </w:div>
    <w:div w:id="1802187469">
      <w:bodyDiv w:val="1"/>
      <w:marLeft w:val="0"/>
      <w:marRight w:val="0"/>
      <w:marTop w:val="0"/>
      <w:marBottom w:val="0"/>
      <w:divBdr>
        <w:top w:val="none" w:sz="0" w:space="0" w:color="auto"/>
        <w:left w:val="none" w:sz="0" w:space="0" w:color="auto"/>
        <w:bottom w:val="none" w:sz="0" w:space="0" w:color="auto"/>
        <w:right w:val="none" w:sz="0" w:space="0" w:color="auto"/>
      </w:divBdr>
      <w:divsChild>
        <w:div w:id="970476185">
          <w:marLeft w:val="0"/>
          <w:marRight w:val="0"/>
          <w:marTop w:val="0"/>
          <w:marBottom w:val="0"/>
          <w:divBdr>
            <w:top w:val="none" w:sz="0" w:space="0" w:color="auto"/>
            <w:left w:val="none" w:sz="0" w:space="0" w:color="auto"/>
            <w:bottom w:val="none" w:sz="0" w:space="0" w:color="auto"/>
            <w:right w:val="none" w:sz="0" w:space="0" w:color="auto"/>
          </w:divBdr>
        </w:div>
      </w:divsChild>
    </w:div>
    <w:div w:id="1955869939">
      <w:bodyDiv w:val="1"/>
      <w:marLeft w:val="0"/>
      <w:marRight w:val="0"/>
      <w:marTop w:val="0"/>
      <w:marBottom w:val="0"/>
      <w:divBdr>
        <w:top w:val="none" w:sz="0" w:space="0" w:color="auto"/>
        <w:left w:val="none" w:sz="0" w:space="0" w:color="auto"/>
        <w:bottom w:val="none" w:sz="0" w:space="0" w:color="auto"/>
        <w:right w:val="none" w:sz="0" w:space="0" w:color="auto"/>
      </w:divBdr>
    </w:div>
    <w:div w:id="199166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8B0C9-3502-41A3-90E6-5BF39E0B4B49}">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145</TotalTime>
  <Pages>9</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Texas State University-San Marcos</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Miichael J. Keeffe</dc:creator>
  <cp:keywords/>
  <dc:description/>
  <cp:lastModifiedBy>Wierschem, David C</cp:lastModifiedBy>
  <cp:revision>15</cp:revision>
  <cp:lastPrinted>2018-09-04T15:36:00Z</cp:lastPrinted>
  <dcterms:created xsi:type="dcterms:W3CDTF">2025-06-06T12:58:00Z</dcterms:created>
  <dcterms:modified xsi:type="dcterms:W3CDTF">2025-09-10T12:35:00Z</dcterms:modified>
</cp:coreProperties>
</file>