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891C2" w14:textId="76663202" w:rsidR="00A3615A" w:rsidRPr="00550CC6" w:rsidRDefault="00C54832">
      <w:pPr>
        <w:rPr>
          <w:rFonts w:ascii="Times New Roman" w:hAnsi="Times New Roman" w:cs="Times New Roman"/>
          <w:b/>
          <w:bCs/>
          <w:sz w:val="28"/>
          <w:szCs w:val="28"/>
        </w:rPr>
      </w:pPr>
      <w:r w:rsidRPr="00550CC6">
        <w:rPr>
          <w:rFonts w:ascii="Times New Roman" w:hAnsi="Times New Roman" w:cs="Times New Roman"/>
          <w:b/>
          <w:bCs/>
          <w:sz w:val="28"/>
          <w:szCs w:val="28"/>
        </w:rPr>
        <w:t>Examples</w:t>
      </w:r>
      <w:r w:rsidR="00550CC6" w:rsidRPr="00550CC6">
        <w:rPr>
          <w:rFonts w:ascii="Times New Roman" w:hAnsi="Times New Roman" w:cs="Times New Roman"/>
          <w:b/>
          <w:bCs/>
          <w:sz w:val="28"/>
          <w:szCs w:val="28"/>
        </w:rPr>
        <w:t xml:space="preserve"> of Effective Entries</w:t>
      </w:r>
      <w:r w:rsidRPr="00550CC6">
        <w:rPr>
          <w:rFonts w:ascii="Times New Roman" w:hAnsi="Times New Roman" w:cs="Times New Roman"/>
          <w:b/>
          <w:bCs/>
          <w:sz w:val="28"/>
          <w:szCs w:val="28"/>
        </w:rPr>
        <w:t xml:space="preserve"> from </w:t>
      </w:r>
      <w:r w:rsidR="005E13A2" w:rsidRPr="00550CC6">
        <w:rPr>
          <w:rFonts w:ascii="Times New Roman" w:hAnsi="Times New Roman" w:cs="Times New Roman"/>
          <w:b/>
          <w:bCs/>
          <w:sz w:val="28"/>
          <w:szCs w:val="28"/>
        </w:rPr>
        <w:t xml:space="preserve">General Education </w:t>
      </w:r>
      <w:r w:rsidRPr="00550CC6">
        <w:rPr>
          <w:rFonts w:ascii="Times New Roman" w:hAnsi="Times New Roman" w:cs="Times New Roman"/>
          <w:b/>
          <w:bCs/>
          <w:sz w:val="28"/>
          <w:szCs w:val="28"/>
        </w:rPr>
        <w:t xml:space="preserve">Programs </w:t>
      </w:r>
    </w:p>
    <w:p w14:paraId="7B0FC6EF" w14:textId="274FA64D" w:rsidR="00C54832" w:rsidRPr="00550CC6" w:rsidRDefault="00C54832">
      <w:pPr>
        <w:rPr>
          <w:rFonts w:ascii="Times New Roman" w:hAnsi="Times New Roman" w:cs="Times New Roman"/>
          <w:b/>
          <w:bCs/>
          <w:sz w:val="28"/>
          <w:szCs w:val="28"/>
        </w:rPr>
      </w:pPr>
    </w:p>
    <w:p w14:paraId="35ABABF8" w14:textId="3B7B49C0" w:rsidR="00C54832" w:rsidRPr="005E13A2" w:rsidRDefault="00C54832">
      <w:pPr>
        <w:rPr>
          <w:rFonts w:ascii="Times New Roman" w:hAnsi="Times New Roman" w:cs="Times New Roman"/>
          <w:b/>
          <w:bCs/>
        </w:rPr>
      </w:pPr>
      <w:r w:rsidRPr="005E13A2">
        <w:rPr>
          <w:rFonts w:ascii="Times New Roman" w:hAnsi="Times New Roman" w:cs="Times New Roman"/>
          <w:b/>
          <w:bCs/>
        </w:rPr>
        <w:t xml:space="preserve">Mission Statement: </w:t>
      </w:r>
    </w:p>
    <w:p w14:paraId="1BE420A8" w14:textId="77777777" w:rsidR="005E13A2" w:rsidRPr="005E13A2" w:rsidRDefault="005E13A2" w:rsidP="005E13A2">
      <w:pPr>
        <w:rPr>
          <w:rFonts w:ascii="Times New Roman" w:eastAsia="Times New Roman" w:hAnsi="Times New Roman" w:cs="Times New Roman"/>
          <w:i/>
          <w:iCs/>
        </w:rPr>
      </w:pPr>
      <w:r w:rsidRPr="005E13A2">
        <w:rPr>
          <w:rFonts w:ascii="Times New Roman" w:eastAsia="Times New Roman" w:hAnsi="Times New Roman" w:cs="Times New Roman"/>
          <w:i/>
          <w:iCs/>
        </w:rPr>
        <w:t>The mission of the general education core curriculum at Texas State University is to provide students with a broad academic foundation in the component areas of communication; mathematics; life and physical sciences; language, philosophy and culture; creative arts; American history; government/political science; and social and behavioral sciences. Creative Arts Mission: The mission of the creative arts component is to focus on the appreciation and analysis of creative artifacts and works of the human imagination.</w:t>
      </w:r>
    </w:p>
    <w:p w14:paraId="03C91B4D" w14:textId="55291690" w:rsidR="00C54832" w:rsidRPr="005E13A2" w:rsidRDefault="00C54832">
      <w:pPr>
        <w:rPr>
          <w:rFonts w:ascii="Times New Roman" w:hAnsi="Times New Roman" w:cs="Times New Roman"/>
        </w:rPr>
      </w:pPr>
    </w:p>
    <w:p w14:paraId="394A84FA" w14:textId="7ADC4974" w:rsidR="00C54832" w:rsidRPr="005E13A2" w:rsidRDefault="00C54832" w:rsidP="00C54832">
      <w:pPr>
        <w:rPr>
          <w:rFonts w:ascii="Times New Roman" w:eastAsia="Times New Roman" w:hAnsi="Times New Roman" w:cs="Times New Roman"/>
          <w:sz w:val="20"/>
          <w:szCs w:val="20"/>
        </w:rPr>
      </w:pPr>
    </w:p>
    <w:p w14:paraId="1DF02B09" w14:textId="335F53B9" w:rsidR="00C54832" w:rsidRDefault="00C54832" w:rsidP="00C54832">
      <w:pPr>
        <w:rPr>
          <w:rFonts w:ascii="Times New Roman" w:eastAsia="Times New Roman" w:hAnsi="Times New Roman" w:cs="Times New Roman"/>
          <w:b/>
          <w:bCs/>
          <w:sz w:val="20"/>
          <w:szCs w:val="20"/>
        </w:rPr>
      </w:pPr>
      <w:r w:rsidRPr="005E13A2">
        <w:rPr>
          <w:rFonts w:ascii="Times New Roman" w:eastAsia="Times New Roman" w:hAnsi="Times New Roman" w:cs="Times New Roman"/>
          <w:b/>
          <w:bCs/>
          <w:sz w:val="20"/>
          <w:szCs w:val="20"/>
        </w:rPr>
        <w:t>Outcomes</w:t>
      </w:r>
      <w:r w:rsidR="005E13A2">
        <w:rPr>
          <w:rFonts w:ascii="Times New Roman" w:eastAsia="Times New Roman" w:hAnsi="Times New Roman" w:cs="Times New Roman"/>
          <w:b/>
          <w:bCs/>
          <w:sz w:val="20"/>
          <w:szCs w:val="20"/>
        </w:rPr>
        <w:t xml:space="preserve"> (Component Area: Art)</w:t>
      </w:r>
    </w:p>
    <w:p w14:paraId="5C46F2D4" w14:textId="77777777" w:rsidR="005E13A2" w:rsidRDefault="005E13A2" w:rsidP="005E13A2">
      <w:pPr>
        <w:rPr>
          <w:rFonts w:ascii="Times New Roman" w:eastAsia="Times New Roman" w:hAnsi="Times New Roman" w:cs="Times New Roman"/>
        </w:rPr>
      </w:pPr>
    </w:p>
    <w:p w14:paraId="368EDF25" w14:textId="22135F97" w:rsidR="005E13A2" w:rsidRPr="005E13A2" w:rsidRDefault="005E13A2" w:rsidP="005E13A2">
      <w:pPr>
        <w:rPr>
          <w:rFonts w:ascii="Times New Roman" w:eastAsia="Times New Roman" w:hAnsi="Times New Roman" w:cs="Times New Roman"/>
          <w:i/>
          <w:iCs/>
        </w:rPr>
      </w:pPr>
      <w:r w:rsidRPr="005E13A2">
        <w:rPr>
          <w:rFonts w:ascii="Times New Roman" w:eastAsia="Times New Roman" w:hAnsi="Times New Roman" w:cs="Times New Roman"/>
          <w:i/>
          <w:iCs/>
        </w:rPr>
        <w:t>Students will synthesis and interpret artistic expression and convey critical, creative and innovative communication about works of art.</w:t>
      </w:r>
    </w:p>
    <w:p w14:paraId="620EE180" w14:textId="77777777" w:rsidR="005E13A2" w:rsidRPr="005E13A2" w:rsidRDefault="005E13A2" w:rsidP="00C54832">
      <w:pPr>
        <w:rPr>
          <w:rFonts w:ascii="Times New Roman" w:eastAsia="Times New Roman" w:hAnsi="Times New Roman" w:cs="Times New Roman"/>
          <w:sz w:val="20"/>
          <w:szCs w:val="20"/>
        </w:rPr>
      </w:pPr>
    </w:p>
    <w:p w14:paraId="701F5939" w14:textId="77777777" w:rsidR="00C54832" w:rsidRPr="005E13A2" w:rsidRDefault="00C54832" w:rsidP="00C54832">
      <w:pPr>
        <w:rPr>
          <w:rFonts w:ascii="Times New Roman" w:eastAsia="Times New Roman" w:hAnsi="Times New Roman" w:cs="Times New Roman"/>
          <w:sz w:val="20"/>
          <w:szCs w:val="20"/>
        </w:rPr>
      </w:pPr>
    </w:p>
    <w:p w14:paraId="39BECAEB" w14:textId="00E6D724" w:rsidR="00B80D46" w:rsidRPr="00550CC6" w:rsidRDefault="00B80D46" w:rsidP="00C54832">
      <w:pPr>
        <w:autoSpaceDE w:val="0"/>
        <w:autoSpaceDN w:val="0"/>
        <w:adjustRightInd w:val="0"/>
        <w:rPr>
          <w:rFonts w:ascii="Times New Roman" w:hAnsi="Times New Roman" w:cs="Times New Roman"/>
          <w:b/>
          <w:bCs/>
          <w:sz w:val="22"/>
          <w:szCs w:val="22"/>
        </w:rPr>
      </w:pPr>
      <w:r w:rsidRPr="00550CC6">
        <w:rPr>
          <w:rFonts w:ascii="Times New Roman" w:hAnsi="Times New Roman" w:cs="Times New Roman"/>
          <w:b/>
          <w:bCs/>
          <w:sz w:val="22"/>
          <w:szCs w:val="22"/>
        </w:rPr>
        <w:t>Methods</w:t>
      </w:r>
    </w:p>
    <w:p w14:paraId="32D83B93" w14:textId="77777777" w:rsidR="005E13A2" w:rsidRPr="005E13A2" w:rsidRDefault="005E13A2" w:rsidP="00C54832">
      <w:pPr>
        <w:autoSpaceDE w:val="0"/>
        <w:autoSpaceDN w:val="0"/>
        <w:adjustRightInd w:val="0"/>
        <w:rPr>
          <w:rFonts w:ascii="Times New Roman" w:hAnsi="Times New Roman" w:cs="Times New Roman"/>
          <w:b/>
          <w:bCs/>
          <w:sz w:val="20"/>
          <w:szCs w:val="20"/>
        </w:rPr>
      </w:pPr>
    </w:p>
    <w:p w14:paraId="5C0D5185" w14:textId="49997907" w:rsidR="002945A5" w:rsidRPr="00550CC6" w:rsidRDefault="005E13A2" w:rsidP="00550CC6">
      <w:pPr>
        <w:rPr>
          <w:rFonts w:ascii="Times New Roman" w:eastAsia="Times New Roman" w:hAnsi="Times New Roman" w:cs="Times New Roman"/>
          <w:i/>
          <w:iCs/>
        </w:rPr>
      </w:pPr>
      <w:r w:rsidRPr="005E13A2">
        <w:rPr>
          <w:rFonts w:ascii="Times New Roman" w:eastAsia="Times New Roman" w:hAnsi="Times New Roman" w:cs="Times New Roman"/>
          <w:i/>
          <w:iCs/>
        </w:rPr>
        <w:t>After attending a theatrical or dance performance, students will write an original essay exploring the experience. Essays will be evaluated as to whether they successfully convey an understanding of possible meanings of the performance and its aesthetic value, using the rubric: “does not meet,” “meets,” or “exceeds” expectations. As a benchmark, 75% of the students will “meet” or “exceed” expectations in their essay’s interpretation and critique</w:t>
      </w:r>
    </w:p>
    <w:p w14:paraId="5D37F959" w14:textId="4765C22B" w:rsidR="002945A5" w:rsidRPr="005E13A2" w:rsidRDefault="002945A5" w:rsidP="00DA05DF">
      <w:pPr>
        <w:autoSpaceDE w:val="0"/>
        <w:autoSpaceDN w:val="0"/>
        <w:adjustRightInd w:val="0"/>
        <w:rPr>
          <w:rFonts w:ascii="Times New Roman" w:hAnsi="Times New Roman" w:cs="Times New Roman"/>
          <w:i/>
          <w:iCs/>
          <w:sz w:val="20"/>
          <w:szCs w:val="20"/>
        </w:rPr>
      </w:pPr>
    </w:p>
    <w:p w14:paraId="25D6C89C" w14:textId="3BDACC1C" w:rsidR="002945A5" w:rsidRPr="005E13A2" w:rsidRDefault="002945A5" w:rsidP="00DA05DF">
      <w:pPr>
        <w:autoSpaceDE w:val="0"/>
        <w:autoSpaceDN w:val="0"/>
        <w:adjustRightInd w:val="0"/>
        <w:rPr>
          <w:rFonts w:ascii="Times New Roman" w:hAnsi="Times New Roman" w:cs="Times New Roman"/>
          <w:i/>
          <w:iCs/>
          <w:sz w:val="20"/>
          <w:szCs w:val="20"/>
        </w:rPr>
      </w:pPr>
    </w:p>
    <w:p w14:paraId="6A74664B" w14:textId="58960338" w:rsidR="002D376D" w:rsidRPr="00550CC6" w:rsidRDefault="002945A5" w:rsidP="002D376D">
      <w:pPr>
        <w:autoSpaceDE w:val="0"/>
        <w:autoSpaceDN w:val="0"/>
        <w:adjustRightInd w:val="0"/>
        <w:rPr>
          <w:rFonts w:ascii="Times New Roman" w:hAnsi="Times New Roman" w:cs="Times New Roman"/>
          <w:b/>
          <w:bCs/>
          <w:sz w:val="22"/>
          <w:szCs w:val="22"/>
        </w:rPr>
      </w:pPr>
      <w:r w:rsidRPr="00550CC6">
        <w:rPr>
          <w:rFonts w:ascii="Times New Roman" w:hAnsi="Times New Roman" w:cs="Times New Roman"/>
          <w:b/>
          <w:bCs/>
          <w:sz w:val="22"/>
          <w:szCs w:val="22"/>
        </w:rPr>
        <w:t xml:space="preserve">Results: </w:t>
      </w:r>
    </w:p>
    <w:p w14:paraId="0E064E11" w14:textId="22EDAA09" w:rsidR="005E13A2" w:rsidRDefault="005E13A2" w:rsidP="002D376D">
      <w:pPr>
        <w:autoSpaceDE w:val="0"/>
        <w:autoSpaceDN w:val="0"/>
        <w:adjustRightInd w:val="0"/>
        <w:rPr>
          <w:rFonts w:ascii="Times New Roman" w:hAnsi="Times New Roman" w:cs="Times New Roman"/>
          <w:b/>
          <w:bCs/>
          <w:sz w:val="20"/>
          <w:szCs w:val="20"/>
        </w:rPr>
      </w:pPr>
    </w:p>
    <w:p w14:paraId="5BC977EE" w14:textId="77777777" w:rsidR="005E13A2" w:rsidRPr="005E13A2" w:rsidRDefault="005E13A2" w:rsidP="005E13A2">
      <w:pPr>
        <w:rPr>
          <w:rFonts w:ascii="Times New Roman" w:eastAsia="Times New Roman" w:hAnsi="Times New Roman" w:cs="Times New Roman"/>
        </w:rPr>
      </w:pPr>
      <w:r w:rsidRPr="005E13A2">
        <w:rPr>
          <w:rFonts w:ascii="Times New Roman" w:eastAsia="Times New Roman" w:hAnsi="Times New Roman" w:cs="Times New Roman"/>
          <w:i/>
          <w:iCs/>
        </w:rPr>
        <w:t>In summer, fall and spring semesters, 2019-2020, ------679 undergraduates were assessed using an original essay in order to measure students’ ability to successfully convey an understanding of possible meaning of a theatrical or dance performance and its aesthetic value. The MU 2313 Intro to Fine Arts faculty found that 520 students were successful. Thus, 77% of undergraduates met or exceeded expectations by demonstrating their ability to successfully convey an understanding of possible meaning and its aesthetic value of a theatrical or dance performance. While this represents a reduction in success rate as measured by this method, the outcome continues to be achieved with a high degree of effectiveness above the benchmark</w:t>
      </w:r>
      <w:r w:rsidRPr="005E13A2">
        <w:rPr>
          <w:rFonts w:ascii="Times New Roman" w:eastAsia="Times New Roman" w:hAnsi="Times New Roman" w:cs="Times New Roman"/>
        </w:rPr>
        <w:t>.</w:t>
      </w:r>
    </w:p>
    <w:p w14:paraId="12A0D62B" w14:textId="77777777" w:rsidR="005E13A2" w:rsidRPr="005E13A2" w:rsidRDefault="005E13A2" w:rsidP="002D376D">
      <w:pPr>
        <w:autoSpaceDE w:val="0"/>
        <w:autoSpaceDN w:val="0"/>
        <w:adjustRightInd w:val="0"/>
        <w:rPr>
          <w:rFonts w:ascii="Times New Roman" w:hAnsi="Times New Roman" w:cs="Times New Roman"/>
          <w:b/>
          <w:bCs/>
          <w:sz w:val="20"/>
          <w:szCs w:val="20"/>
        </w:rPr>
      </w:pPr>
    </w:p>
    <w:p w14:paraId="26178137" w14:textId="77777777" w:rsidR="002D376D" w:rsidRPr="005E13A2" w:rsidRDefault="002D376D" w:rsidP="002D376D">
      <w:pPr>
        <w:autoSpaceDE w:val="0"/>
        <w:autoSpaceDN w:val="0"/>
        <w:adjustRightInd w:val="0"/>
        <w:rPr>
          <w:rFonts w:ascii="Times New Roman" w:hAnsi="Times New Roman" w:cs="Times New Roman"/>
          <w:sz w:val="20"/>
          <w:szCs w:val="20"/>
        </w:rPr>
      </w:pPr>
    </w:p>
    <w:p w14:paraId="579F115C" w14:textId="0C69C819" w:rsidR="008E4555" w:rsidRPr="00550CC6" w:rsidRDefault="008E4555" w:rsidP="002D376D">
      <w:pPr>
        <w:autoSpaceDE w:val="0"/>
        <w:autoSpaceDN w:val="0"/>
        <w:adjustRightInd w:val="0"/>
        <w:rPr>
          <w:rFonts w:ascii="Times New Roman" w:hAnsi="Times New Roman" w:cs="Times New Roman"/>
          <w:i/>
          <w:iCs/>
          <w:sz w:val="22"/>
          <w:szCs w:val="22"/>
        </w:rPr>
      </w:pPr>
    </w:p>
    <w:p w14:paraId="512E1A1C" w14:textId="50C4AE92" w:rsidR="008E4555" w:rsidRPr="00550CC6" w:rsidRDefault="008E4555" w:rsidP="002D376D">
      <w:pPr>
        <w:autoSpaceDE w:val="0"/>
        <w:autoSpaceDN w:val="0"/>
        <w:adjustRightInd w:val="0"/>
        <w:rPr>
          <w:rFonts w:ascii="Times New Roman" w:hAnsi="Times New Roman" w:cs="Times New Roman"/>
          <w:b/>
          <w:bCs/>
          <w:sz w:val="22"/>
          <w:szCs w:val="22"/>
        </w:rPr>
      </w:pPr>
      <w:r w:rsidRPr="00550CC6">
        <w:rPr>
          <w:rFonts w:ascii="Times New Roman" w:hAnsi="Times New Roman" w:cs="Times New Roman"/>
          <w:b/>
          <w:bCs/>
          <w:sz w:val="22"/>
          <w:szCs w:val="22"/>
        </w:rPr>
        <w:t xml:space="preserve">Evidence of Improvement: </w:t>
      </w:r>
    </w:p>
    <w:p w14:paraId="2469E531" w14:textId="0D8A4D97" w:rsidR="008E4555" w:rsidRDefault="008E4555" w:rsidP="002D376D">
      <w:pPr>
        <w:autoSpaceDE w:val="0"/>
        <w:autoSpaceDN w:val="0"/>
        <w:adjustRightInd w:val="0"/>
        <w:rPr>
          <w:rFonts w:ascii="Arial" w:hAnsi="Arial" w:cs="Arial"/>
          <w:sz w:val="20"/>
          <w:szCs w:val="20"/>
        </w:rPr>
      </w:pPr>
    </w:p>
    <w:p w14:paraId="3823C82A" w14:textId="77777777" w:rsidR="005E13A2" w:rsidRPr="005E13A2" w:rsidRDefault="005E13A2" w:rsidP="005E13A2">
      <w:pPr>
        <w:rPr>
          <w:rFonts w:ascii="Times New Roman" w:eastAsia="Times New Roman" w:hAnsi="Times New Roman" w:cs="Times New Roman"/>
          <w:i/>
          <w:iCs/>
        </w:rPr>
      </w:pPr>
      <w:r w:rsidRPr="005E13A2">
        <w:rPr>
          <w:rFonts w:ascii="Times New Roman" w:eastAsia="Times New Roman" w:hAnsi="Times New Roman" w:cs="Times New Roman"/>
          <w:i/>
          <w:iCs/>
        </w:rPr>
        <w:t xml:space="preserve">This year, improvement was apparent in three areas. The first was for Outcome 1, which uses a written evaluation of a live Fine Arts event to assess the ability of the student to use accurate and effective terminology relevant to the Fine Arts area in question. 90.8% of students met or exceeded expectations showing a 1.08% improvement over the average four-year period beginning with the 2017-2018 reporting year. The second area of improvement was in Outcome 2, which uses a written evaluation of a live Fine Arts event to assess the ability of the student to form and effectively state a critical opinion of the intent and relative success of the artist. 94.7% </w:t>
      </w:r>
      <w:r w:rsidRPr="005E13A2">
        <w:rPr>
          <w:rFonts w:ascii="Times New Roman" w:eastAsia="Times New Roman" w:hAnsi="Times New Roman" w:cs="Times New Roman"/>
          <w:i/>
          <w:iCs/>
        </w:rPr>
        <w:lastRenderedPageBreak/>
        <w:t>of students met or exceeded expectations showing a 2.8% improvement over the average four-year period beginning with the 2017-2018 reporting year. A third area of improvement was Outcome 3 which evaluates the student’s ability to effectively articulate and defend the opinion established in Objective 2. 89.5% met or exceeded expectations. This demonstrated a 3.8% increase in scores over the same average four-year reporting period. These improvements in student success can be attributed to the faculty’s intentional integration of action plans from the previous years. The faculty carefully reviewed outcomes and revised delivery methods which transitioned to a greater percentage of faculty as teachers-of-record, reducing the number of utilized graduate teaching instructors. In addition, rubrics were developed and implemented to aid in the preparation and evaluation of the assignments associated with the relevant Fine Arts areas</w:t>
      </w:r>
    </w:p>
    <w:p w14:paraId="0DCF4398" w14:textId="6360D85C" w:rsidR="008E4555" w:rsidRDefault="008E4555" w:rsidP="002D376D">
      <w:pPr>
        <w:autoSpaceDE w:val="0"/>
        <w:autoSpaceDN w:val="0"/>
        <w:adjustRightInd w:val="0"/>
        <w:rPr>
          <w:rFonts w:ascii="Arial" w:hAnsi="Arial" w:cs="Arial"/>
          <w:sz w:val="20"/>
          <w:szCs w:val="20"/>
        </w:rPr>
      </w:pPr>
    </w:p>
    <w:p w14:paraId="5C861177" w14:textId="1E58F061" w:rsidR="008E4555" w:rsidRDefault="008E4555" w:rsidP="002D376D">
      <w:pPr>
        <w:autoSpaceDE w:val="0"/>
        <w:autoSpaceDN w:val="0"/>
        <w:adjustRightInd w:val="0"/>
        <w:rPr>
          <w:rFonts w:ascii="Arial" w:hAnsi="Arial" w:cs="Arial"/>
          <w:sz w:val="20"/>
          <w:szCs w:val="20"/>
        </w:rPr>
      </w:pPr>
    </w:p>
    <w:p w14:paraId="550A6D2A" w14:textId="0C0AB961" w:rsidR="008E4555" w:rsidRDefault="008E4555" w:rsidP="002D376D">
      <w:pPr>
        <w:autoSpaceDE w:val="0"/>
        <w:autoSpaceDN w:val="0"/>
        <w:adjustRightInd w:val="0"/>
        <w:rPr>
          <w:rFonts w:ascii="Arial" w:hAnsi="Arial" w:cs="Arial"/>
          <w:sz w:val="20"/>
          <w:szCs w:val="20"/>
        </w:rPr>
      </w:pPr>
    </w:p>
    <w:p w14:paraId="12767EE8" w14:textId="016D3670" w:rsidR="008E4555" w:rsidRPr="00DF571B" w:rsidRDefault="008E4555" w:rsidP="002D376D">
      <w:pPr>
        <w:autoSpaceDE w:val="0"/>
        <w:autoSpaceDN w:val="0"/>
        <w:adjustRightInd w:val="0"/>
        <w:rPr>
          <w:rFonts w:ascii="Times New Roman" w:hAnsi="Times New Roman" w:cs="Times New Roman"/>
          <w:b/>
          <w:bCs/>
          <w:sz w:val="22"/>
          <w:szCs w:val="22"/>
        </w:rPr>
      </w:pPr>
      <w:r w:rsidRPr="00DF571B">
        <w:rPr>
          <w:rFonts w:ascii="Times New Roman" w:hAnsi="Times New Roman" w:cs="Times New Roman"/>
          <w:b/>
          <w:bCs/>
          <w:sz w:val="22"/>
          <w:szCs w:val="22"/>
        </w:rPr>
        <w:t>Action Plan:</w:t>
      </w:r>
    </w:p>
    <w:p w14:paraId="55CE12F8" w14:textId="4FC2C90D" w:rsidR="008E4555" w:rsidRDefault="008E4555" w:rsidP="002D376D">
      <w:pPr>
        <w:autoSpaceDE w:val="0"/>
        <w:autoSpaceDN w:val="0"/>
        <w:adjustRightInd w:val="0"/>
        <w:rPr>
          <w:rFonts w:ascii="Arial" w:hAnsi="Arial" w:cs="Arial"/>
          <w:sz w:val="20"/>
          <w:szCs w:val="20"/>
        </w:rPr>
      </w:pPr>
    </w:p>
    <w:p w14:paraId="410814FA" w14:textId="77777777" w:rsidR="005E13A2" w:rsidRPr="005E13A2" w:rsidRDefault="005E13A2" w:rsidP="005E13A2">
      <w:pPr>
        <w:rPr>
          <w:rFonts w:ascii="Times New Roman" w:eastAsia="Times New Roman" w:hAnsi="Times New Roman" w:cs="Times New Roman"/>
          <w:i/>
          <w:iCs/>
        </w:rPr>
      </w:pPr>
      <w:r w:rsidRPr="005E13A2">
        <w:rPr>
          <w:rFonts w:ascii="Times New Roman" w:eastAsia="Times New Roman" w:hAnsi="Times New Roman" w:cs="Times New Roman"/>
          <w:i/>
          <w:iCs/>
        </w:rPr>
        <w:t>Based on the results for Outcomes 1-3, the rubrics developed and utilized this reporting year will be further refined and integrated into the daily classroom discussions of each of the relevant Fine Arts areas. In addition, in order to achieve greater consistency among the various course instructors, the guidelines embodied within these rubrics, including course goals, content and procedures, will be recommended for faculty instructors and required for graduate teaching instructors. One area of concern relates to the results for Outcome 4 which assesses the student's ability to work collaboratively in teams. This result of this outcome should be considered an aberration due to unprecedented circumstances. In a typical year, this outcome is assessed by taking a class of approximately 100 and dividing the students into 12 groups of 6 to 8. This was not possible this year due to the confluence of several policies and procedures necessitated by the response to the COVID-19 pandemic. First, due to distancing protocols, the class was required to be delivered in an "A/B-Hybrid" format, with only half of the 100 students attending in person on Tuesdays and the other group on Thursdays. Second, in order to provide content to those that were not allowed, or who were not willing, to attend in person, all lectures were videoed and posted online for asynchronous viewing making them accessible to students at any time during the semester. Third, to accommodate those individuals observing quarantine or contact-tracing protocols, there was no attendance policy enforced throughout the year. As a result, regular in-person attendance rates consistently ranged between 4 and 12 students, with some classes being delivered to a single individual. As a result, we strongly believe that the data for this outcome should be considered an anomaly and statistically insignificant. With the anticipated return to face-to-face instruction in the 2021-2022 reporting year, the hope is that historically normal data pools will again be possible, yielding valid results and analysis.</w:t>
      </w:r>
    </w:p>
    <w:p w14:paraId="7EA7D0BC" w14:textId="77777777" w:rsidR="005E13A2" w:rsidRDefault="005E13A2" w:rsidP="002D376D">
      <w:pPr>
        <w:autoSpaceDE w:val="0"/>
        <w:autoSpaceDN w:val="0"/>
        <w:adjustRightInd w:val="0"/>
        <w:rPr>
          <w:rFonts w:ascii="Arial" w:hAnsi="Arial" w:cs="Arial"/>
          <w:sz w:val="20"/>
          <w:szCs w:val="20"/>
        </w:rPr>
      </w:pPr>
    </w:p>
    <w:sectPr w:rsidR="005E13A2" w:rsidSect="00AB1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32"/>
    <w:rsid w:val="002945A5"/>
    <w:rsid w:val="002B5545"/>
    <w:rsid w:val="002D376D"/>
    <w:rsid w:val="00550CC6"/>
    <w:rsid w:val="005E13A2"/>
    <w:rsid w:val="006D6D90"/>
    <w:rsid w:val="008E4555"/>
    <w:rsid w:val="009E34EA"/>
    <w:rsid w:val="00A3615A"/>
    <w:rsid w:val="00AB1CA7"/>
    <w:rsid w:val="00AD675B"/>
    <w:rsid w:val="00B80D46"/>
    <w:rsid w:val="00C54832"/>
    <w:rsid w:val="00DA05DF"/>
    <w:rsid w:val="00DF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F5335"/>
  <w15:chartTrackingRefBased/>
  <w15:docId w15:val="{23ADC728-1FEE-B14F-BB67-25775E5B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650">
      <w:bodyDiv w:val="1"/>
      <w:marLeft w:val="0"/>
      <w:marRight w:val="0"/>
      <w:marTop w:val="0"/>
      <w:marBottom w:val="0"/>
      <w:divBdr>
        <w:top w:val="none" w:sz="0" w:space="0" w:color="auto"/>
        <w:left w:val="none" w:sz="0" w:space="0" w:color="auto"/>
        <w:bottom w:val="none" w:sz="0" w:space="0" w:color="auto"/>
        <w:right w:val="none" w:sz="0" w:space="0" w:color="auto"/>
      </w:divBdr>
    </w:div>
    <w:div w:id="622536936">
      <w:bodyDiv w:val="1"/>
      <w:marLeft w:val="0"/>
      <w:marRight w:val="0"/>
      <w:marTop w:val="0"/>
      <w:marBottom w:val="0"/>
      <w:divBdr>
        <w:top w:val="none" w:sz="0" w:space="0" w:color="auto"/>
        <w:left w:val="none" w:sz="0" w:space="0" w:color="auto"/>
        <w:bottom w:val="none" w:sz="0" w:space="0" w:color="auto"/>
        <w:right w:val="none" w:sz="0" w:space="0" w:color="auto"/>
      </w:divBdr>
    </w:div>
    <w:div w:id="1083649029">
      <w:bodyDiv w:val="1"/>
      <w:marLeft w:val="0"/>
      <w:marRight w:val="0"/>
      <w:marTop w:val="0"/>
      <w:marBottom w:val="0"/>
      <w:divBdr>
        <w:top w:val="none" w:sz="0" w:space="0" w:color="auto"/>
        <w:left w:val="none" w:sz="0" w:space="0" w:color="auto"/>
        <w:bottom w:val="none" w:sz="0" w:space="0" w:color="auto"/>
        <w:right w:val="none" w:sz="0" w:space="0" w:color="auto"/>
      </w:divBdr>
    </w:div>
    <w:div w:id="1450007901">
      <w:bodyDiv w:val="1"/>
      <w:marLeft w:val="0"/>
      <w:marRight w:val="0"/>
      <w:marTop w:val="0"/>
      <w:marBottom w:val="0"/>
      <w:divBdr>
        <w:top w:val="none" w:sz="0" w:space="0" w:color="auto"/>
        <w:left w:val="none" w:sz="0" w:space="0" w:color="auto"/>
        <w:bottom w:val="none" w:sz="0" w:space="0" w:color="auto"/>
        <w:right w:val="none" w:sz="0" w:space="0" w:color="auto"/>
      </w:divBdr>
    </w:div>
    <w:div w:id="1520965495">
      <w:bodyDiv w:val="1"/>
      <w:marLeft w:val="0"/>
      <w:marRight w:val="0"/>
      <w:marTop w:val="0"/>
      <w:marBottom w:val="0"/>
      <w:divBdr>
        <w:top w:val="none" w:sz="0" w:space="0" w:color="auto"/>
        <w:left w:val="none" w:sz="0" w:space="0" w:color="auto"/>
        <w:bottom w:val="none" w:sz="0" w:space="0" w:color="auto"/>
        <w:right w:val="none" w:sz="0" w:space="0" w:color="auto"/>
      </w:divBdr>
    </w:div>
    <w:div w:id="1847012582">
      <w:bodyDiv w:val="1"/>
      <w:marLeft w:val="0"/>
      <w:marRight w:val="0"/>
      <w:marTop w:val="0"/>
      <w:marBottom w:val="0"/>
      <w:divBdr>
        <w:top w:val="none" w:sz="0" w:space="0" w:color="auto"/>
        <w:left w:val="none" w:sz="0" w:space="0" w:color="auto"/>
        <w:bottom w:val="none" w:sz="0" w:space="0" w:color="auto"/>
        <w:right w:val="none" w:sz="0" w:space="0" w:color="auto"/>
      </w:divBdr>
    </w:div>
    <w:div w:id="1992636511">
      <w:bodyDiv w:val="1"/>
      <w:marLeft w:val="0"/>
      <w:marRight w:val="0"/>
      <w:marTop w:val="0"/>
      <w:marBottom w:val="0"/>
      <w:divBdr>
        <w:top w:val="none" w:sz="0" w:space="0" w:color="auto"/>
        <w:left w:val="none" w:sz="0" w:space="0" w:color="auto"/>
        <w:bottom w:val="none" w:sz="0" w:space="0" w:color="auto"/>
        <w:right w:val="none" w:sz="0" w:space="0" w:color="auto"/>
      </w:divBdr>
    </w:div>
    <w:div w:id="20135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Lonnie W</dc:creator>
  <cp:keywords/>
  <dc:description/>
  <cp:lastModifiedBy>Olson, Lonnie W</cp:lastModifiedBy>
  <cp:revision>2</cp:revision>
  <dcterms:created xsi:type="dcterms:W3CDTF">2021-05-26T20:35:00Z</dcterms:created>
  <dcterms:modified xsi:type="dcterms:W3CDTF">2021-05-26T20:35:00Z</dcterms:modified>
</cp:coreProperties>
</file>