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891C2" w14:textId="6269A0BC" w:rsidR="00A3615A" w:rsidRDefault="00C54832">
      <w:r>
        <w:t xml:space="preserve">Examples from Educational Programs </w:t>
      </w:r>
    </w:p>
    <w:p w14:paraId="7B0FC6EF" w14:textId="274FA64D" w:rsidR="00C54832" w:rsidRDefault="00C54832"/>
    <w:p w14:paraId="35ABABF8" w14:textId="3B7B49C0" w:rsidR="00C54832" w:rsidRPr="00C54832" w:rsidRDefault="00C54832">
      <w:pPr>
        <w:rPr>
          <w:b/>
          <w:bCs/>
        </w:rPr>
      </w:pPr>
      <w:r w:rsidRPr="00C54832">
        <w:rPr>
          <w:b/>
          <w:bCs/>
        </w:rPr>
        <w:t xml:space="preserve">Mission Statement: </w:t>
      </w:r>
    </w:p>
    <w:p w14:paraId="03C91B4D" w14:textId="55291690" w:rsidR="00C54832" w:rsidRDefault="00C54832"/>
    <w:p w14:paraId="4DFE08B2" w14:textId="77777777" w:rsidR="00C54832" w:rsidRPr="00DA05DF" w:rsidRDefault="00C54832" w:rsidP="00C54832">
      <w:pPr>
        <w:rPr>
          <w:rFonts w:ascii="Arial" w:eastAsia="Times New Roman" w:hAnsi="Arial" w:cs="Arial"/>
          <w:i/>
          <w:iCs/>
          <w:sz w:val="20"/>
          <w:szCs w:val="20"/>
        </w:rPr>
      </w:pPr>
      <w:r w:rsidRPr="00C54832">
        <w:rPr>
          <w:rFonts w:ascii="Arial" w:eastAsia="Times New Roman" w:hAnsi="Arial" w:cs="Arial"/>
          <w:i/>
          <w:iCs/>
          <w:sz w:val="20"/>
          <w:szCs w:val="20"/>
        </w:rPr>
        <w:t>The McCoy College of Business Department of Accounting is dedicated to preparing our diverse student population for professional success in</w:t>
      </w:r>
      <w:r w:rsidRPr="00DA05DF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C54832">
        <w:rPr>
          <w:rFonts w:ascii="Arial" w:eastAsia="Times New Roman" w:hAnsi="Arial" w:cs="Arial"/>
          <w:i/>
          <w:iCs/>
          <w:sz w:val="20"/>
          <w:szCs w:val="20"/>
        </w:rPr>
        <w:t>an ever-changing global economy. Our faculty make McCoy a primary-choice school for students by providing a rigorous and innovative curriculum</w:t>
      </w:r>
      <w:r w:rsidRPr="00DA05DF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C54832">
        <w:rPr>
          <w:rFonts w:ascii="Arial" w:eastAsia="Times New Roman" w:hAnsi="Arial" w:cs="Arial"/>
          <w:i/>
          <w:iCs/>
          <w:sz w:val="20"/>
          <w:szCs w:val="20"/>
        </w:rPr>
        <w:t>that is informed by academic and practitioner research, engagement with the professional community, and meaningful service. To accomplish our mission, the Department:</w:t>
      </w:r>
    </w:p>
    <w:p w14:paraId="17FB2E2F" w14:textId="77777777" w:rsidR="00C54832" w:rsidRPr="00DA05DF" w:rsidRDefault="00C54832" w:rsidP="00C54832">
      <w:pPr>
        <w:rPr>
          <w:rFonts w:ascii="Arial" w:eastAsia="Times New Roman" w:hAnsi="Arial" w:cs="Arial"/>
          <w:i/>
          <w:iCs/>
          <w:sz w:val="20"/>
          <w:szCs w:val="20"/>
        </w:rPr>
      </w:pPr>
    </w:p>
    <w:p w14:paraId="6D21CEF8" w14:textId="77777777" w:rsidR="00C54832" w:rsidRPr="00DA05DF" w:rsidRDefault="00C54832" w:rsidP="00C54832">
      <w:pPr>
        <w:rPr>
          <w:rFonts w:ascii="Arial" w:eastAsia="Times New Roman" w:hAnsi="Arial" w:cs="Arial"/>
          <w:i/>
          <w:iCs/>
          <w:sz w:val="20"/>
          <w:szCs w:val="20"/>
        </w:rPr>
      </w:pPr>
      <w:r w:rsidRPr="00C54832">
        <w:rPr>
          <w:rFonts w:ascii="Arial" w:eastAsia="Times New Roman" w:hAnsi="Arial" w:cs="Arial"/>
          <w:b/>
          <w:bCs/>
          <w:i/>
          <w:iCs/>
          <w:sz w:val="20"/>
          <w:szCs w:val="20"/>
        </w:rPr>
        <w:t>Provides</w:t>
      </w:r>
      <w:r w:rsidRPr="00C54832">
        <w:rPr>
          <w:rFonts w:ascii="Arial" w:eastAsia="Times New Roman" w:hAnsi="Arial" w:cs="Arial"/>
          <w:i/>
          <w:iCs/>
          <w:sz w:val="20"/>
          <w:szCs w:val="20"/>
        </w:rPr>
        <w:t xml:space="preserve"> instruction and curricula emphasizing critical thinking, communication skills, and use of technology that prepare students for the</w:t>
      </w:r>
      <w:r w:rsidRPr="00DA05DF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C54832">
        <w:rPr>
          <w:rFonts w:ascii="Arial" w:eastAsia="Times New Roman" w:hAnsi="Arial" w:cs="Arial"/>
          <w:i/>
          <w:iCs/>
          <w:sz w:val="20"/>
          <w:szCs w:val="20"/>
        </w:rPr>
        <w:t xml:space="preserve">changing accounting environment. </w:t>
      </w:r>
    </w:p>
    <w:p w14:paraId="4550B3CE" w14:textId="77777777" w:rsidR="00C54832" w:rsidRPr="00DA05DF" w:rsidRDefault="00C54832" w:rsidP="00C54832">
      <w:pPr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45378960" w14:textId="77777777" w:rsidR="00C54832" w:rsidRPr="00DA05DF" w:rsidRDefault="00C54832" w:rsidP="00C54832">
      <w:pPr>
        <w:rPr>
          <w:rFonts w:ascii="Arial" w:eastAsia="Times New Roman" w:hAnsi="Arial" w:cs="Arial"/>
          <w:i/>
          <w:iCs/>
          <w:sz w:val="20"/>
          <w:szCs w:val="20"/>
        </w:rPr>
      </w:pPr>
      <w:r w:rsidRPr="00C54832">
        <w:rPr>
          <w:rFonts w:ascii="Arial" w:eastAsia="Times New Roman" w:hAnsi="Arial" w:cs="Arial"/>
          <w:b/>
          <w:bCs/>
          <w:i/>
          <w:iCs/>
          <w:sz w:val="20"/>
          <w:szCs w:val="20"/>
        </w:rPr>
        <w:t>Promotes</w:t>
      </w:r>
      <w:r w:rsidRPr="00C54832">
        <w:rPr>
          <w:rFonts w:ascii="Arial" w:eastAsia="Times New Roman" w:hAnsi="Arial" w:cs="Arial"/>
          <w:i/>
          <w:iCs/>
          <w:sz w:val="20"/>
          <w:szCs w:val="20"/>
        </w:rPr>
        <w:t xml:space="preserve"> strong conceptual foundations, technical skills, and ethical decision making and practices that prepare graduates for professional</w:t>
      </w:r>
      <w:r w:rsidRPr="00DA05DF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C54832">
        <w:rPr>
          <w:rFonts w:ascii="Arial" w:eastAsia="Times New Roman" w:hAnsi="Arial" w:cs="Arial"/>
          <w:i/>
          <w:iCs/>
          <w:sz w:val="20"/>
          <w:szCs w:val="20"/>
        </w:rPr>
        <w:t xml:space="preserve">license, professional certification, and for future leadership roles in businesses and organizations. </w:t>
      </w:r>
    </w:p>
    <w:p w14:paraId="0F4A146E" w14:textId="77777777" w:rsidR="00C54832" w:rsidRPr="00DA05DF" w:rsidRDefault="00C54832" w:rsidP="00C54832">
      <w:pPr>
        <w:rPr>
          <w:rFonts w:ascii="Arial" w:eastAsia="Times New Roman" w:hAnsi="Arial" w:cs="Arial"/>
          <w:i/>
          <w:iCs/>
          <w:sz w:val="20"/>
          <w:szCs w:val="20"/>
        </w:rPr>
      </w:pPr>
    </w:p>
    <w:p w14:paraId="69F54675" w14:textId="09484070" w:rsidR="00C54832" w:rsidRPr="00DA05DF" w:rsidRDefault="00C54832" w:rsidP="00C54832">
      <w:pPr>
        <w:rPr>
          <w:rFonts w:ascii="Arial" w:eastAsia="Times New Roman" w:hAnsi="Arial" w:cs="Arial"/>
          <w:i/>
          <w:iCs/>
          <w:sz w:val="20"/>
          <w:szCs w:val="20"/>
        </w:rPr>
      </w:pPr>
      <w:r w:rsidRPr="00C54832">
        <w:rPr>
          <w:rFonts w:ascii="Arial" w:eastAsia="Times New Roman" w:hAnsi="Arial" w:cs="Arial"/>
          <w:b/>
          <w:bCs/>
          <w:i/>
          <w:iCs/>
          <w:sz w:val="20"/>
          <w:szCs w:val="20"/>
        </w:rPr>
        <w:t>Engages</w:t>
      </w:r>
      <w:r w:rsidRPr="00C54832">
        <w:rPr>
          <w:rFonts w:ascii="Arial" w:eastAsia="Times New Roman" w:hAnsi="Arial" w:cs="Arial"/>
          <w:i/>
          <w:iCs/>
          <w:sz w:val="20"/>
          <w:szCs w:val="20"/>
        </w:rPr>
        <w:t xml:space="preserve"> in research and intellectual contributions that impact the practice of accounting, enhance the understanding of the accounting discipline,</w:t>
      </w:r>
      <w:r w:rsidRPr="00DA05DF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C54832">
        <w:rPr>
          <w:rFonts w:ascii="Arial" w:eastAsia="Times New Roman" w:hAnsi="Arial" w:cs="Arial"/>
          <w:i/>
          <w:iCs/>
          <w:sz w:val="20"/>
          <w:szCs w:val="20"/>
        </w:rPr>
        <w:t xml:space="preserve">and improve the process of educating future accountants. </w:t>
      </w:r>
    </w:p>
    <w:p w14:paraId="7BA626F6" w14:textId="77777777" w:rsidR="00C54832" w:rsidRPr="00DA05DF" w:rsidRDefault="00C54832" w:rsidP="00C54832">
      <w:pPr>
        <w:rPr>
          <w:rFonts w:ascii="Arial" w:eastAsia="Times New Roman" w:hAnsi="Arial" w:cs="Arial"/>
          <w:i/>
          <w:iCs/>
          <w:sz w:val="20"/>
          <w:szCs w:val="20"/>
        </w:rPr>
      </w:pPr>
    </w:p>
    <w:p w14:paraId="0D40FA45" w14:textId="77777777" w:rsidR="00C54832" w:rsidRPr="00DA05DF" w:rsidRDefault="00C54832" w:rsidP="00C54832">
      <w:pPr>
        <w:rPr>
          <w:rFonts w:ascii="Arial" w:eastAsia="Times New Roman" w:hAnsi="Arial" w:cs="Arial"/>
          <w:i/>
          <w:iCs/>
          <w:sz w:val="20"/>
          <w:szCs w:val="20"/>
        </w:rPr>
      </w:pPr>
      <w:r w:rsidRPr="00C54832">
        <w:rPr>
          <w:rFonts w:ascii="Arial" w:eastAsia="Times New Roman" w:hAnsi="Arial" w:cs="Arial"/>
          <w:b/>
          <w:bCs/>
          <w:i/>
          <w:iCs/>
          <w:sz w:val="20"/>
          <w:szCs w:val="20"/>
        </w:rPr>
        <w:t>Seeks</w:t>
      </w:r>
      <w:r w:rsidRPr="00C54832">
        <w:rPr>
          <w:rFonts w:ascii="Arial" w:eastAsia="Times New Roman" w:hAnsi="Arial" w:cs="Arial"/>
          <w:i/>
          <w:iCs/>
          <w:sz w:val="20"/>
          <w:szCs w:val="20"/>
        </w:rPr>
        <w:t xml:space="preserve"> to attract, develop, reward, and retain a diverse, student-oriented faculty with professional knowledge who are committed to excellence in</w:t>
      </w:r>
      <w:r w:rsidRPr="00DA05DF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C54832">
        <w:rPr>
          <w:rFonts w:ascii="Arial" w:eastAsia="Times New Roman" w:hAnsi="Arial" w:cs="Arial"/>
          <w:i/>
          <w:iCs/>
          <w:sz w:val="20"/>
          <w:szCs w:val="20"/>
        </w:rPr>
        <w:t xml:space="preserve">teaching, scholarship, and service, and who participate in university governance. </w:t>
      </w:r>
    </w:p>
    <w:p w14:paraId="4317233D" w14:textId="77777777" w:rsidR="00C54832" w:rsidRPr="00DA05DF" w:rsidRDefault="00C54832" w:rsidP="00C54832">
      <w:pPr>
        <w:rPr>
          <w:rFonts w:ascii="Arial" w:eastAsia="Times New Roman" w:hAnsi="Arial" w:cs="Arial"/>
          <w:i/>
          <w:iCs/>
          <w:sz w:val="20"/>
          <w:szCs w:val="20"/>
        </w:rPr>
      </w:pPr>
    </w:p>
    <w:p w14:paraId="12E933C0" w14:textId="33DCD0FF" w:rsidR="00C54832" w:rsidRPr="00DA05DF" w:rsidRDefault="00C54832" w:rsidP="00C54832">
      <w:pPr>
        <w:rPr>
          <w:rFonts w:ascii="Arial" w:eastAsia="Times New Roman" w:hAnsi="Arial" w:cs="Arial"/>
          <w:i/>
          <w:iCs/>
          <w:sz w:val="20"/>
          <w:szCs w:val="20"/>
        </w:rPr>
      </w:pPr>
      <w:r w:rsidRPr="00C54832">
        <w:rPr>
          <w:rFonts w:ascii="Arial" w:eastAsia="Times New Roman" w:hAnsi="Arial" w:cs="Arial"/>
          <w:b/>
          <w:bCs/>
          <w:i/>
          <w:iCs/>
          <w:sz w:val="20"/>
          <w:szCs w:val="20"/>
        </w:rPr>
        <w:t>Strives</w:t>
      </w:r>
      <w:r w:rsidRPr="00C54832">
        <w:rPr>
          <w:rFonts w:ascii="Arial" w:eastAsia="Times New Roman" w:hAnsi="Arial" w:cs="Arial"/>
          <w:i/>
          <w:iCs/>
          <w:sz w:val="20"/>
          <w:szCs w:val="20"/>
        </w:rPr>
        <w:t xml:space="preserve"> to build and maintain professional relationships among</w:t>
      </w:r>
      <w:r w:rsidRPr="00C54832">
        <w:rPr>
          <w:rFonts w:ascii="Arial" w:eastAsia="Times New Roman" w:hAnsi="Arial" w:cs="Arial"/>
          <w:sz w:val="20"/>
          <w:szCs w:val="20"/>
        </w:rPr>
        <w:t xml:space="preserve"> </w:t>
      </w:r>
      <w:r w:rsidRPr="00C54832">
        <w:rPr>
          <w:rFonts w:ascii="Arial" w:eastAsia="Times New Roman" w:hAnsi="Arial" w:cs="Arial"/>
          <w:i/>
          <w:iCs/>
          <w:sz w:val="20"/>
          <w:szCs w:val="20"/>
        </w:rPr>
        <w:t xml:space="preserve">students, alumni, the accounting profession, and other stakeholders. </w:t>
      </w:r>
    </w:p>
    <w:p w14:paraId="394A84FA" w14:textId="7ADC4974" w:rsidR="00C54832" w:rsidRDefault="00C54832" w:rsidP="00C54832">
      <w:pPr>
        <w:rPr>
          <w:rFonts w:ascii="Arial" w:eastAsia="Times New Roman" w:hAnsi="Arial" w:cs="Arial"/>
          <w:sz w:val="20"/>
          <w:szCs w:val="20"/>
        </w:rPr>
      </w:pPr>
    </w:p>
    <w:p w14:paraId="1DF02B09" w14:textId="6BB1F97B" w:rsidR="00C54832" w:rsidRDefault="00C54832" w:rsidP="00C54832">
      <w:pPr>
        <w:rPr>
          <w:rFonts w:ascii="Arial" w:eastAsia="Times New Roman" w:hAnsi="Arial" w:cs="Arial"/>
          <w:sz w:val="20"/>
          <w:szCs w:val="20"/>
        </w:rPr>
      </w:pPr>
      <w:r w:rsidRPr="00C54832">
        <w:rPr>
          <w:rFonts w:ascii="Arial" w:eastAsia="Times New Roman" w:hAnsi="Arial" w:cs="Arial"/>
          <w:b/>
          <w:bCs/>
          <w:sz w:val="20"/>
          <w:szCs w:val="20"/>
        </w:rPr>
        <w:t>Outcomes</w:t>
      </w:r>
    </w:p>
    <w:p w14:paraId="701F5939" w14:textId="77777777" w:rsidR="00C54832" w:rsidRDefault="00C54832" w:rsidP="00C54832">
      <w:pPr>
        <w:rPr>
          <w:rFonts w:ascii="Arial" w:eastAsia="Times New Roman" w:hAnsi="Arial" w:cs="Arial"/>
          <w:sz w:val="20"/>
          <w:szCs w:val="20"/>
        </w:rPr>
      </w:pPr>
    </w:p>
    <w:p w14:paraId="6FFAD0C9" w14:textId="2B336F07" w:rsidR="00C54832" w:rsidRPr="00DA05DF" w:rsidRDefault="00C54832" w:rsidP="00C54832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DA05DF">
        <w:rPr>
          <w:rFonts w:ascii="Arial" w:hAnsi="Arial" w:cs="Arial"/>
          <w:i/>
          <w:iCs/>
          <w:sz w:val="20"/>
          <w:szCs w:val="20"/>
        </w:rPr>
        <w:t>Students will demonstrate knowledge of quantitative methods used by geographers and their ability to use statistical software to solve geographic</w:t>
      </w:r>
      <w:r w:rsidRPr="00DA05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DA05DF">
        <w:rPr>
          <w:rFonts w:ascii="Arial" w:hAnsi="Arial" w:cs="Arial"/>
          <w:i/>
          <w:iCs/>
          <w:sz w:val="20"/>
          <w:szCs w:val="20"/>
        </w:rPr>
        <w:t>problems.</w:t>
      </w:r>
      <w:r w:rsidR="00AD675B" w:rsidRPr="00DA05DF">
        <w:rPr>
          <w:rFonts w:ascii="Arial" w:hAnsi="Arial" w:cs="Arial"/>
          <w:i/>
          <w:iCs/>
          <w:sz w:val="20"/>
          <w:szCs w:val="20"/>
        </w:rPr>
        <w:t xml:space="preserve"> (</w:t>
      </w:r>
      <w:r w:rsidR="00B80D46" w:rsidRPr="00DA05DF">
        <w:rPr>
          <w:rFonts w:ascii="Arial" w:hAnsi="Arial" w:cs="Arial"/>
          <w:i/>
          <w:iCs/>
          <w:sz w:val="20"/>
          <w:szCs w:val="20"/>
        </w:rPr>
        <w:t xml:space="preserve">undergraduate outcome) </w:t>
      </w:r>
    </w:p>
    <w:p w14:paraId="7830A450" w14:textId="7D1C984E" w:rsidR="00AD675B" w:rsidRPr="00DA05DF" w:rsidRDefault="00AD675B" w:rsidP="00C54832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4D0BE34B" w14:textId="69B0B2FA" w:rsidR="00AD675B" w:rsidRPr="00DA05DF" w:rsidRDefault="00AD675B" w:rsidP="00C54832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DA05DF">
        <w:rPr>
          <w:rFonts w:ascii="Arial" w:hAnsi="Arial" w:cs="Arial"/>
          <w:i/>
          <w:iCs/>
          <w:sz w:val="20"/>
          <w:szCs w:val="20"/>
        </w:rPr>
        <w:t>Students will demonstrate a graduate-level ability to synthesize literary characteristics, themes, and/or approaches in several literary texts</w:t>
      </w:r>
      <w:r w:rsidRPr="00DA05DF">
        <w:rPr>
          <w:rFonts w:ascii="Arial" w:hAnsi="Arial" w:cs="Arial"/>
          <w:i/>
          <w:iCs/>
          <w:sz w:val="20"/>
          <w:szCs w:val="20"/>
        </w:rPr>
        <w:t xml:space="preserve"> </w:t>
      </w:r>
      <w:r w:rsidR="00B80D46" w:rsidRPr="00DA05DF">
        <w:rPr>
          <w:rFonts w:ascii="Arial" w:hAnsi="Arial" w:cs="Arial"/>
          <w:i/>
          <w:iCs/>
          <w:sz w:val="20"/>
          <w:szCs w:val="20"/>
        </w:rPr>
        <w:t>(graduate level outcome)</w:t>
      </w:r>
    </w:p>
    <w:p w14:paraId="0686E77E" w14:textId="006B91A3" w:rsidR="00B80D46" w:rsidRDefault="00B80D46" w:rsidP="00C5483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9BECAEB" w14:textId="2627EE22" w:rsidR="00B80D46" w:rsidRDefault="00B80D46" w:rsidP="00C5483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80D46">
        <w:rPr>
          <w:rFonts w:ascii="Arial" w:hAnsi="Arial" w:cs="Arial"/>
          <w:b/>
          <w:bCs/>
          <w:sz w:val="20"/>
          <w:szCs w:val="20"/>
        </w:rPr>
        <w:t>Methods</w:t>
      </w:r>
    </w:p>
    <w:p w14:paraId="4C46669C" w14:textId="77777777" w:rsidR="00DA05DF" w:rsidRDefault="00DA05DF" w:rsidP="00C5483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5D20C1F" w14:textId="28A3B0CE" w:rsidR="00DA05DF" w:rsidRPr="00DA05DF" w:rsidRDefault="00DA05DF" w:rsidP="00C5483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A05DF">
        <w:rPr>
          <w:rFonts w:ascii="Arial" w:hAnsi="Arial" w:cs="Arial"/>
          <w:i/>
          <w:iCs/>
          <w:sz w:val="20"/>
          <w:szCs w:val="20"/>
        </w:rPr>
        <w:t>Students taking World Geography (GEO 1310) will be evaluated during and/or at the end of the semester by course instructors on the students’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A05DF">
        <w:rPr>
          <w:rFonts w:ascii="Arial" w:hAnsi="Arial" w:cs="Arial"/>
          <w:i/>
          <w:iCs/>
          <w:sz w:val="20"/>
          <w:szCs w:val="20"/>
        </w:rPr>
        <w:t>knowledge of the major cultural features of the Earth using embedded test questions administered during World Geography (GEO 1310) class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A05DF">
        <w:rPr>
          <w:rFonts w:ascii="Arial" w:hAnsi="Arial" w:cs="Arial"/>
          <w:i/>
          <w:iCs/>
          <w:sz w:val="20"/>
          <w:szCs w:val="20"/>
        </w:rPr>
        <w:t>examinations. Students’ knowledge will be assessed on the basis of: Exceeding Expectations (10 embedded test questions answered correctly);</w:t>
      </w:r>
      <w:r w:rsidRPr="00DA05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DA05DF">
        <w:rPr>
          <w:rFonts w:ascii="Arial" w:hAnsi="Arial" w:cs="Arial"/>
          <w:i/>
          <w:iCs/>
          <w:sz w:val="20"/>
          <w:szCs w:val="20"/>
        </w:rPr>
        <w:t>Meeting Expectations (7 - 9 embedded test questions answered correctly); or Failing to Meet Expectations (6 or fewer embedded test questions</w:t>
      </w:r>
      <w:r w:rsidRPr="00DA05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DA05DF">
        <w:rPr>
          <w:rFonts w:ascii="Arial" w:hAnsi="Arial" w:cs="Arial"/>
          <w:i/>
          <w:iCs/>
          <w:sz w:val="20"/>
          <w:szCs w:val="20"/>
        </w:rPr>
        <w:t>answered correctly). We expect at least 70% of the students will meet or exceed expectations for this outcome / method.</w:t>
      </w:r>
      <w:r>
        <w:rPr>
          <w:rFonts w:ascii="Arial" w:hAnsi="Arial" w:cs="Arial"/>
          <w:sz w:val="20"/>
          <w:szCs w:val="20"/>
        </w:rPr>
        <w:t xml:space="preserve"> (undergraduate program)</w:t>
      </w:r>
    </w:p>
    <w:p w14:paraId="2B7CB810" w14:textId="77777777" w:rsidR="00AD675B" w:rsidRPr="00C54832" w:rsidRDefault="00AD675B" w:rsidP="00C5483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5377FE" w14:textId="083B0A78" w:rsidR="00C54832" w:rsidRDefault="00DA05DF" w:rsidP="00DA05D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DA05DF">
        <w:rPr>
          <w:rFonts w:ascii="Arial" w:hAnsi="Arial" w:cs="Arial"/>
          <w:i/>
          <w:iCs/>
          <w:sz w:val="20"/>
          <w:szCs w:val="20"/>
        </w:rPr>
        <w:t>In their final semester in the program, candidates for graduation complete either a thesis or an area examination essay. A faculty committee</w:t>
      </w:r>
      <w:r w:rsidRPr="00DA05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DA05DF">
        <w:rPr>
          <w:rFonts w:ascii="Arial" w:hAnsi="Arial" w:cs="Arial"/>
          <w:i/>
          <w:iCs/>
          <w:sz w:val="20"/>
          <w:szCs w:val="20"/>
        </w:rPr>
        <w:t>assesses these writing samples to determine if students are capable of analyzing a variety of literary texts. Faculty use a descriptive rubric to rate</w:t>
      </w:r>
      <w:r w:rsidRPr="00DA05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DA05DF">
        <w:rPr>
          <w:rFonts w:ascii="Arial" w:hAnsi="Arial" w:cs="Arial"/>
          <w:i/>
          <w:iCs/>
          <w:sz w:val="20"/>
          <w:szCs w:val="20"/>
        </w:rPr>
        <w:t>students' performance. Evaluation categories are Poor (1), Fair (2), Good (3), Excellent (4), Outstanding (5). Target: We expect students to achieve</w:t>
      </w:r>
      <w:r w:rsidRPr="00DA05DF">
        <w:rPr>
          <w:rFonts w:ascii="Arial" w:hAnsi="Arial" w:cs="Arial"/>
          <w:i/>
          <w:iCs/>
          <w:sz w:val="20"/>
          <w:szCs w:val="20"/>
        </w:rPr>
        <w:t xml:space="preserve"> </w:t>
      </w:r>
      <w:r w:rsidRPr="00DA05DF">
        <w:rPr>
          <w:rFonts w:ascii="Arial" w:hAnsi="Arial" w:cs="Arial"/>
          <w:i/>
          <w:iCs/>
          <w:sz w:val="20"/>
          <w:szCs w:val="20"/>
        </w:rPr>
        <w:t>an average rating of 4.0 or higher for this outcome.</w:t>
      </w:r>
      <w:r w:rsidRPr="00DA05DF">
        <w:rPr>
          <w:rFonts w:ascii="Arial" w:hAnsi="Arial" w:cs="Arial"/>
          <w:i/>
          <w:iCs/>
          <w:sz w:val="20"/>
          <w:szCs w:val="20"/>
        </w:rPr>
        <w:t xml:space="preserve"> (graduate</w:t>
      </w:r>
      <w:r>
        <w:rPr>
          <w:rFonts w:ascii="Arial" w:hAnsi="Arial" w:cs="Arial"/>
          <w:i/>
          <w:iCs/>
          <w:sz w:val="20"/>
          <w:szCs w:val="20"/>
        </w:rPr>
        <w:t xml:space="preserve"> program</w:t>
      </w:r>
      <w:r w:rsidRPr="00DA05DF">
        <w:rPr>
          <w:rFonts w:ascii="Arial" w:hAnsi="Arial" w:cs="Arial"/>
          <w:i/>
          <w:iCs/>
          <w:sz w:val="20"/>
          <w:szCs w:val="20"/>
        </w:rPr>
        <w:t>)</w:t>
      </w:r>
    </w:p>
    <w:p w14:paraId="5C0D5185" w14:textId="05FD3070" w:rsidR="002945A5" w:rsidRDefault="002945A5" w:rsidP="00DA05D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5D37F959" w14:textId="4765C22B" w:rsidR="002945A5" w:rsidRDefault="002945A5" w:rsidP="00DA05D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25D6C89C" w14:textId="3BDACC1C" w:rsidR="002945A5" w:rsidRDefault="002945A5" w:rsidP="00DA05D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6A74664B" w14:textId="77777777" w:rsidR="002D376D" w:rsidRDefault="002945A5" w:rsidP="002D37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Results: </w:t>
      </w:r>
    </w:p>
    <w:p w14:paraId="26178137" w14:textId="77777777" w:rsidR="002D376D" w:rsidRDefault="002D376D" w:rsidP="002D37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CB52989" w14:textId="1EDFF0FF" w:rsidR="002D376D" w:rsidRPr="002D376D" w:rsidRDefault="002D376D" w:rsidP="002D376D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2D376D">
        <w:rPr>
          <w:rFonts w:ascii="Arial" w:hAnsi="Arial" w:cs="Arial"/>
          <w:i/>
          <w:iCs/>
          <w:sz w:val="20"/>
          <w:szCs w:val="20"/>
        </w:rPr>
        <w:t>Biology students enrolled in BIO 1130 (Functional Biology) completed a written lab report designed to measure students’ abilities to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2D376D">
        <w:rPr>
          <w:rFonts w:ascii="Arial" w:hAnsi="Arial" w:cs="Arial"/>
          <w:i/>
          <w:iCs/>
          <w:sz w:val="20"/>
          <w:szCs w:val="20"/>
        </w:rPr>
        <w:t>differentiate between the products of fermentation vs. aerobic cellular respiration in yeast. In the fall 2019 semester 156/168 students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2D376D">
        <w:rPr>
          <w:rFonts w:ascii="Arial" w:hAnsi="Arial" w:cs="Arial"/>
          <w:i/>
          <w:iCs/>
          <w:sz w:val="20"/>
          <w:szCs w:val="20"/>
        </w:rPr>
        <w:t>(92.9%) scored 80% or higher on the assessment, and the mean score was 91%. In spring 2020 (prior to moving to online instruction due</w:t>
      </w:r>
    </w:p>
    <w:p w14:paraId="241FFE71" w14:textId="2049835E" w:rsidR="002D376D" w:rsidRPr="002D376D" w:rsidRDefault="002D376D" w:rsidP="002D376D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2D376D">
        <w:rPr>
          <w:rFonts w:ascii="Arial" w:hAnsi="Arial" w:cs="Arial"/>
          <w:i/>
          <w:iCs/>
          <w:sz w:val="20"/>
          <w:szCs w:val="20"/>
        </w:rPr>
        <w:t>to the COVID-19 pandemic) 69/84 students (82.1%) scored 80% or higher on the assessment, and the mean score on the assessment was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2D376D">
        <w:rPr>
          <w:rFonts w:ascii="Arial" w:hAnsi="Arial" w:cs="Arial"/>
          <w:i/>
          <w:iCs/>
          <w:sz w:val="20"/>
          <w:szCs w:val="20"/>
        </w:rPr>
        <w:t xml:space="preserve">84%. </w:t>
      </w:r>
      <w:proofErr w:type="gramStart"/>
      <w:r w:rsidRPr="002D376D">
        <w:rPr>
          <w:rFonts w:ascii="Arial" w:hAnsi="Arial" w:cs="Arial"/>
          <w:i/>
          <w:iCs/>
          <w:sz w:val="20"/>
          <w:szCs w:val="20"/>
        </w:rPr>
        <w:t>Overall</w:t>
      </w:r>
      <w:proofErr w:type="gramEnd"/>
      <w:r w:rsidRPr="002D376D">
        <w:rPr>
          <w:rFonts w:ascii="Arial" w:hAnsi="Arial" w:cs="Arial"/>
          <w:i/>
          <w:iCs/>
          <w:sz w:val="20"/>
          <w:szCs w:val="20"/>
        </w:rPr>
        <w:t xml:space="preserve"> for the 2019-2020 academic year 89.3% of Biology majors met the target of scoring 80% or higher on the assessment, which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2D376D">
        <w:rPr>
          <w:rFonts w:ascii="Arial" w:hAnsi="Arial" w:cs="Arial"/>
          <w:i/>
          <w:iCs/>
          <w:sz w:val="20"/>
          <w:szCs w:val="20"/>
        </w:rPr>
        <w:t>is higher than the previous year result of 86.3% scoring greater than 80% on the assessment. This modest gain may be associated with</w:t>
      </w:r>
    </w:p>
    <w:p w14:paraId="13E2BA1F" w14:textId="02063674" w:rsidR="002D376D" w:rsidRPr="002D376D" w:rsidRDefault="002D376D" w:rsidP="002D37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D376D">
        <w:rPr>
          <w:rFonts w:ascii="Arial" w:hAnsi="Arial" w:cs="Arial"/>
          <w:i/>
          <w:iCs/>
          <w:sz w:val="20"/>
          <w:szCs w:val="20"/>
        </w:rPr>
        <w:t>the additional Instructional Assistant (IA) training provided (as described in the previous year’s action plan for the program).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(undergraduate program) </w:t>
      </w:r>
    </w:p>
    <w:p w14:paraId="0FDCE2D6" w14:textId="77777777" w:rsidR="002D376D" w:rsidRDefault="002D376D" w:rsidP="002D37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A5AA0A4" w14:textId="77777777" w:rsidR="002D376D" w:rsidRDefault="002D376D" w:rsidP="002D37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D513EE" w14:textId="1CC1F34A" w:rsidR="002945A5" w:rsidRDefault="002D376D" w:rsidP="002D376D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8E4555">
        <w:rPr>
          <w:rFonts w:ascii="Arial" w:hAnsi="Arial" w:cs="Arial"/>
          <w:i/>
          <w:iCs/>
          <w:sz w:val="20"/>
          <w:szCs w:val="20"/>
        </w:rPr>
        <w:t>Graduate students were assessed using a 2-hour synthesis essay (the second part of the four-hour General Examination) in order to measure their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ability to synthesize, at a graduate level, literary characteristics, themes, and/or approaches in several literary texts. For Fall 2019, faculty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readers found that 9 of 14 students, or 64% met or exceeded expectations while in Spring 2020, 3 of 7 students, or 43%, did so. The results for both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semesters are lower than the 2018-19 results of 83% who met or exceeded expectations by demonstrating the measured skills and also under our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target of 70%. All are down from the 2017-18 result of 90%.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sz w:val="20"/>
          <w:szCs w:val="20"/>
        </w:rPr>
        <w:t>(graduate program)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79F115C" w14:textId="0C69C819" w:rsidR="008E4555" w:rsidRDefault="008E4555" w:rsidP="002D376D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512E1A1C" w14:textId="50C4AE92" w:rsidR="008E4555" w:rsidRPr="008E4555" w:rsidRDefault="008E4555" w:rsidP="002D376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E4555">
        <w:rPr>
          <w:rFonts w:ascii="Arial" w:hAnsi="Arial" w:cs="Arial"/>
          <w:b/>
          <w:bCs/>
          <w:sz w:val="20"/>
          <w:szCs w:val="20"/>
        </w:rPr>
        <w:t xml:space="preserve">Evidence of Improvement: </w:t>
      </w:r>
    </w:p>
    <w:p w14:paraId="2469E531" w14:textId="0D8A4D97" w:rsidR="008E4555" w:rsidRDefault="008E4555" w:rsidP="002D37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DCF4398" w14:textId="6360D85C" w:rsidR="008E4555" w:rsidRDefault="008E4555" w:rsidP="002D37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BD0735" w14:textId="77777777" w:rsidR="009E34EA" w:rsidRPr="009E34EA" w:rsidRDefault="009E34EA" w:rsidP="009E34EA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9E34EA">
        <w:rPr>
          <w:rFonts w:ascii="Arial" w:hAnsi="Arial" w:cs="Arial"/>
          <w:i/>
          <w:iCs/>
          <w:sz w:val="20"/>
          <w:szCs w:val="20"/>
        </w:rPr>
        <w:t>BA and BFA Theatre and Musical Theatre Majors performed better in several areas in 2019-2020.</w:t>
      </w:r>
    </w:p>
    <w:p w14:paraId="557FBEAB" w14:textId="4E8B4E8B" w:rsidR="009E34EA" w:rsidRPr="009E34EA" w:rsidRDefault="009E34EA" w:rsidP="009E34EA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9E34EA">
        <w:rPr>
          <w:rFonts w:ascii="Arial" w:hAnsi="Arial" w:cs="Arial"/>
          <w:i/>
          <w:iCs/>
          <w:sz w:val="20"/>
          <w:szCs w:val="20"/>
        </w:rPr>
        <w:t>Last year's Action Plan targeted Outcome 4: an understanding of dramatic theory and analysis. In 2019-2020, significant improvements were</w:t>
      </w:r>
      <w:r w:rsidRPr="009E34EA">
        <w:rPr>
          <w:rFonts w:ascii="Arial" w:hAnsi="Arial" w:cs="Arial"/>
          <w:i/>
          <w:iCs/>
          <w:sz w:val="20"/>
          <w:szCs w:val="20"/>
        </w:rPr>
        <w:t xml:space="preserve"> </w:t>
      </w:r>
      <w:r w:rsidRPr="009E34EA">
        <w:rPr>
          <w:rFonts w:ascii="Arial" w:hAnsi="Arial" w:cs="Arial"/>
          <w:i/>
          <w:iCs/>
          <w:sz w:val="20"/>
          <w:szCs w:val="20"/>
        </w:rPr>
        <w:t>evident in Method 2: the ability to analyze a full-length play through the lens of historical context. 82.75% of students scored 80% or better on this</w:t>
      </w:r>
      <w:r w:rsidRPr="009E34EA">
        <w:rPr>
          <w:rFonts w:ascii="Arial" w:hAnsi="Arial" w:cs="Arial"/>
          <w:i/>
          <w:iCs/>
          <w:sz w:val="20"/>
          <w:szCs w:val="20"/>
        </w:rPr>
        <w:t xml:space="preserve"> </w:t>
      </w:r>
      <w:r w:rsidRPr="009E34EA">
        <w:rPr>
          <w:rFonts w:ascii="Arial" w:hAnsi="Arial" w:cs="Arial"/>
          <w:i/>
          <w:iCs/>
          <w:sz w:val="20"/>
          <w:szCs w:val="20"/>
        </w:rPr>
        <w:t>assignment, compared to 74.6% in 2018-19. This is a dramatic increase and is coupled with anecdotal reports (through student evaluations) of a</w:t>
      </w:r>
      <w:r w:rsidRPr="009E34EA">
        <w:rPr>
          <w:rFonts w:ascii="Arial" w:hAnsi="Arial" w:cs="Arial"/>
          <w:i/>
          <w:iCs/>
          <w:sz w:val="20"/>
          <w:szCs w:val="20"/>
        </w:rPr>
        <w:t xml:space="preserve"> </w:t>
      </w:r>
      <w:r w:rsidRPr="009E34EA">
        <w:rPr>
          <w:rFonts w:ascii="Arial" w:hAnsi="Arial" w:cs="Arial"/>
          <w:i/>
          <w:iCs/>
          <w:sz w:val="20"/>
          <w:szCs w:val="20"/>
        </w:rPr>
        <w:t>rise in student satisfaction with their writing. We attribute this to greater clarity in expectations, more emphasis on the pre-writing and writing</w:t>
      </w:r>
      <w:r w:rsidRPr="009E34EA">
        <w:rPr>
          <w:rFonts w:ascii="Arial" w:hAnsi="Arial" w:cs="Arial"/>
          <w:i/>
          <w:iCs/>
          <w:sz w:val="20"/>
          <w:szCs w:val="20"/>
        </w:rPr>
        <w:t xml:space="preserve"> </w:t>
      </w:r>
      <w:r w:rsidRPr="009E34EA">
        <w:rPr>
          <w:rFonts w:ascii="Arial" w:hAnsi="Arial" w:cs="Arial"/>
          <w:i/>
          <w:iCs/>
          <w:sz w:val="20"/>
          <w:szCs w:val="20"/>
        </w:rPr>
        <w:t>processes, and closer individual tutelage.</w:t>
      </w:r>
    </w:p>
    <w:p w14:paraId="5F71E086" w14:textId="2D6ABA0B" w:rsidR="009E34EA" w:rsidRPr="009E34EA" w:rsidRDefault="009E34EA" w:rsidP="009E34EA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9E34EA">
        <w:rPr>
          <w:rFonts w:ascii="Arial" w:hAnsi="Arial" w:cs="Arial"/>
          <w:i/>
          <w:iCs/>
          <w:sz w:val="20"/>
          <w:szCs w:val="20"/>
        </w:rPr>
        <w:t>Last year's Action Plan also targeted Outcome 1: knowledge of fundamental practices of technical production. We saw a significant improvement</w:t>
      </w:r>
      <w:r w:rsidRPr="009E34EA">
        <w:rPr>
          <w:rFonts w:ascii="Arial" w:hAnsi="Arial" w:cs="Arial"/>
          <w:i/>
          <w:iCs/>
          <w:sz w:val="20"/>
          <w:szCs w:val="20"/>
        </w:rPr>
        <w:t xml:space="preserve"> </w:t>
      </w:r>
      <w:r w:rsidRPr="009E34EA">
        <w:rPr>
          <w:rFonts w:ascii="Arial" w:hAnsi="Arial" w:cs="Arial"/>
          <w:i/>
          <w:iCs/>
          <w:sz w:val="20"/>
          <w:szCs w:val="20"/>
        </w:rPr>
        <w:t>as measured by both Method 1 and Method 2. With Method 1, 73.33% of students in the class scored 80% or above on a test focusing on scenic</w:t>
      </w:r>
    </w:p>
    <w:p w14:paraId="7C50D4B1" w14:textId="4E4F8899" w:rsidR="009E34EA" w:rsidRPr="009E34EA" w:rsidRDefault="009E34EA" w:rsidP="009E34EA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9E34EA">
        <w:rPr>
          <w:rFonts w:ascii="Arial" w:hAnsi="Arial" w:cs="Arial"/>
          <w:i/>
          <w:iCs/>
          <w:sz w:val="20"/>
          <w:szCs w:val="20"/>
        </w:rPr>
        <w:t>construction, as compared to 62.7% in 2018-2019. With Method 2, 70% of students in the class scored 80% or above on a text focusing on stage</w:t>
      </w:r>
      <w:r w:rsidRPr="009E34EA">
        <w:rPr>
          <w:rFonts w:ascii="Arial" w:hAnsi="Arial" w:cs="Arial"/>
          <w:i/>
          <w:iCs/>
          <w:sz w:val="20"/>
          <w:szCs w:val="20"/>
        </w:rPr>
        <w:t xml:space="preserve"> </w:t>
      </w:r>
      <w:r w:rsidRPr="009E34EA">
        <w:rPr>
          <w:rFonts w:ascii="Arial" w:hAnsi="Arial" w:cs="Arial"/>
          <w:i/>
          <w:iCs/>
          <w:sz w:val="20"/>
          <w:szCs w:val="20"/>
        </w:rPr>
        <w:t>lighting practices, as compared with 59.7% in 2018-2019.</w:t>
      </w:r>
    </w:p>
    <w:p w14:paraId="15593FD4" w14:textId="72F30EBB" w:rsidR="008E4555" w:rsidRPr="009E34EA" w:rsidRDefault="009E34EA" w:rsidP="009E34EA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9E34EA">
        <w:rPr>
          <w:rFonts w:ascii="Arial" w:hAnsi="Arial" w:cs="Arial"/>
          <w:i/>
          <w:iCs/>
          <w:sz w:val="20"/>
          <w:szCs w:val="20"/>
        </w:rPr>
        <w:t>Undergraduate enrollment in the Department of Theatre and Dance was up 2.5% (from 685 in 2018-19 to 702 in 2019-20). Time to completion held</w:t>
      </w:r>
      <w:r w:rsidRPr="009E34EA">
        <w:rPr>
          <w:rFonts w:ascii="Arial" w:hAnsi="Arial" w:cs="Arial"/>
          <w:i/>
          <w:iCs/>
          <w:sz w:val="20"/>
          <w:szCs w:val="20"/>
        </w:rPr>
        <w:t xml:space="preserve"> </w:t>
      </w:r>
      <w:r w:rsidRPr="009E34EA">
        <w:rPr>
          <w:rFonts w:ascii="Arial" w:hAnsi="Arial" w:cs="Arial"/>
          <w:i/>
          <w:iCs/>
          <w:sz w:val="20"/>
          <w:szCs w:val="20"/>
        </w:rPr>
        <w:t>steady for a second year at 3.7 years, which is below the university average of 3.9 years.</w:t>
      </w:r>
    </w:p>
    <w:p w14:paraId="3E224620" w14:textId="43E8FEDC" w:rsidR="008E4555" w:rsidRPr="009E34EA" w:rsidRDefault="008E4555" w:rsidP="002D376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861177" w14:textId="1E58F061" w:rsidR="008E4555" w:rsidRDefault="008E4555" w:rsidP="002D37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0A6D2A" w14:textId="0C0AB961" w:rsidR="008E4555" w:rsidRDefault="008E4555" w:rsidP="002D37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2767EE8" w14:textId="016D3670" w:rsidR="008E4555" w:rsidRPr="008E4555" w:rsidRDefault="008E4555" w:rsidP="002D376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E4555">
        <w:rPr>
          <w:rFonts w:ascii="Arial" w:hAnsi="Arial" w:cs="Arial"/>
          <w:b/>
          <w:bCs/>
          <w:sz w:val="20"/>
          <w:szCs w:val="20"/>
        </w:rPr>
        <w:t>Action Plan:</w:t>
      </w:r>
    </w:p>
    <w:p w14:paraId="55CE12F8" w14:textId="5DBA9B58" w:rsidR="008E4555" w:rsidRDefault="008E4555" w:rsidP="002D376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B3D3CC" w14:textId="77777777" w:rsidR="008E4555" w:rsidRDefault="008E4555" w:rsidP="009E34EA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8E4555">
        <w:rPr>
          <w:rFonts w:ascii="Arial" w:hAnsi="Arial" w:cs="Arial"/>
          <w:i/>
          <w:iCs/>
          <w:sz w:val="20"/>
          <w:szCs w:val="20"/>
        </w:rPr>
        <w:t>The improvement in Fall 2019’s Outcome 2, Method 2 is gratifying and numbers for all three Outcomes assessed by Method 2, the thesis/area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examinations, are within a range of 3.4 – 4.0 that we’ve seen in the last three years. The 2019-20 results for Method 1, the General Exam, in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combination with a decreasing pass rate over the past three years, suggest we need to look carefully at that method and how well it corresponds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with skills we teach our students. The abilities tested: ability to analyze literary texts (Outcome 2) and the ability to synthesize ideas about literary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characteristics, themes, and/or approaches in several literary texts (Outcome 3) remain important and valued elements of the Literature degree and,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as noted above, the numbers for those abilities have remained relatively stable in the assessments of Method 2 (thesis/area exam). The specific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reasons for the declining pass rate in Method 1 are not clear, and so an action item for 2020-21 concerning this method will be to have the MA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Literature Committee and Faculty review the parameters and purposes of the General Exam and consider how well it </w:t>
      </w:r>
      <w:r w:rsidRPr="008E4555">
        <w:rPr>
          <w:rFonts w:ascii="Arial" w:hAnsi="Arial" w:cs="Arial"/>
          <w:i/>
          <w:iCs/>
          <w:sz w:val="20"/>
          <w:szCs w:val="20"/>
        </w:rPr>
        <w:lastRenderedPageBreak/>
        <w:t>corresponds to the training we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actually give students in our courses and general advising. This review may lead to our finding a new, more accurate method of assessment or to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creating curricular and instructional changes that focus our teaching on important student skills.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7719333" w14:textId="77777777" w:rsidR="008E4555" w:rsidRDefault="008E4555" w:rsidP="008E4555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14:paraId="5AE66FCF" w14:textId="0ED11DD1" w:rsidR="008E4555" w:rsidRPr="008E4555" w:rsidRDefault="008E4555" w:rsidP="009E34EA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 w:rsidRPr="008E4555">
        <w:rPr>
          <w:rFonts w:ascii="Arial" w:hAnsi="Arial" w:cs="Arial"/>
          <w:i/>
          <w:iCs/>
          <w:sz w:val="20"/>
          <w:szCs w:val="20"/>
        </w:rPr>
        <w:t>The outcomes for Method 2, while relatively stable, have only hit our target of 4.0 once in the past three years. A second action item for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2020-21 will be to review with faculty best practices for guiding students in thesis and area examination preparation, and to work on providing more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materials (web-based and/or written) about theses and area examinations in addition to faculty guidance. Pointing students to Graduate College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and Writing Center resources about graduate writing will continue.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Finally, we have a pandemic; the timing of the move to remote supervision may have affected outcomes. We also may have to continue with major</w:t>
      </w:r>
      <w:r w:rsidRPr="008E4555">
        <w:rPr>
          <w:rFonts w:ascii="Arial" w:hAnsi="Arial" w:cs="Arial"/>
          <w:i/>
          <w:iCs/>
          <w:sz w:val="20"/>
          <w:szCs w:val="20"/>
        </w:rPr>
        <w:t xml:space="preserve"> </w:t>
      </w:r>
      <w:r w:rsidRPr="008E4555">
        <w:rPr>
          <w:rFonts w:ascii="Arial" w:hAnsi="Arial" w:cs="Arial"/>
          <w:i/>
          <w:iCs/>
          <w:sz w:val="20"/>
          <w:szCs w:val="20"/>
        </w:rPr>
        <w:t>instructional changes if this pandemic does not abate. Our program faculty will meet in some form to discuss how to proceed in the near future.</w:t>
      </w:r>
    </w:p>
    <w:sectPr w:rsidR="008E4555" w:rsidRPr="008E4555" w:rsidSect="00AB1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32"/>
    <w:rsid w:val="002945A5"/>
    <w:rsid w:val="002D376D"/>
    <w:rsid w:val="008E4555"/>
    <w:rsid w:val="009E34EA"/>
    <w:rsid w:val="00A3615A"/>
    <w:rsid w:val="00AB1CA7"/>
    <w:rsid w:val="00AD675B"/>
    <w:rsid w:val="00B80D46"/>
    <w:rsid w:val="00C54832"/>
    <w:rsid w:val="00DA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BF5335"/>
  <w15:chartTrackingRefBased/>
  <w15:docId w15:val="{23ADC728-1FEE-B14F-BB67-25775E5B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Lonnie W</dc:creator>
  <cp:keywords/>
  <dc:description/>
  <cp:lastModifiedBy>Olson, Lonnie W</cp:lastModifiedBy>
  <cp:revision>2</cp:revision>
  <dcterms:created xsi:type="dcterms:W3CDTF">2021-05-04T20:15:00Z</dcterms:created>
  <dcterms:modified xsi:type="dcterms:W3CDTF">2021-05-04T20:15:00Z</dcterms:modified>
</cp:coreProperties>
</file>